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e3aa622e324549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根据酸碱质子理论，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3-</w:t>
      </w:r>
      <w:r w:rsidRPr="0037033B">
        <w:rPr>
          <w:rFonts w:ascii="Times New Roman" w:cs="Times New Roman" w:hAnsiTheme="minorEastAsia"/>
          <w:szCs w:val="21"/>
        </w:rPr>
        <w:t>的共轭酸是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iCs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iCs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 xml:space="preserve"> 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的共轭酸是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HSO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