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747595c0e4cd2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 w:rsidRPr="0037033B">
        <w:rPr>
          <w:rFonts w:ascii="Times New Roman" w:cs="Times New Roman" w:hAnsiTheme="minorEastAsia"/>
          <w:color w:val="000000"/>
          <w:kern w:val="0"/>
          <w:szCs w:val="21"/>
        </w:rPr>
        <w:t>已知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HAc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的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Ka = 1.76×10</w:t>
      </w:r>
      <w:r w:rsidRPr="0037033B">
        <w:rPr>
          <w:rFonts w:ascii="Times New Roman" w:hAnsi="Times New Roman" w:cs="Times New Roman"/>
          <w:color w:val="000000"/>
          <w:kern w:val="0"/>
          <w:position w:val="4"/>
          <w:szCs w:val="21"/>
          <w:vertAlign w:val="superscript"/>
          <w:lang w:val="pt-BR"/>
        </w:rPr>
        <w:t>-5</w:t>
      </w:r>
      <w:r w:rsidRPr="0037033B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用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1.00 mol.L</w:t>
      </w:r>
      <w:r w:rsidRPr="0037033B">
        <w:rPr>
          <w:rFonts w:ascii="Times New Roman" w:hAnsi="Times New Roman" w:cs="Times New Roman"/>
          <w:color w:val="000000"/>
          <w:kern w:val="0"/>
          <w:position w:val="4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NaAc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溶液和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1.00 mol.L</w:t>
      </w:r>
      <w:r w:rsidRPr="0037033B">
        <w:rPr>
          <w:rFonts w:ascii="Times New Roman" w:hAnsi="Times New Roman" w:cs="Times New Roman"/>
          <w:color w:val="000000"/>
          <w:kern w:val="0"/>
          <w:position w:val="4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HAc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溶液配制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pH=4.80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的缓冲溶液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200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毫升</w:t>
      </w:r>
      <w:r w:rsidRPr="0037033B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，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NaAc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和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HAc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溶液各需要多少毫升</w:t>
      </w:r>
      <w:r w:rsidRPr="0037033B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？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 xml:space="preserve"> </w:t>
      </w:r>
    </w:p>
  </w:body>
</w:document>
</file>