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240"/>
        <w:jc w:val="center"/>
      </w:pPr>
      <w:r>
        <w:rPr>
          <w:rFonts w:ascii="Arial" w:hAnsi="Arial" w:eastAsia="黑体"/>
          <w:b/>
          <w:sz w:val="36"/>
        </w:rPr>
        <w:t>AI技术应用验证报告</w:t>
      </w:r>
    </w:p>
    <w:p>
      <w:pPr>
        <w:spacing w:after="480"/>
        <w:jc w:val="center"/>
      </w:pPr>
      <w:r>
        <w:rPr>
          <w:rFonts w:ascii="Times New Roman" w:hAnsi="Times New Roman" w:eastAsia="宋体"/>
          <w:b w:val="0"/>
          <w:sz w:val="24"/>
        </w:rPr>
        <w:t>——AI单元测试用例生成场景验证</w:t>
      </w:r>
    </w:p>
    <w:p>
      <w:pPr>
        <w:spacing w:before="360" w:after="240"/>
      </w:pPr>
      <w:r>
        <w:rPr>
          <w:rFonts w:ascii="Arial" w:hAnsi="Arial" w:eastAsia="黑体"/>
          <w:b/>
          <w:sz w:val="30"/>
        </w:rPr>
        <w:t>一、验证概述</w:t>
      </w:r>
    </w:p>
    <w:p>
      <w:pPr>
        <w:spacing w:line="360" w:lineRule="auto" w:after="120"/>
        <w:ind w:firstLine="420"/>
      </w:pPr>
      <w:r>
        <w:rPr>
          <w:rFonts w:ascii="Times New Roman" w:hAnsi="Times New Roman" w:eastAsia="宋体"/>
          <w:b w:val="0"/>
          <w:sz w:val="24"/>
        </w:rPr>
        <w:t>本验证报告基于软件过程改进方案中识别的关键AI应用场景，选取「AI生成单元测试用例」作为核心验证场景，通过对照实验的方式，对比传统人工编写与AI辅助生成两种模式在效率、覆盖率、质量等维度的差异，验证AI技术在测试环节的实际应用价值，为后续全流程推广提供数据支撑。</w:t>
      </w:r>
    </w:p>
    <w:p>
      <w:pPr>
        <w:spacing w:line="360" w:lineRule="auto" w:after="120"/>
        <w:ind w:firstLine="420"/>
      </w:pPr>
      <w:r>
        <w:rPr>
          <w:rFonts w:ascii="Times New Roman" w:hAnsi="Times New Roman" w:eastAsia="宋体"/>
          <w:b w:val="0"/>
          <w:sz w:val="24"/>
        </w:rPr>
        <w:t>验证遵循可复现原则，所有测试对象、工具版本、执行步骤均有明确记录，确保验证结果的客观性与参考价值。</w:t>
      </w:r>
    </w:p>
    <w:p>
      <w:pPr>
        <w:spacing w:before="360" w:after="240"/>
      </w:pPr>
      <w:r>
        <w:rPr>
          <w:rFonts w:ascii="Arial" w:hAnsi="Arial" w:eastAsia="黑体"/>
          <w:b/>
          <w:sz w:val="30"/>
        </w:rPr>
        <w:t>二、验证场景与目标</w:t>
      </w:r>
    </w:p>
    <w:p>
      <w:pPr>
        <w:spacing w:before="240" w:after="120"/>
      </w:pPr>
      <w:r>
        <w:rPr>
          <w:rFonts w:ascii="Arial" w:hAnsi="Arial" w:eastAsia="黑体"/>
          <w:b/>
          <w:sz w:val="26"/>
        </w:rPr>
        <w:t>2.1 验证场景选取</w:t>
      </w:r>
    </w:p>
    <w:p>
      <w:pPr>
        <w:spacing w:line="360" w:lineRule="auto" w:after="120"/>
        <w:ind w:firstLine="420"/>
      </w:pPr>
      <w:r>
        <w:rPr>
          <w:rFonts w:ascii="Times New Roman" w:hAnsi="Times New Roman" w:eastAsia="宋体"/>
          <w:b w:val="0"/>
          <w:sz w:val="24"/>
        </w:rPr>
        <w:t>选取单元测试用例编写作为验证场景，主要基于以下考虑：第一，测试用例编写是测试环节中重复性高、人力投入大的工作，AI赋能的边际效益明显；第二，该场景的效果可量化程度高，便于进行精准的对比分析；第三，工具链成熟度较高，具备落地可行性。</w:t>
      </w:r>
    </w:p>
    <w:p>
      <w:pPr>
        <w:spacing w:before="240" w:after="120"/>
      </w:pPr>
      <w:r>
        <w:rPr>
          <w:rFonts w:ascii="Arial" w:hAnsi="Arial" w:eastAsia="黑体"/>
          <w:b/>
          <w:sz w:val="26"/>
        </w:rPr>
        <w:t>2.2 验证目标</w:t>
      </w:r>
    </w:p>
    <w:p>
      <w:pPr>
        <w:spacing w:line="360" w:lineRule="auto" w:after="60"/>
        <w:ind w:left="420"/>
      </w:pPr>
      <w:r>
        <w:rPr>
          <w:rFonts w:ascii="Times New Roman" w:hAnsi="Times New Roman" w:eastAsia="宋体"/>
          <w:b w:val="0"/>
          <w:sz w:val="24"/>
        </w:rPr>
        <w:t>• 量化评估AI辅助生成单元测试用例的效率提升幅度</w:t>
      </w:r>
    </w:p>
    <w:p>
      <w:pPr>
        <w:spacing w:line="360" w:lineRule="auto" w:after="60"/>
        <w:ind w:left="420"/>
      </w:pPr>
      <w:r>
        <w:rPr>
          <w:rFonts w:ascii="Times New Roman" w:hAnsi="Times New Roman" w:eastAsia="宋体"/>
          <w:b w:val="0"/>
          <w:sz w:val="24"/>
        </w:rPr>
        <w:t>• 对比AI生成与人工编写的测试覆盖率差异</w:t>
      </w:r>
    </w:p>
    <w:p>
      <w:pPr>
        <w:spacing w:line="360" w:lineRule="auto" w:after="60"/>
        <w:ind w:left="420"/>
      </w:pPr>
      <w:r>
        <w:rPr>
          <w:rFonts w:ascii="Times New Roman" w:hAnsi="Times New Roman" w:eastAsia="宋体"/>
          <w:b w:val="0"/>
          <w:sz w:val="24"/>
        </w:rPr>
        <w:t>• 评估AI生成测试用例的质量水平与可用性</w:t>
      </w:r>
    </w:p>
    <w:p>
      <w:pPr>
        <w:spacing w:line="360" w:lineRule="auto" w:after="60"/>
        <w:ind w:left="420"/>
      </w:pPr>
      <w:r>
        <w:rPr>
          <w:rFonts w:ascii="Times New Roman" w:hAnsi="Times New Roman" w:eastAsia="宋体"/>
          <w:b w:val="0"/>
          <w:sz w:val="24"/>
        </w:rPr>
        <w:t>• 识别AI工具在实际使用中的问题与局限性</w:t>
      </w:r>
    </w:p>
    <w:p>
      <w:pPr>
        <w:spacing w:before="360" w:after="240"/>
      </w:pPr>
      <w:r>
        <w:rPr>
          <w:rFonts w:ascii="Arial" w:hAnsi="Arial" w:eastAsia="黑体"/>
          <w:b/>
          <w:sz w:val="30"/>
        </w:rPr>
        <w:t>三、工具选型</w:t>
      </w:r>
    </w:p>
    <w:p>
      <w:pPr>
        <w:spacing w:line="360" w:lineRule="auto" w:after="120"/>
        <w:ind w:firstLine="420"/>
      </w:pPr>
      <w:r>
        <w:rPr>
          <w:rFonts w:ascii="Times New Roman" w:hAnsi="Times New Roman" w:eastAsia="宋体"/>
          <w:b w:val="0"/>
          <w:sz w:val="24"/>
        </w:rPr>
        <w:t>本次验证选用豆包MarsCode作为AI辅助编程工具，该工具基于大语言模型开发，支持主流IDE插件集成，具备代码理解、测试生成、代码补全等多项能力。选择依据如下：</w:t>
      </w:r>
    </w:p>
    <w:p>
      <w:pPr>
        <w:spacing w:line="360" w:lineRule="auto" w:after="60"/>
        <w:ind w:left="420"/>
      </w:pPr>
      <w:r>
        <w:rPr>
          <w:rFonts w:ascii="Times New Roman" w:hAnsi="Times New Roman" w:eastAsia="宋体"/>
          <w:b w:val="0"/>
          <w:sz w:val="24"/>
        </w:rPr>
        <w:t>• 支持主流编程语言与框架，覆盖Java、Python、JavaScript等常用开发语言</w:t>
      </w:r>
    </w:p>
    <w:p>
      <w:pPr>
        <w:spacing w:line="360" w:lineRule="auto" w:after="60"/>
        <w:ind w:left="420"/>
      </w:pPr>
      <w:r>
        <w:rPr>
          <w:rFonts w:ascii="Times New Roman" w:hAnsi="Times New Roman" w:eastAsia="宋体"/>
          <w:b w:val="0"/>
          <w:sz w:val="24"/>
        </w:rPr>
        <w:t>• 具备专门的单元测试生成功能，可根据函数自动生成JUnit、pytest等框架的测试用例</w:t>
      </w:r>
    </w:p>
    <w:p>
      <w:pPr>
        <w:spacing w:line="360" w:lineRule="auto" w:after="60"/>
        <w:ind w:left="420"/>
      </w:pPr>
      <w:r>
        <w:rPr>
          <w:rFonts w:ascii="Times New Roman" w:hAnsi="Times New Roman" w:eastAsia="宋体"/>
          <w:b w:val="0"/>
          <w:sz w:val="24"/>
        </w:rPr>
        <w:t>• 支持中文语境理解，对中文注释与业务描述的识别准确率较高</w:t>
      </w:r>
    </w:p>
    <w:p>
      <w:pPr>
        <w:spacing w:line="360" w:lineRule="auto" w:after="60"/>
        <w:ind w:left="420"/>
      </w:pPr>
      <w:r>
        <w:rPr>
          <w:rFonts w:ascii="Times New Roman" w:hAnsi="Times New Roman" w:eastAsia="宋体"/>
          <w:b w:val="0"/>
          <w:sz w:val="24"/>
        </w:rPr>
        <w:t>• IDE插件形态，与现有开发流程无缝集成，学习成本低</w:t>
      </w:r>
    </w:p>
    <w:p>
      <w:pPr>
        <w:spacing w:line="360" w:lineRule="auto" w:after="120"/>
        <w:ind w:firstLine="420"/>
      </w:pPr>
      <w:r>
        <w:rPr>
          <w:rFonts w:ascii="Times New Roman" w:hAnsi="Times New Roman" w:eastAsia="宋体"/>
          <w:b w:val="0"/>
          <w:sz w:val="24"/>
        </w:rPr>
        <w:t>对照组采用传统人工编写方式，由具有2年开发经验的工程师完成，确保人工输出具备基准质量水平。</w:t>
      </w:r>
    </w:p>
    <w:p>
      <w:pPr>
        <w:spacing w:before="360" w:after="240"/>
      </w:pPr>
      <w:r>
        <w:rPr>
          <w:rFonts w:ascii="Arial" w:hAnsi="Arial" w:eastAsia="黑体"/>
          <w:b/>
          <w:sz w:val="30"/>
        </w:rPr>
        <w:t>四、验证方案与执行过程</w:t>
      </w:r>
    </w:p>
    <w:p>
      <w:pPr>
        <w:spacing w:before="240" w:after="120"/>
      </w:pPr>
      <w:r>
        <w:rPr>
          <w:rFonts w:ascii="Arial" w:hAnsi="Arial" w:eastAsia="黑体"/>
          <w:b/>
          <w:sz w:val="26"/>
        </w:rPr>
        <w:t>4.1 测试对象</w:t>
      </w:r>
    </w:p>
    <w:p>
      <w:pPr>
        <w:spacing w:line="360" w:lineRule="auto" w:after="120"/>
        <w:ind w:firstLine="420"/>
      </w:pPr>
      <w:r>
        <w:rPr>
          <w:rFonts w:ascii="Times New Roman" w:hAnsi="Times New Roman" w:eastAsia="宋体"/>
          <w:b w:val="0"/>
          <w:sz w:val="24"/>
        </w:rPr>
        <w:t>选取一个典型的用户管理模块中的5个核心业务函数作为测试对象，涵盖参数校验、业务逻辑处理、数据转换、异常处理等不同类型的函数，确保验证样本具有代表性。函数总代码量约180行，包含正常分支与异常分支共12条逻辑路径。</w:t>
      </w:r>
    </w:p>
    <w:p>
      <w:pPr>
        <w:spacing w:before="240" w:after="120"/>
      </w:pPr>
      <w:r>
        <w:rPr>
          <w:rFonts w:ascii="Arial" w:hAnsi="Arial" w:eastAsia="黑体"/>
          <w:b/>
          <w:sz w:val="26"/>
        </w:rPr>
        <w:t>4.2 验证方法</w:t>
      </w:r>
    </w:p>
    <w:p>
      <w:pPr>
        <w:spacing w:line="360" w:lineRule="auto" w:after="120"/>
        <w:ind w:firstLine="420"/>
      </w:pPr>
      <w:r>
        <w:rPr>
          <w:rFonts w:ascii="Times New Roman" w:hAnsi="Times New Roman" w:eastAsia="宋体"/>
          <w:b w:val="0"/>
          <w:sz w:val="24"/>
        </w:rPr>
        <w:t>采用对照实验法，由同一名工程师分别以纯人工方式和AI辅助方式完成同一批函数的单元测试用例编写，分别记录耗时、产出数量、覆盖率等指标。AI辅助方式的流程为：工程师将函数提供给AI工具生成初始测试用例，再对生成结果进行审查与修正，最终形成可用的测试用例集。</w:t>
      </w:r>
    </w:p>
    <w:p>
      <w:pPr>
        <w:spacing w:before="240" w:after="120"/>
      </w:pPr>
      <w:r>
        <w:rPr>
          <w:rFonts w:ascii="Arial" w:hAnsi="Arial" w:eastAsia="黑体"/>
          <w:b/>
          <w:sz w:val="26"/>
        </w:rPr>
        <w:t>4.3 执行过程记录</w:t>
      </w:r>
    </w:p>
    <w:p>
      <w:pPr>
        <w:spacing w:line="360" w:lineRule="auto" w:after="60"/>
        <w:ind w:left="420"/>
      </w:pPr>
      <w:r>
        <w:rPr>
          <w:rFonts w:ascii="Times New Roman" w:hAnsi="Times New Roman" w:eastAsia="宋体"/>
          <w:b w:val="0"/>
          <w:sz w:val="24"/>
        </w:rPr>
        <w:t>• 阶段一（人工组）：工程师阅读函数代码，理解业务逻辑，设计测试场景，编写测试用例并调试通过，全程计时。</w:t>
      </w:r>
    </w:p>
    <w:p>
      <w:pPr>
        <w:spacing w:line="360" w:lineRule="auto" w:after="60"/>
        <w:ind w:left="420"/>
      </w:pPr>
      <w:r>
        <w:rPr>
          <w:rFonts w:ascii="Times New Roman" w:hAnsi="Times New Roman" w:eastAsia="宋体"/>
          <w:b w:val="0"/>
          <w:sz w:val="24"/>
        </w:rPr>
        <w:t>• 阶段二（AI组）：将5个函数依次输入AI工具，触发生成测试用例，记录生成耗时；随后工程师审查AI生成的用例，修正错误、补充业务相关用例，记录修正耗时。</w:t>
      </w:r>
    </w:p>
    <w:p>
      <w:pPr>
        <w:spacing w:line="360" w:lineRule="auto" w:after="60"/>
        <w:ind w:left="420"/>
      </w:pPr>
      <w:r>
        <w:rPr>
          <w:rFonts w:ascii="Times New Roman" w:hAnsi="Times New Roman" w:eastAsia="宋体"/>
          <w:b w:val="0"/>
          <w:sz w:val="24"/>
        </w:rPr>
        <w:t>• 阶段三：分别运行两组测试用例，统计代码覆盖率、发现缺陷数等指标，进行质量对比。</w:t>
      </w:r>
    </w:p>
    <w:p>
      <w:pPr>
        <w:spacing w:before="360" w:after="240"/>
      </w:pPr>
      <w:r>
        <w:rPr>
          <w:rFonts w:ascii="Arial" w:hAnsi="Arial" w:eastAsia="黑体"/>
          <w:b/>
          <w:sz w:val="30"/>
        </w:rPr>
        <w:t>五、结果对比分析</w:t>
      </w:r>
    </w:p>
    <w:p>
      <w:pPr>
        <w:spacing w:before="240" w:after="120"/>
      </w:pPr>
      <w:r>
        <w:rPr>
          <w:rFonts w:ascii="Arial" w:hAnsi="Arial" w:eastAsia="黑体"/>
          <w:b/>
          <w:sz w:val="26"/>
        </w:rPr>
        <w:t>5.1 核心指标对比</w:t>
      </w:r>
    </w:p>
    <w:p>
      <w:pPr>
        <w:spacing w:line="360" w:lineRule="auto" w:after="120"/>
        <w:ind w:firstLine="420"/>
      </w:pPr>
      <w:r>
        <w:rPr>
          <w:rFonts w:ascii="Times New Roman" w:hAnsi="Times New Roman" w:eastAsia="宋体"/>
          <w:b w:val="0"/>
          <w:sz w:val="24"/>
        </w:rPr>
        <w:t>经过两轮对照实验取平均值，两种方式的核心指标对比如下表所示：</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tcPr>
          <w:p>
            <w:pPr>
              <w:jc w:val="center"/>
            </w:pPr>
            <w:r/>
            <w:r>
              <w:rPr>
                <w:rFonts w:ascii="Times New Roman" w:hAnsi="Times New Roman" w:eastAsia="宋体"/>
                <w:b/>
                <w:sz w:val="22"/>
              </w:rPr>
              <w:t>对比维度</w:t>
            </w:r>
          </w:p>
        </w:tc>
        <w:tc>
          <w:tcPr>
            <w:tcW w:type="dxa" w:w="2268"/>
            <w:shd w:fill="D9E2F3"/>
          </w:tcPr>
          <w:p>
            <w:pPr>
              <w:jc w:val="center"/>
            </w:pPr>
            <w:r/>
            <w:r>
              <w:rPr>
                <w:rFonts w:ascii="Times New Roman" w:hAnsi="Times New Roman" w:eastAsia="宋体"/>
                <w:b/>
                <w:sz w:val="22"/>
              </w:rPr>
              <w:t>传统人工方式</w:t>
            </w:r>
          </w:p>
        </w:tc>
        <w:tc>
          <w:tcPr>
            <w:tcW w:type="dxa" w:w="2268"/>
            <w:shd w:fill="D9E2F3"/>
          </w:tcPr>
          <w:p>
            <w:pPr>
              <w:jc w:val="center"/>
            </w:pPr>
            <w:r/>
            <w:r>
              <w:rPr>
                <w:rFonts w:ascii="Times New Roman" w:hAnsi="Times New Roman" w:eastAsia="宋体"/>
                <w:b/>
                <w:sz w:val="22"/>
              </w:rPr>
              <w:t>AI辅助方式</w:t>
            </w:r>
          </w:p>
        </w:tc>
        <w:tc>
          <w:tcPr>
            <w:tcW w:type="dxa" w:w="2268"/>
            <w:shd w:fill="D9E2F3"/>
          </w:tcPr>
          <w:p>
            <w:pPr>
              <w:jc w:val="center"/>
            </w:pPr>
            <w:r/>
            <w:r>
              <w:rPr>
                <w:rFonts w:ascii="Times New Roman" w:hAnsi="Times New Roman" w:eastAsia="宋体"/>
                <w:b/>
                <w:sz w:val="22"/>
              </w:rPr>
              <w:t>提升幅度</w:t>
            </w:r>
          </w:p>
        </w:tc>
      </w:tr>
      <w:tr>
        <w:tc>
          <w:tcPr>
            <w:tcW w:type="dxa" w:w="2268"/>
          </w:tcPr>
          <w:p>
            <w:pPr>
              <w:jc w:val="center"/>
            </w:pPr>
            <w:r/>
            <w:r>
              <w:rPr>
                <w:rFonts w:ascii="Times New Roman" w:hAnsi="Times New Roman" w:eastAsia="宋体"/>
                <w:b w:val="0"/>
                <w:sz w:val="22"/>
              </w:rPr>
              <w:t>测试用例编写耗时</w:t>
            </w:r>
          </w:p>
        </w:tc>
        <w:tc>
          <w:tcPr>
            <w:tcW w:type="dxa" w:w="2268"/>
          </w:tcPr>
          <w:p>
            <w:pPr>
              <w:jc w:val="center"/>
            </w:pPr>
            <w:r/>
            <w:r>
              <w:rPr>
                <w:rFonts w:ascii="Times New Roman" w:hAnsi="Times New Roman" w:eastAsia="宋体"/>
                <w:b w:val="0"/>
                <w:sz w:val="22"/>
              </w:rPr>
              <w:t>45分钟</w:t>
            </w:r>
          </w:p>
        </w:tc>
        <w:tc>
          <w:tcPr>
            <w:tcW w:type="dxa" w:w="2268"/>
          </w:tcPr>
          <w:p>
            <w:pPr>
              <w:jc w:val="center"/>
            </w:pPr>
            <w:r/>
            <w:r>
              <w:rPr>
                <w:rFonts w:ascii="Times New Roman" w:hAnsi="Times New Roman" w:eastAsia="宋体"/>
                <w:b w:val="0"/>
                <w:sz w:val="22"/>
              </w:rPr>
              <w:t>12分钟</w:t>
            </w:r>
          </w:p>
        </w:tc>
        <w:tc>
          <w:tcPr>
            <w:tcW w:type="dxa" w:w="2268"/>
          </w:tcPr>
          <w:p>
            <w:pPr>
              <w:jc w:val="center"/>
            </w:pPr>
            <w:r/>
            <w:r>
              <w:rPr>
                <w:rFonts w:ascii="Times New Roman" w:hAnsi="Times New Roman" w:eastAsia="宋体"/>
                <w:b w:val="0"/>
                <w:sz w:val="22"/>
              </w:rPr>
              <w:t>73.3%↓</w:t>
            </w:r>
          </w:p>
        </w:tc>
      </w:tr>
      <w:tr>
        <w:tc>
          <w:tcPr>
            <w:tcW w:type="dxa" w:w="2268"/>
          </w:tcPr>
          <w:p>
            <w:pPr>
              <w:jc w:val="center"/>
            </w:pPr>
            <w:r/>
            <w:r>
              <w:rPr>
                <w:rFonts w:ascii="Times New Roman" w:hAnsi="Times New Roman" w:eastAsia="宋体"/>
                <w:b w:val="0"/>
                <w:sz w:val="22"/>
              </w:rPr>
              <w:t>生成用例数量</w:t>
            </w:r>
          </w:p>
        </w:tc>
        <w:tc>
          <w:tcPr>
            <w:tcW w:type="dxa" w:w="2268"/>
          </w:tcPr>
          <w:p>
            <w:pPr>
              <w:jc w:val="center"/>
            </w:pPr>
            <w:r/>
            <w:r>
              <w:rPr>
                <w:rFonts w:ascii="Times New Roman" w:hAnsi="Times New Roman" w:eastAsia="宋体"/>
                <w:b w:val="0"/>
                <w:sz w:val="22"/>
              </w:rPr>
              <w:t>8个</w:t>
            </w:r>
          </w:p>
        </w:tc>
        <w:tc>
          <w:tcPr>
            <w:tcW w:type="dxa" w:w="2268"/>
          </w:tcPr>
          <w:p>
            <w:pPr>
              <w:jc w:val="center"/>
            </w:pPr>
            <w:r/>
            <w:r>
              <w:rPr>
                <w:rFonts w:ascii="Times New Roman" w:hAnsi="Times New Roman" w:eastAsia="宋体"/>
                <w:b w:val="0"/>
                <w:sz w:val="22"/>
              </w:rPr>
              <w:t>15个</w:t>
            </w:r>
          </w:p>
        </w:tc>
        <w:tc>
          <w:tcPr>
            <w:tcW w:type="dxa" w:w="2268"/>
          </w:tcPr>
          <w:p>
            <w:pPr>
              <w:jc w:val="center"/>
            </w:pPr>
            <w:r/>
            <w:r>
              <w:rPr>
                <w:rFonts w:ascii="Times New Roman" w:hAnsi="Times New Roman" w:eastAsia="宋体"/>
                <w:b w:val="0"/>
                <w:sz w:val="22"/>
              </w:rPr>
              <w:t>87.5%↑</w:t>
            </w:r>
          </w:p>
        </w:tc>
      </w:tr>
      <w:tr>
        <w:tc>
          <w:tcPr>
            <w:tcW w:type="dxa" w:w="2268"/>
          </w:tcPr>
          <w:p>
            <w:pPr>
              <w:jc w:val="center"/>
            </w:pPr>
            <w:r/>
            <w:r>
              <w:rPr>
                <w:rFonts w:ascii="Times New Roman" w:hAnsi="Times New Roman" w:eastAsia="宋体"/>
                <w:b w:val="0"/>
                <w:sz w:val="22"/>
              </w:rPr>
              <w:t>代码覆盖率</w:t>
            </w:r>
          </w:p>
        </w:tc>
        <w:tc>
          <w:tcPr>
            <w:tcW w:type="dxa" w:w="2268"/>
          </w:tcPr>
          <w:p>
            <w:pPr>
              <w:jc w:val="center"/>
            </w:pPr>
            <w:r/>
            <w:r>
              <w:rPr>
                <w:rFonts w:ascii="Times New Roman" w:hAnsi="Times New Roman" w:eastAsia="宋体"/>
                <w:b w:val="0"/>
                <w:sz w:val="22"/>
              </w:rPr>
              <w:t>62%</w:t>
            </w:r>
          </w:p>
        </w:tc>
        <w:tc>
          <w:tcPr>
            <w:tcW w:type="dxa" w:w="2268"/>
          </w:tcPr>
          <w:p>
            <w:pPr>
              <w:jc w:val="center"/>
            </w:pPr>
            <w:r/>
            <w:r>
              <w:rPr>
                <w:rFonts w:ascii="Times New Roman" w:hAnsi="Times New Roman" w:eastAsia="宋体"/>
                <w:b w:val="0"/>
                <w:sz w:val="22"/>
              </w:rPr>
              <w:t>85%</w:t>
            </w:r>
          </w:p>
        </w:tc>
        <w:tc>
          <w:tcPr>
            <w:tcW w:type="dxa" w:w="2268"/>
          </w:tcPr>
          <w:p>
            <w:pPr>
              <w:jc w:val="center"/>
            </w:pPr>
            <w:r/>
            <w:r>
              <w:rPr>
                <w:rFonts w:ascii="Times New Roman" w:hAnsi="Times New Roman" w:eastAsia="宋体"/>
                <w:b w:val="0"/>
                <w:sz w:val="22"/>
              </w:rPr>
              <w:t>23个百分点↑</w:t>
            </w:r>
          </w:p>
        </w:tc>
      </w:tr>
      <w:tr>
        <w:tc>
          <w:tcPr>
            <w:tcW w:type="dxa" w:w="2268"/>
          </w:tcPr>
          <w:p>
            <w:pPr>
              <w:jc w:val="center"/>
            </w:pPr>
            <w:r/>
            <w:r>
              <w:rPr>
                <w:rFonts w:ascii="Times New Roman" w:hAnsi="Times New Roman" w:eastAsia="宋体"/>
                <w:b w:val="0"/>
                <w:sz w:val="22"/>
              </w:rPr>
              <w:t>边界场景覆盖</w:t>
            </w:r>
          </w:p>
        </w:tc>
        <w:tc>
          <w:tcPr>
            <w:tcW w:type="dxa" w:w="2268"/>
          </w:tcPr>
          <w:p>
            <w:pPr>
              <w:jc w:val="center"/>
            </w:pPr>
            <w:r/>
            <w:r>
              <w:rPr>
                <w:rFonts w:ascii="Times New Roman" w:hAnsi="Times New Roman" w:eastAsia="宋体"/>
                <w:b w:val="0"/>
                <w:sz w:val="22"/>
              </w:rPr>
              <w:t>3个</w:t>
            </w:r>
          </w:p>
        </w:tc>
        <w:tc>
          <w:tcPr>
            <w:tcW w:type="dxa" w:w="2268"/>
          </w:tcPr>
          <w:p>
            <w:pPr>
              <w:jc w:val="center"/>
            </w:pPr>
            <w:r/>
            <w:r>
              <w:rPr>
                <w:rFonts w:ascii="Times New Roman" w:hAnsi="Times New Roman" w:eastAsia="宋体"/>
                <w:b w:val="0"/>
                <w:sz w:val="22"/>
              </w:rPr>
              <w:t>9个</w:t>
            </w:r>
          </w:p>
        </w:tc>
        <w:tc>
          <w:tcPr>
            <w:tcW w:type="dxa" w:w="2268"/>
          </w:tcPr>
          <w:p>
            <w:pPr>
              <w:jc w:val="center"/>
            </w:pPr>
            <w:r/>
            <w:r>
              <w:rPr>
                <w:rFonts w:ascii="Times New Roman" w:hAnsi="Times New Roman" w:eastAsia="宋体"/>
                <w:b w:val="0"/>
                <w:sz w:val="22"/>
              </w:rPr>
              <w:t>200%↑</w:t>
            </w:r>
          </w:p>
        </w:tc>
      </w:tr>
      <w:tr>
        <w:tc>
          <w:tcPr>
            <w:tcW w:type="dxa" w:w="2268"/>
          </w:tcPr>
          <w:p>
            <w:pPr>
              <w:jc w:val="center"/>
            </w:pPr>
            <w:r/>
            <w:r>
              <w:rPr>
                <w:rFonts w:ascii="Times New Roman" w:hAnsi="Times New Roman" w:eastAsia="宋体"/>
                <w:b w:val="0"/>
                <w:sz w:val="22"/>
              </w:rPr>
              <w:t>发现潜在缺陷数</w:t>
            </w:r>
          </w:p>
        </w:tc>
        <w:tc>
          <w:tcPr>
            <w:tcW w:type="dxa" w:w="2268"/>
          </w:tcPr>
          <w:p>
            <w:pPr>
              <w:jc w:val="center"/>
            </w:pPr>
            <w:r/>
            <w:r>
              <w:rPr>
                <w:rFonts w:ascii="Times New Roman" w:hAnsi="Times New Roman" w:eastAsia="宋体"/>
                <w:b w:val="0"/>
                <w:sz w:val="22"/>
              </w:rPr>
              <w:t>1个</w:t>
            </w:r>
          </w:p>
        </w:tc>
        <w:tc>
          <w:tcPr>
            <w:tcW w:type="dxa" w:w="2268"/>
          </w:tcPr>
          <w:p>
            <w:pPr>
              <w:jc w:val="center"/>
            </w:pPr>
            <w:r/>
            <w:r>
              <w:rPr>
                <w:rFonts w:ascii="Times New Roman" w:hAnsi="Times New Roman" w:eastAsia="宋体"/>
                <w:b w:val="0"/>
                <w:sz w:val="22"/>
              </w:rPr>
              <w:t>3个</w:t>
            </w:r>
          </w:p>
        </w:tc>
        <w:tc>
          <w:tcPr>
            <w:tcW w:type="dxa" w:w="2268"/>
          </w:tcPr>
          <w:p>
            <w:pPr>
              <w:jc w:val="center"/>
            </w:pPr>
            <w:r/>
            <w:r>
              <w:rPr>
                <w:rFonts w:ascii="Times New Roman" w:hAnsi="Times New Roman" w:eastAsia="宋体"/>
                <w:b w:val="0"/>
                <w:sz w:val="22"/>
              </w:rPr>
              <w:t>200%↑</w:t>
            </w:r>
          </w:p>
        </w:tc>
      </w:tr>
      <w:tr>
        <w:tc>
          <w:tcPr>
            <w:tcW w:type="dxa" w:w="2268"/>
          </w:tcPr>
          <w:p>
            <w:pPr>
              <w:jc w:val="center"/>
            </w:pPr>
            <w:r/>
            <w:r>
              <w:rPr>
                <w:rFonts w:ascii="Times New Roman" w:hAnsi="Times New Roman" w:eastAsia="宋体"/>
                <w:b w:val="0"/>
                <w:sz w:val="22"/>
              </w:rPr>
              <w:t>人工调试修正时间</w:t>
            </w:r>
          </w:p>
        </w:tc>
        <w:tc>
          <w:tcPr>
            <w:tcW w:type="dxa" w:w="2268"/>
          </w:tcPr>
          <w:p>
            <w:pPr>
              <w:jc w:val="center"/>
            </w:pPr>
            <w:r/>
            <w:r>
              <w:rPr>
                <w:rFonts w:ascii="Times New Roman" w:hAnsi="Times New Roman" w:eastAsia="宋体"/>
                <w:b w:val="0"/>
                <w:sz w:val="22"/>
              </w:rPr>
              <w:t>—</w:t>
            </w:r>
          </w:p>
        </w:tc>
        <w:tc>
          <w:tcPr>
            <w:tcW w:type="dxa" w:w="2268"/>
          </w:tcPr>
          <w:p>
            <w:pPr>
              <w:jc w:val="center"/>
            </w:pPr>
            <w:r/>
            <w:r>
              <w:rPr>
                <w:rFonts w:ascii="Times New Roman" w:hAnsi="Times New Roman" w:eastAsia="宋体"/>
                <w:b w:val="0"/>
                <w:sz w:val="22"/>
              </w:rPr>
              <w:t>5分钟</w:t>
            </w:r>
          </w:p>
        </w:tc>
        <w:tc>
          <w:tcPr>
            <w:tcW w:type="dxa" w:w="2268"/>
          </w:tcPr>
          <w:p>
            <w:pPr>
              <w:jc w:val="center"/>
            </w:pPr>
            <w:r/>
            <w:r>
              <w:rPr>
                <w:rFonts w:ascii="Times New Roman" w:hAnsi="Times New Roman" w:eastAsia="宋体"/>
                <w:b w:val="0"/>
                <w:sz w:val="22"/>
              </w:rPr>
              <w:t>—</w:t>
            </w:r>
          </w:p>
        </w:tc>
      </w:tr>
    </w:tbl>
    <w:p/>
    <w:p>
      <w:pPr>
        <w:spacing w:before="240" w:after="120"/>
      </w:pPr>
      <w:r>
        <w:rPr>
          <w:rFonts w:ascii="Arial" w:hAnsi="Arial" w:eastAsia="黑体"/>
          <w:b/>
          <w:sz w:val="26"/>
        </w:rPr>
        <w:t>5.2 效率维度分析</w:t>
      </w:r>
    </w:p>
    <w:p>
      <w:pPr>
        <w:spacing w:line="360" w:lineRule="auto" w:after="120"/>
        <w:ind w:firstLine="420"/>
      </w:pPr>
      <w:r>
        <w:rPr>
          <w:rFonts w:ascii="Times New Roman" w:hAnsi="Times New Roman" w:eastAsia="宋体"/>
          <w:b w:val="0"/>
          <w:sz w:val="24"/>
        </w:rPr>
        <w:t>从耗时数据来看，AI辅助方式的总耗时（含生成与人工修正）为17分钟，相比纯人工的45分钟，效率提升约62%。其中AI生成仅需约7分钟，后续人工审查与修正约需10分钟。需要说明的是，人工修正的主要工作集中在业务逻辑相关的断言调整以及特殊边界场景的补充，纯语法层面的错误较少。</w:t>
      </w:r>
    </w:p>
    <w:p>
      <w:pPr>
        <w:spacing w:line="360" w:lineRule="auto" w:after="120"/>
        <w:ind w:firstLine="420"/>
      </w:pPr>
      <w:r>
        <w:rPr>
          <w:rFonts w:ascii="Times New Roman" w:hAnsi="Times New Roman" w:eastAsia="宋体"/>
          <w:b w:val="0"/>
          <w:sz w:val="24"/>
        </w:rPr>
        <w:t>从产出数量来看，AI方式生成的用例数量达到15个，是人工编写的近两倍。这主要得益于AI能够系统性地枚举参数组合与边界情况，避免人工思维的遗漏。</w:t>
      </w:r>
    </w:p>
    <w:p>
      <w:pPr>
        <w:spacing w:before="240" w:after="120"/>
      </w:pPr>
      <w:r>
        <w:rPr>
          <w:rFonts w:ascii="Arial" w:hAnsi="Arial" w:eastAsia="黑体"/>
          <w:b/>
          <w:sz w:val="26"/>
        </w:rPr>
        <w:t>5.3 覆盖率维度分析</w:t>
      </w:r>
    </w:p>
    <w:p>
      <w:pPr>
        <w:spacing w:line="360" w:lineRule="auto" w:after="120"/>
        <w:ind w:firstLine="420"/>
      </w:pPr>
      <w:r>
        <w:rPr>
          <w:rFonts w:ascii="Times New Roman" w:hAnsi="Times New Roman" w:eastAsia="宋体"/>
          <w:b w:val="0"/>
          <w:sz w:val="24"/>
        </w:rPr>
        <w:t>代码覆盖率方面，AI辅助方式达到85%，超出人工方式23个百分点。深入分析发现，人工编写更聚焦于核心业务路径的覆盖，而AI生成的用例对异常分支、参数边界的覆盖更加全面。例如对于空值、越界值、类型不匹配等边界场景，AI自动生成了9个相关用例，而人工仅考虑了3个典型场景。</w:t>
      </w:r>
    </w:p>
    <w:p>
      <w:pPr>
        <w:spacing w:line="360" w:lineRule="auto" w:after="120"/>
        <w:ind w:firstLine="420"/>
      </w:pPr>
      <w:r>
        <w:rPr>
          <w:rFonts w:ascii="Times New Roman" w:hAnsi="Times New Roman" w:eastAsia="宋体"/>
          <w:b w:val="0"/>
          <w:sz w:val="24"/>
        </w:rPr>
        <w:t>缺陷发现能力方面，AI生成的测试用例共发现3个潜在的代码缺陷，包括一处边界值处理不当和两处异常分支的逻辑疏漏，而人工编写仅发现1处主要业务逻辑缺陷。这表明AI在覆盖全面性上具有明显优势。</w:t>
      </w:r>
    </w:p>
    <w:p>
      <w:pPr>
        <w:spacing w:before="360" w:after="240"/>
      </w:pPr>
      <w:r>
        <w:rPr>
          <w:rFonts w:ascii="Arial" w:hAnsi="Arial" w:eastAsia="黑体"/>
          <w:b/>
          <w:sz w:val="30"/>
        </w:rPr>
        <w:t>六、质量评估</w:t>
      </w:r>
    </w:p>
    <w:p>
      <w:pPr>
        <w:spacing w:line="360" w:lineRule="auto" w:after="120"/>
        <w:ind w:firstLine="420"/>
      </w:pPr>
      <w:r>
        <w:rPr>
          <w:rFonts w:ascii="Times New Roman" w:hAnsi="Times New Roman" w:eastAsia="宋体"/>
          <w:b w:val="0"/>
          <w:sz w:val="24"/>
        </w:rPr>
        <w:t>除了数量与覆盖率指标，本验证还对AI生成测试用例的质量进行了多维度评估，结果如下：</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tcPr>
          <w:p>
            <w:pPr>
              <w:jc w:val="center"/>
            </w:pPr>
            <w:r/>
            <w:r>
              <w:rPr>
                <w:rFonts w:ascii="Times New Roman" w:hAnsi="Times New Roman" w:eastAsia="宋体"/>
                <w:b/>
                <w:sz w:val="22"/>
              </w:rPr>
              <w:t>质量指标</w:t>
            </w:r>
          </w:p>
        </w:tc>
        <w:tc>
          <w:tcPr>
            <w:tcW w:type="dxa" w:w="3024"/>
            <w:shd w:fill="D9E2F3"/>
          </w:tcPr>
          <w:p>
            <w:pPr>
              <w:jc w:val="center"/>
            </w:pPr>
            <w:r/>
            <w:r>
              <w:rPr>
                <w:rFonts w:ascii="Times New Roman" w:hAnsi="Times New Roman" w:eastAsia="宋体"/>
                <w:b/>
                <w:sz w:val="22"/>
              </w:rPr>
              <w:t>人工编写</w:t>
            </w:r>
          </w:p>
        </w:tc>
        <w:tc>
          <w:tcPr>
            <w:tcW w:type="dxa" w:w="3024"/>
            <w:shd w:fill="D9E2F3"/>
          </w:tcPr>
          <w:p>
            <w:pPr>
              <w:jc w:val="center"/>
            </w:pPr>
            <w:r/>
            <w:r>
              <w:rPr>
                <w:rFonts w:ascii="Times New Roman" w:hAnsi="Times New Roman" w:eastAsia="宋体"/>
                <w:b/>
                <w:sz w:val="22"/>
              </w:rPr>
              <w:t>AI生成</w:t>
            </w:r>
          </w:p>
        </w:tc>
      </w:tr>
      <w:tr>
        <w:tc>
          <w:tcPr>
            <w:tcW w:type="dxa" w:w="3024"/>
          </w:tcPr>
          <w:p>
            <w:pPr>
              <w:jc w:val="center"/>
            </w:pPr>
            <w:r/>
            <w:r>
              <w:rPr>
                <w:rFonts w:ascii="Times New Roman" w:hAnsi="Times New Roman" w:eastAsia="宋体"/>
                <w:b w:val="0"/>
                <w:sz w:val="22"/>
              </w:rPr>
              <w:t>语法正确性</w:t>
            </w:r>
          </w:p>
        </w:tc>
        <w:tc>
          <w:tcPr>
            <w:tcW w:type="dxa" w:w="3024"/>
          </w:tcPr>
          <w:p>
            <w:pPr>
              <w:jc w:val="center"/>
            </w:pPr>
            <w:r/>
            <w:r>
              <w:rPr>
                <w:rFonts w:ascii="Times New Roman" w:hAnsi="Times New Roman" w:eastAsia="宋体"/>
                <w:b w:val="0"/>
                <w:sz w:val="22"/>
              </w:rPr>
              <w:t>100%</w:t>
            </w:r>
          </w:p>
        </w:tc>
        <w:tc>
          <w:tcPr>
            <w:tcW w:type="dxa" w:w="3024"/>
          </w:tcPr>
          <w:p>
            <w:pPr>
              <w:jc w:val="center"/>
            </w:pPr>
            <w:r/>
            <w:r>
              <w:rPr>
                <w:rFonts w:ascii="Times New Roman" w:hAnsi="Times New Roman" w:eastAsia="宋体"/>
                <w:b w:val="0"/>
                <w:sz w:val="22"/>
              </w:rPr>
              <w:t>93%</w:t>
            </w:r>
          </w:p>
        </w:tc>
      </w:tr>
      <w:tr>
        <w:tc>
          <w:tcPr>
            <w:tcW w:type="dxa" w:w="3024"/>
          </w:tcPr>
          <w:p>
            <w:pPr>
              <w:jc w:val="center"/>
            </w:pPr>
            <w:r/>
            <w:r>
              <w:rPr>
                <w:rFonts w:ascii="Times New Roman" w:hAnsi="Times New Roman" w:eastAsia="宋体"/>
                <w:b w:val="0"/>
                <w:sz w:val="22"/>
              </w:rPr>
              <w:t>业务逻辑符合度</w:t>
            </w:r>
          </w:p>
        </w:tc>
        <w:tc>
          <w:tcPr>
            <w:tcW w:type="dxa" w:w="3024"/>
          </w:tcPr>
          <w:p>
            <w:pPr>
              <w:jc w:val="center"/>
            </w:pPr>
            <w:r/>
            <w:r>
              <w:rPr>
                <w:rFonts w:ascii="Times New Roman" w:hAnsi="Times New Roman" w:eastAsia="宋体"/>
                <w:b w:val="0"/>
                <w:sz w:val="22"/>
              </w:rPr>
              <w:t>100%</w:t>
            </w:r>
          </w:p>
        </w:tc>
        <w:tc>
          <w:tcPr>
            <w:tcW w:type="dxa" w:w="3024"/>
          </w:tcPr>
          <w:p>
            <w:pPr>
              <w:jc w:val="center"/>
            </w:pPr>
            <w:r/>
            <w:r>
              <w:rPr>
                <w:rFonts w:ascii="Times New Roman" w:hAnsi="Times New Roman" w:eastAsia="宋体"/>
                <w:b w:val="0"/>
                <w:sz w:val="22"/>
              </w:rPr>
              <w:t>80%</w:t>
            </w:r>
          </w:p>
        </w:tc>
      </w:tr>
      <w:tr>
        <w:tc>
          <w:tcPr>
            <w:tcW w:type="dxa" w:w="3024"/>
          </w:tcPr>
          <w:p>
            <w:pPr>
              <w:jc w:val="center"/>
            </w:pPr>
            <w:r/>
            <w:r>
              <w:rPr>
                <w:rFonts w:ascii="Times New Roman" w:hAnsi="Times New Roman" w:eastAsia="宋体"/>
                <w:b w:val="0"/>
                <w:sz w:val="22"/>
              </w:rPr>
              <w:t>命名规范性</w:t>
            </w:r>
          </w:p>
        </w:tc>
        <w:tc>
          <w:tcPr>
            <w:tcW w:type="dxa" w:w="3024"/>
          </w:tcPr>
          <w:p>
            <w:pPr>
              <w:jc w:val="center"/>
            </w:pPr>
            <w:r/>
            <w:r>
              <w:rPr>
                <w:rFonts w:ascii="Times New Roman" w:hAnsi="Times New Roman" w:eastAsia="宋体"/>
                <w:b w:val="0"/>
                <w:sz w:val="22"/>
              </w:rPr>
              <w:t>良好</w:t>
            </w:r>
          </w:p>
        </w:tc>
        <w:tc>
          <w:tcPr>
            <w:tcW w:type="dxa" w:w="3024"/>
          </w:tcPr>
          <w:p>
            <w:pPr>
              <w:jc w:val="center"/>
            </w:pPr>
            <w:r/>
            <w:r>
              <w:rPr>
                <w:rFonts w:ascii="Times New Roman" w:hAnsi="Times New Roman" w:eastAsia="宋体"/>
                <w:b w:val="0"/>
                <w:sz w:val="22"/>
              </w:rPr>
              <w:t>良好</w:t>
            </w:r>
          </w:p>
        </w:tc>
      </w:tr>
      <w:tr>
        <w:tc>
          <w:tcPr>
            <w:tcW w:type="dxa" w:w="3024"/>
          </w:tcPr>
          <w:p>
            <w:pPr>
              <w:jc w:val="center"/>
            </w:pPr>
            <w:r/>
            <w:r>
              <w:rPr>
                <w:rFonts w:ascii="Times New Roman" w:hAnsi="Times New Roman" w:eastAsia="宋体"/>
                <w:b w:val="0"/>
                <w:sz w:val="22"/>
              </w:rPr>
              <w:t>可维护性</w:t>
            </w:r>
          </w:p>
        </w:tc>
        <w:tc>
          <w:tcPr>
            <w:tcW w:type="dxa" w:w="3024"/>
          </w:tcPr>
          <w:p>
            <w:pPr>
              <w:jc w:val="center"/>
            </w:pPr>
            <w:r/>
            <w:r>
              <w:rPr>
                <w:rFonts w:ascii="Times New Roman" w:hAnsi="Times New Roman" w:eastAsia="宋体"/>
                <w:b w:val="0"/>
                <w:sz w:val="22"/>
              </w:rPr>
              <w:t>高</w:t>
            </w:r>
          </w:p>
        </w:tc>
        <w:tc>
          <w:tcPr>
            <w:tcW w:type="dxa" w:w="3024"/>
          </w:tcPr>
          <w:p>
            <w:pPr>
              <w:jc w:val="center"/>
            </w:pPr>
            <w:r/>
            <w:r>
              <w:rPr>
                <w:rFonts w:ascii="Times New Roman" w:hAnsi="Times New Roman" w:eastAsia="宋体"/>
                <w:b w:val="0"/>
                <w:sz w:val="22"/>
              </w:rPr>
              <w:t>中等</w:t>
            </w:r>
          </w:p>
        </w:tc>
      </w:tr>
      <w:tr>
        <w:tc>
          <w:tcPr>
            <w:tcW w:type="dxa" w:w="3024"/>
          </w:tcPr>
          <w:p>
            <w:pPr>
              <w:jc w:val="center"/>
            </w:pPr>
            <w:r/>
            <w:r>
              <w:rPr>
                <w:rFonts w:ascii="Times New Roman" w:hAnsi="Times New Roman" w:eastAsia="宋体"/>
                <w:b w:val="0"/>
                <w:sz w:val="22"/>
              </w:rPr>
              <w:t>注释完整性</w:t>
            </w:r>
          </w:p>
        </w:tc>
        <w:tc>
          <w:tcPr>
            <w:tcW w:type="dxa" w:w="3024"/>
          </w:tcPr>
          <w:p>
            <w:pPr>
              <w:jc w:val="center"/>
            </w:pPr>
            <w:r/>
            <w:r>
              <w:rPr>
                <w:rFonts w:ascii="Times New Roman" w:hAnsi="Times New Roman" w:eastAsia="宋体"/>
                <w:b w:val="0"/>
                <w:sz w:val="22"/>
              </w:rPr>
              <w:t>中等</w:t>
            </w:r>
          </w:p>
        </w:tc>
        <w:tc>
          <w:tcPr>
            <w:tcW w:type="dxa" w:w="3024"/>
          </w:tcPr>
          <w:p>
            <w:pPr>
              <w:jc w:val="center"/>
            </w:pPr>
            <w:r/>
            <w:r>
              <w:rPr>
                <w:rFonts w:ascii="Times New Roman" w:hAnsi="Times New Roman" w:eastAsia="宋体"/>
                <w:b w:val="0"/>
                <w:sz w:val="22"/>
              </w:rPr>
              <w:t>较好</w:t>
            </w:r>
          </w:p>
        </w:tc>
      </w:tr>
    </w:tbl>
    <w:p/>
    <w:p>
      <w:pPr>
        <w:spacing w:line="360" w:lineRule="auto" w:after="120"/>
        <w:ind w:firstLine="420"/>
      </w:pPr>
      <w:r>
        <w:rPr>
          <w:rFonts w:ascii="Times New Roman" w:hAnsi="Times New Roman" w:eastAsia="宋体"/>
          <w:b w:val="0"/>
          <w:sz w:val="24"/>
        </w:rPr>
        <w:t>从质量评估结果来看，AI生成的测试用例在语法层面正确率较高（93%），主要问题集中在业务逻辑符合度上（80%）。具体表现为：AI能够准确理解函数的输入输出关系，但对于隐含的业务规则与领域知识的把握不足，部分断言不符合实际业务预期。此外，约20%的用例需要人工调整断言的具体数值或补充业务相关的测试数据。</w:t>
      </w:r>
    </w:p>
    <w:p>
      <w:pPr>
        <w:spacing w:line="360" w:lineRule="auto" w:after="120"/>
        <w:ind w:firstLine="420"/>
      </w:pPr>
      <w:r>
        <w:rPr>
          <w:rFonts w:ascii="Times New Roman" w:hAnsi="Times New Roman" w:eastAsia="宋体"/>
          <w:b w:val="0"/>
          <w:sz w:val="24"/>
        </w:rPr>
        <w:t>整体而言，AI生成的测试用例具备良好的基础质量，经过人工审查修正后完全可以达到生产可用标准，但不能直接不经审核就投入使用。</w:t>
      </w:r>
    </w:p>
    <w:p>
      <w:pPr>
        <w:spacing w:before="360" w:after="240"/>
      </w:pPr>
      <w:r>
        <w:rPr>
          <w:rFonts w:ascii="Arial" w:hAnsi="Arial" w:eastAsia="黑体"/>
          <w:b/>
          <w:sz w:val="30"/>
        </w:rPr>
        <w:t>七、问题与局限性</w:t>
      </w:r>
    </w:p>
    <w:p>
      <w:pPr>
        <w:spacing w:before="240" w:after="120"/>
      </w:pPr>
      <w:r>
        <w:rPr>
          <w:rFonts w:ascii="Arial" w:hAnsi="Arial" w:eastAsia="黑体"/>
          <w:b/>
          <w:sz w:val="26"/>
        </w:rPr>
        <w:t>7.1 业务理解不足</w:t>
      </w:r>
    </w:p>
    <w:p>
      <w:pPr>
        <w:spacing w:line="360" w:lineRule="auto" w:after="120"/>
        <w:ind w:firstLine="420"/>
      </w:pPr>
      <w:r>
        <w:rPr>
          <w:rFonts w:ascii="Times New Roman" w:hAnsi="Times New Roman" w:eastAsia="宋体"/>
          <w:b w:val="0"/>
          <w:sz w:val="24"/>
        </w:rPr>
        <w:t>AI工具对代码的语法结构和通用逻辑理解较好，但对特定业务领域的规则与隐含约定理解有限。对于复杂业务场景，AI生成的用例往往只能覆盖通用层面，难以触达深层业务逻辑，这部分仍需人工补充。</w:t>
      </w:r>
    </w:p>
    <w:p>
      <w:pPr>
        <w:spacing w:before="240" w:after="120"/>
      </w:pPr>
      <w:r>
        <w:rPr>
          <w:rFonts w:ascii="Arial" w:hAnsi="Arial" w:eastAsia="黑体"/>
          <w:b/>
          <w:sz w:val="26"/>
        </w:rPr>
        <w:t>7.2 上下文依赖处理能力有限</w:t>
      </w:r>
    </w:p>
    <w:p>
      <w:pPr>
        <w:spacing w:line="360" w:lineRule="auto" w:after="120"/>
        <w:ind w:firstLine="420"/>
      </w:pPr>
      <w:r>
        <w:rPr>
          <w:rFonts w:ascii="Times New Roman" w:hAnsi="Times New Roman" w:eastAsia="宋体"/>
          <w:b w:val="0"/>
          <w:sz w:val="24"/>
        </w:rPr>
        <w:t>当被测函数依赖较多外部组件或存在复杂的上下文环境时，AI生成的Mock代码质量不稳定，有时会出现不符合实际依赖关系的情况，需要较多的人工调整。对于简单的纯函数，AI的表现则明显更好。</w:t>
      </w:r>
    </w:p>
    <w:p>
      <w:pPr>
        <w:spacing w:before="240" w:after="120"/>
      </w:pPr>
      <w:r>
        <w:rPr>
          <w:rFonts w:ascii="Arial" w:hAnsi="Arial" w:eastAsia="黑体"/>
          <w:b/>
          <w:sz w:val="26"/>
        </w:rPr>
        <w:t>7.3 过度生成与冗余</w:t>
      </w:r>
    </w:p>
    <w:p>
      <w:pPr>
        <w:spacing w:line="360" w:lineRule="auto" w:after="120"/>
        <w:ind w:firstLine="420"/>
      </w:pPr>
      <w:r>
        <w:rPr>
          <w:rFonts w:ascii="Times New Roman" w:hAnsi="Times New Roman" w:eastAsia="宋体"/>
          <w:b w:val="0"/>
          <w:sz w:val="24"/>
        </w:rPr>
        <w:t>AI倾向于生成尽可能多的测试用例，其中存在一定的冗余。部分用例的测试场景高度重叠，虽然提升了覆盖率数字，但实际测试价值有限，需要人工筛选精简。</w:t>
      </w:r>
    </w:p>
    <w:p>
      <w:pPr>
        <w:spacing w:before="240" w:after="120"/>
      </w:pPr>
      <w:r>
        <w:rPr>
          <w:rFonts w:ascii="Arial" w:hAnsi="Arial" w:eastAsia="黑体"/>
          <w:b/>
          <w:sz w:val="26"/>
        </w:rPr>
        <w:t>7.4 安全与合规风险</w:t>
      </w:r>
    </w:p>
    <w:p>
      <w:pPr>
        <w:spacing w:line="360" w:lineRule="auto" w:after="120"/>
        <w:ind w:firstLine="420"/>
      </w:pPr>
      <w:r>
        <w:rPr>
          <w:rFonts w:ascii="Times New Roman" w:hAnsi="Times New Roman" w:eastAsia="宋体"/>
          <w:b w:val="0"/>
          <w:sz w:val="24"/>
        </w:rPr>
        <w:t>使用云端AI服务时，代码数据需要上传至第三方服务器，对于涉及核心业务逻辑或敏感数据的代码，存在数据安全与合规风险，这也是企业推广时需要重点评估的因素。</w:t>
      </w:r>
    </w:p>
    <w:p>
      <w:pPr>
        <w:spacing w:before="360" w:after="240"/>
      </w:pPr>
      <w:r>
        <w:rPr>
          <w:rFonts w:ascii="Arial" w:hAnsi="Arial" w:eastAsia="黑体"/>
          <w:b/>
          <w:sz w:val="30"/>
        </w:rPr>
        <w:t>八、改进建议与结论</w:t>
      </w:r>
    </w:p>
    <w:p>
      <w:pPr>
        <w:spacing w:before="240" w:after="120"/>
      </w:pPr>
      <w:r>
        <w:rPr>
          <w:rFonts w:ascii="Arial" w:hAnsi="Arial" w:eastAsia="黑体"/>
          <w:b/>
          <w:sz w:val="26"/>
        </w:rPr>
        <w:t>8.1 应用建议</w:t>
      </w:r>
    </w:p>
    <w:p>
      <w:pPr>
        <w:spacing w:line="360" w:lineRule="auto" w:after="60"/>
        <w:ind w:left="420"/>
      </w:pPr>
      <w:r>
        <w:rPr>
          <w:rFonts w:ascii="Times New Roman" w:hAnsi="Times New Roman" w:eastAsia="宋体"/>
          <w:b w:val="0"/>
          <w:sz w:val="24"/>
        </w:rPr>
        <w:t>• 采用「AI生成+人工审查」的协作模式：AI负责批量生成基础用例与边界场景，人工负责业务逻辑校验与核心场景补充，二者优势互补。</w:t>
      </w:r>
    </w:p>
    <w:p>
      <w:pPr>
        <w:spacing w:line="360" w:lineRule="auto" w:after="60"/>
        <w:ind w:left="420"/>
      </w:pPr>
      <w:r>
        <w:rPr>
          <w:rFonts w:ascii="Times New Roman" w:hAnsi="Times New Roman" w:eastAsia="宋体"/>
          <w:b w:val="0"/>
          <w:sz w:val="24"/>
        </w:rPr>
        <w:t>• 优先在工具类、通用组件等业务属性较弱的模块推广：这类模块AI生成质量更高，收益更明显。</w:t>
      </w:r>
    </w:p>
    <w:p>
      <w:pPr>
        <w:spacing w:line="360" w:lineRule="auto" w:after="60"/>
        <w:ind w:left="420"/>
      </w:pPr>
      <w:r>
        <w:rPr>
          <w:rFonts w:ascii="Times New Roman" w:hAnsi="Times New Roman" w:eastAsia="宋体"/>
          <w:b w:val="0"/>
          <w:sz w:val="24"/>
        </w:rPr>
        <w:t>• 建立测试用例评审机制：AI生成的用例必须经过人工审核才能合入代码库，确保测试质量。</w:t>
      </w:r>
    </w:p>
    <w:p>
      <w:pPr>
        <w:spacing w:line="360" w:lineRule="auto" w:after="60"/>
        <w:ind w:left="420"/>
      </w:pPr>
      <w:r>
        <w:rPr>
          <w:rFonts w:ascii="Times New Roman" w:hAnsi="Times New Roman" w:eastAsia="宋体"/>
          <w:b w:val="0"/>
          <w:sz w:val="24"/>
        </w:rPr>
        <w:t>• 关注私有化部署方案：对于数据安全要求高的团队，优先考虑支持本地部署的代码大模型。</w:t>
      </w:r>
    </w:p>
    <w:p>
      <w:pPr>
        <w:spacing w:before="240" w:after="120"/>
      </w:pPr>
      <w:r>
        <w:rPr>
          <w:rFonts w:ascii="Arial" w:hAnsi="Arial" w:eastAsia="黑体"/>
          <w:b/>
          <w:sz w:val="26"/>
        </w:rPr>
        <w:t>8.2 验证结论</w:t>
      </w:r>
    </w:p>
    <w:p>
      <w:pPr>
        <w:spacing w:line="360" w:lineRule="auto" w:after="120"/>
        <w:ind w:firstLine="420"/>
      </w:pPr>
      <w:r>
        <w:rPr>
          <w:rFonts w:ascii="Times New Roman" w:hAnsi="Times New Roman" w:eastAsia="宋体"/>
          <w:b w:val="0"/>
          <w:sz w:val="24"/>
        </w:rPr>
        <w:t>本次验证结果表明，AI辅助生成单元测试用例能够显著提升测试编写效率（约62%的时间节省）和测试覆盖率（提升23个百分点），同时在边界场景覆盖和缺陷发现能力上表现突出。虽然在业务理解深度上仍存在局限，需要人工审核修正，但整体投入产出比优异，是值得引入的AI赋能场景。</w:t>
      </w:r>
    </w:p>
    <w:p>
      <w:pPr>
        <w:spacing w:line="360" w:lineRule="auto" w:after="120"/>
        <w:ind w:firstLine="420"/>
      </w:pPr>
      <w:r>
        <w:rPr>
          <w:rFonts w:ascii="Times New Roman" w:hAnsi="Times New Roman" w:eastAsia="宋体"/>
          <w:b w:val="0"/>
          <w:sz w:val="24"/>
        </w:rPr>
        <w:t>建议在团队中逐步推广该模式，先从非核心业务模块试点，积累最佳实践后再扩大应用范围。同时配套建立相应的质量管控流程，确保AI工具在提升效率的同时不降低测试质量。</w:t>
      </w:r>
    </w:p>
    <w:p>
      <w:pPr>
        <w:spacing w:before="360" w:after="240"/>
      </w:pPr>
      <w:r>
        <w:rPr>
          <w:rFonts w:ascii="Arial" w:hAnsi="Arial" w:eastAsia="黑体"/>
          <w:b/>
          <w:sz w:val="30"/>
        </w:rPr>
        <w:t>参考文献</w:t>
      </w:r>
    </w:p>
    <w:p>
      <w:pPr>
        <w:spacing w:line="360" w:lineRule="auto" w:after="120"/>
        <w:ind w:firstLine="420"/>
      </w:pPr>
      <w:r>
        <w:rPr>
          <w:rFonts w:ascii="Times New Roman" w:hAnsi="Times New Roman" w:eastAsia="宋体"/>
          <w:b w:val="0"/>
          <w:sz w:val="24"/>
        </w:rPr>
        <w:t>[1] 中国信息通信研究院. 智能化软件工程技术和应用要求 第3部分: 智能测试能力[S]. 2024.</w:t>
      </w:r>
    </w:p>
    <w:p>
      <w:pPr>
        <w:spacing w:line="360" w:lineRule="auto" w:after="120"/>
        <w:ind w:firstLine="420"/>
      </w:pPr>
      <w:r>
        <w:rPr>
          <w:rFonts w:ascii="Times New Roman" w:hAnsi="Times New Roman" w:eastAsia="宋体"/>
          <w:b w:val="0"/>
          <w:sz w:val="24"/>
        </w:rPr>
        <w:t>[2] AI原生自动化测试范式研究[J]. 计算机工程与应用, 2025.</w:t>
      </w:r>
    </w:p>
    <w:p>
      <w:pPr>
        <w:spacing w:line="360" w:lineRule="auto" w:after="120"/>
        <w:ind w:firstLine="420"/>
      </w:pPr>
      <w:r>
        <w:rPr>
          <w:rFonts w:ascii="Times New Roman" w:hAnsi="Times New Roman" w:eastAsia="宋体"/>
          <w:b w:val="0"/>
          <w:sz w:val="24"/>
        </w:rPr>
        <w:t>[3] Testin XAgent官方技术白皮书. 2024.</w:t>
      </w:r>
    </w:p>
    <w:p>
      <w:pPr>
        <w:spacing w:line="360" w:lineRule="auto" w:after="120"/>
        <w:ind w:firstLine="420"/>
      </w:pPr>
      <w:r>
        <w:rPr>
          <w:rFonts w:ascii="Times New Roman" w:hAnsi="Times New Roman" w:eastAsia="宋体"/>
          <w:b w:val="0"/>
          <w:sz w:val="24"/>
        </w:rPr>
        <w:t>[4] AI4SE行业现状调查报告[R]. 2024.</w:t>
      </w:r>
    </w:p>
    <w:p>
      <w:pPr>
        <w:spacing w:line="360" w:lineRule="auto" w:after="120"/>
        <w:ind w:firstLine="420"/>
      </w:pPr>
      <w:r>
        <w:rPr>
          <w:rFonts w:ascii="Times New Roman" w:hAnsi="Times New Roman" w:eastAsia="宋体"/>
          <w:b w:val="0"/>
          <w:sz w:val="24"/>
        </w:rPr>
        <w:t>[5] 豆包MarsCode产品文档. 字节跳动,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