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78" w:rsidRPr="00C177BA" w:rsidRDefault="002A6F3B" w:rsidP="008E192B">
      <w:pPr>
        <w:spacing w:line="360" w:lineRule="auto"/>
        <w:ind w:left="1416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UNIVERSIDADE FEDERAL FLUMINENSE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INSTITUTO DE MATEMATICA 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DEPARTAMENTO DE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5258AD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LYNCOLN SOUSA DE OLIVEIRA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8E192B" w:rsidRDefault="00F645E3" w:rsidP="008E19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192B">
        <w:rPr>
          <w:rFonts w:ascii="Times New Roman" w:hAnsi="Times New Roman" w:cs="Times New Roman"/>
          <w:b/>
          <w:sz w:val="32"/>
          <w:szCs w:val="32"/>
        </w:rPr>
        <w:t>Comparando modelos de séries temporais para a previsão de médias mensais de vazão de afluentes da Usina Hidrelétrica de Itá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2A6F3B" w:rsidP="008E192B">
      <w:pPr>
        <w:spacing w:line="360" w:lineRule="auto"/>
        <w:ind w:left="3540" w:firstLine="708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Trabalho apresentado à disciplina Análise de </w:t>
      </w:r>
    </w:p>
    <w:p w:rsidR="00FF31F2" w:rsidRPr="00C177BA" w:rsidRDefault="002A6F3B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Séries Temporais</w:t>
      </w:r>
      <w:r w:rsidR="00FF31F2" w:rsidRPr="00C177BA">
        <w:rPr>
          <w:rFonts w:ascii="Times New Roman" w:hAnsi="Times New Roman" w:cs="Times New Roman"/>
        </w:rPr>
        <w:t xml:space="preserve"> do Curso de Graduação em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 Estatística da Universidade Federal Fluminense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como requisito parcial para obtenção da nota 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final da disciplina.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ind w:left="2832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PROFESSOR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MOISÉS LIMA DE MENEZES, D.Sc.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Niterói</w:t>
      </w:r>
    </w:p>
    <w:p w:rsidR="00F645E3" w:rsidRPr="00C177BA" w:rsidRDefault="008E192B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FF31F2" w:rsidRPr="00C177BA">
        <w:rPr>
          <w:rFonts w:ascii="Times New Roman" w:hAnsi="Times New Roman" w:cs="Times New Roman"/>
        </w:rPr>
        <w:br w:type="page"/>
      </w:r>
    </w:p>
    <w:p w:rsidR="00F645E3" w:rsidRPr="00C177BA" w:rsidRDefault="00F645E3" w:rsidP="008E192B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7425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9F" w:rsidRPr="00C177BA" w:rsidRDefault="00D8619F" w:rsidP="008E192B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177B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D4480B" w:rsidRDefault="00D861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177BA">
            <w:rPr>
              <w:rFonts w:ascii="Times New Roman" w:hAnsi="Times New Roman" w:cs="Times New Roman"/>
            </w:rPr>
            <w:fldChar w:fldCharType="begin"/>
          </w:r>
          <w:r w:rsidRPr="00C177BA">
            <w:rPr>
              <w:rFonts w:ascii="Times New Roman" w:hAnsi="Times New Roman" w:cs="Times New Roman"/>
            </w:rPr>
            <w:instrText xml:space="preserve"> TOC \o "1-3" \h \z \u </w:instrText>
          </w:r>
          <w:r w:rsidRPr="00C177BA">
            <w:rPr>
              <w:rFonts w:ascii="Times New Roman" w:hAnsi="Times New Roman" w:cs="Times New Roman"/>
            </w:rPr>
            <w:fldChar w:fldCharType="separate"/>
          </w:r>
          <w:hyperlink w:anchor="_Toc27061257" w:history="1">
            <w:r w:rsidR="00D4480B" w:rsidRPr="00601CCF">
              <w:rPr>
                <w:rStyle w:val="Hyperlink"/>
                <w:rFonts w:cs="Times New Roman"/>
                <w:noProof/>
              </w:rPr>
              <w:t>1. Introdução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_Toc27061257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58" w:history="1">
            <w:r w:rsidR="00D4480B" w:rsidRPr="00601CCF">
              <w:rPr>
                <w:rStyle w:val="Hyperlink"/>
                <w:rFonts w:cs="Times New Roman"/>
                <w:noProof/>
              </w:rPr>
              <w:t>1.1. Contextualização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_Toc27061258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59" w:history="1">
            <w:r w:rsidR="00D4480B" w:rsidRPr="00601CCF">
              <w:rPr>
                <w:rStyle w:val="Hyperlink"/>
                <w:rFonts w:cs="Times New Roman"/>
                <w:noProof/>
              </w:rPr>
              <w:t>1.2. Revisão Bibliográfica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_Toc27061259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4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0" w:history="1">
            <w:r w:rsidR="00D4480B" w:rsidRPr="00601CCF">
              <w:rPr>
                <w:rStyle w:val="Hyperlink"/>
                <w:rFonts w:cs="Times New Roman"/>
                <w:noProof/>
              </w:rPr>
              <w:t>1.3. Proposta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_Toc27061260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4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1" w:history="1">
            <w:r w:rsidR="00D4480B" w:rsidRPr="00601CCF">
              <w:rPr>
                <w:rStyle w:val="Hyperlink"/>
                <w:rFonts w:cs="Times New Roman"/>
                <w:noProof/>
              </w:rPr>
              <w:t>1.4. Estrutura do trabalho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_Toc27061261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5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2" w:history="1">
            <w:r w:rsidR="00D4480B" w:rsidRPr="00601CCF">
              <w:rPr>
                <w:rStyle w:val="Hyperlink"/>
                <w:rFonts w:cs="Times New Roman"/>
                <w:noProof/>
              </w:rPr>
              <w:t>2. Materiais e Métodos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_Toc27061262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5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3" w:history="1">
            <w:r w:rsidR="00D4480B" w:rsidRPr="00601CCF">
              <w:rPr>
                <w:rStyle w:val="Hyperlink"/>
                <w:rFonts w:cs="Times New Roman"/>
                <w:noProof/>
              </w:rPr>
              <w:t>2.1. Séries Temporais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_Toc27061263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5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4" w:history="1">
            <w:r w:rsidR="00D4480B" w:rsidRPr="00601CCF">
              <w:rPr>
                <w:rStyle w:val="Hyperlink"/>
                <w:rFonts w:cs="Times New Roman"/>
                <w:noProof/>
              </w:rPr>
              <w:t>2.2 Testes de hipótese para avaliar o comportamento de séries temporais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_Toc27061264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6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5" w:history="1">
            <w:r w:rsidR="00D4480B" w:rsidRPr="00601CCF">
              <w:rPr>
                <w:rStyle w:val="Hyperlink"/>
                <w:rFonts w:cs="Times New Roman"/>
                <w:noProof/>
              </w:rPr>
              <w:t>2.2.1 Teste de Normalidade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_Toc27061265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7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6" w:history="1">
            <w:r w:rsidR="00D4480B" w:rsidRPr="00601CCF">
              <w:rPr>
                <w:rStyle w:val="Hyperlink"/>
                <w:rFonts w:cs="Times New Roman"/>
                <w:noProof/>
              </w:rPr>
              <w:t>2.2.2 Teste de Estacionariedade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_Toc27061266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8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7" w:history="1">
            <w:r w:rsidR="00D4480B" w:rsidRPr="00601CCF">
              <w:rPr>
                <w:rStyle w:val="Hyperlink"/>
                <w:rFonts w:cs="Times New Roman"/>
                <w:noProof/>
                <w:shd w:val="clear" w:color="auto" w:fill="FFFFFF"/>
              </w:rPr>
              <w:t>2.3 Modelos de Holt-Winters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_Toc27061267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9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8" w:history="1">
            <w:r w:rsidR="00D4480B" w:rsidRPr="00601CCF">
              <w:rPr>
                <w:rStyle w:val="Hyperlink"/>
                <w:rFonts w:cs="Times New Roman"/>
                <w:noProof/>
              </w:rPr>
              <w:t>2.3.1 Holt-Winter com tendência linear e sazonalidade aditiva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_Toc27061268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9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9" w:history="1">
            <w:r w:rsidR="00D4480B" w:rsidRPr="00601CCF">
              <w:rPr>
                <w:rStyle w:val="Hyperlink"/>
                <w:rFonts w:cs="Times New Roman"/>
                <w:noProof/>
              </w:rPr>
              <w:t>2.3.2 Holt-Winter com tendência linear e sazonalidade aditiva com damped trend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_Toc27061269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10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0" w:history="1">
            <w:r w:rsidR="00D4480B" w:rsidRPr="00601CCF">
              <w:rPr>
                <w:rStyle w:val="Hyperlink"/>
                <w:noProof/>
                <w:shd w:val="clear" w:color="auto" w:fill="FFFFFF"/>
              </w:rPr>
              <w:t>2.4 Modelo SARIMA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_Toc27061270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11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1" w:history="1">
            <w:r w:rsidR="00D4480B" w:rsidRPr="00601CCF">
              <w:rPr>
                <w:rStyle w:val="Hyperlink"/>
                <w:noProof/>
              </w:rPr>
              <w:t>2.5 Estatísticas de Aderência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_Toc27061271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11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2" w:history="1">
            <w:r w:rsidR="00D4480B" w:rsidRPr="00601CCF">
              <w:rPr>
                <w:rStyle w:val="Hyperlink"/>
                <w:noProof/>
              </w:rPr>
              <w:t>2.5.1 MAD (Mean Absolute Deviation)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_Toc27061272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11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3" w:history="1">
            <w:r w:rsidR="00D4480B" w:rsidRPr="00601CCF">
              <w:rPr>
                <w:rStyle w:val="Hyperlink"/>
                <w:noProof/>
              </w:rPr>
              <w:t>2.5.2 MSE (Mean Square Error)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_Toc27061273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12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4" w:history="1">
            <w:r w:rsidR="00D4480B" w:rsidRPr="00601CCF">
              <w:rPr>
                <w:rStyle w:val="Hyperlink"/>
                <w:noProof/>
              </w:rPr>
              <w:t>2.5.3 MAPE (Erro Médio Percentual Absuloto)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_Toc27061274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12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5" w:history="1">
            <w:r w:rsidR="00D4480B" w:rsidRPr="00601CCF">
              <w:rPr>
                <w:rStyle w:val="Hyperlink"/>
                <w:noProof/>
              </w:rPr>
              <w:t>2.5.4 RMSE (Raiz Quadrada do Erro Quadrático Médio)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_Toc27061275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12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6" w:history="1">
            <w:r w:rsidR="00D4480B" w:rsidRPr="00601CCF">
              <w:rPr>
                <w:rStyle w:val="Hyperlink"/>
                <w:noProof/>
              </w:rPr>
              <w:t>2.5.5 R</w:t>
            </w:r>
            <w:r w:rsidR="00D4480B" w:rsidRPr="00601CCF">
              <w:rPr>
                <w:rStyle w:val="Hyperlink"/>
                <w:rFonts w:cs="Times New Roman"/>
                <w:noProof/>
                <w:vertAlign w:val="superscript"/>
              </w:rPr>
              <w:t>2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_Toc27061276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7" w:history="1">
            <w:r w:rsidR="00D4480B" w:rsidRPr="00601CCF">
              <w:rPr>
                <w:rStyle w:val="Hyperlink"/>
                <w:rFonts w:cs="Times New Roman"/>
                <w:noProof/>
              </w:rPr>
              <w:t>2.5.6 BIC</w:t>
            </w:r>
            <w:r w:rsidR="00D4480B" w:rsidRPr="00601CCF">
              <w:rPr>
                <w:rStyle w:val="Hyperlink"/>
                <w:noProof/>
              </w:rPr>
              <w:t xml:space="preserve"> (Bayesian information criterion)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_Toc27061277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8" w:history="1">
            <w:r w:rsidR="00D4480B" w:rsidRPr="00601CCF">
              <w:rPr>
                <w:rStyle w:val="Hyperlink"/>
                <w:noProof/>
              </w:rPr>
              <w:t>3. Estudo de Caso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_Toc27061278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9" w:history="1">
            <w:r w:rsidR="00D4480B" w:rsidRPr="00601CCF">
              <w:rPr>
                <w:rStyle w:val="Hyperlink"/>
                <w:noProof/>
              </w:rPr>
              <w:t>4. Resultados e Discussões.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_Toc27061279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15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0" w:history="1">
            <w:r w:rsidR="00D4480B" w:rsidRPr="00601CCF">
              <w:rPr>
                <w:rStyle w:val="Hyperlink"/>
                <w:rFonts w:cs="Times New Roman"/>
                <w:noProof/>
              </w:rPr>
              <w:t>4.1.</w:t>
            </w:r>
            <w:r w:rsidR="00D4480B" w:rsidRPr="00601CCF">
              <w:rPr>
                <w:rStyle w:val="Hyperlink"/>
                <w:noProof/>
                <w:shd w:val="clear" w:color="auto" w:fill="FFFFFF"/>
              </w:rPr>
              <w:t xml:space="preserve"> Método de Holt-Winters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_Toc27061280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15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1" w:history="1">
            <w:r w:rsidR="00D4480B" w:rsidRPr="00601CCF">
              <w:rPr>
                <w:rStyle w:val="Hyperlink"/>
                <w:noProof/>
              </w:rPr>
              <w:t>4.2. Método Box &amp; Jenkins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_Toc27061281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17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2" w:history="1">
            <w:r w:rsidR="00D4480B" w:rsidRPr="00601CCF">
              <w:rPr>
                <w:rStyle w:val="Hyperlink"/>
                <w:noProof/>
              </w:rPr>
              <w:t>4.3. Comparação dos Resultados dos Modelos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_Toc27061282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22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3" w:history="1">
            <w:r w:rsidR="00D4480B" w:rsidRPr="00601CCF">
              <w:rPr>
                <w:rStyle w:val="Hyperlink"/>
                <w:rFonts w:cs="Times New Roman"/>
                <w:noProof/>
              </w:rPr>
              <w:t>5. Conclusões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_Toc27061283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22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0723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4" w:history="1">
            <w:r w:rsidR="00D4480B" w:rsidRPr="00601CCF">
              <w:rPr>
                <w:rStyle w:val="Hyperlink"/>
                <w:rFonts w:cs="Times New Roman"/>
                <w:noProof/>
              </w:rPr>
              <w:t>6. Referências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_Toc27061284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23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8619F" w:rsidRPr="00C177BA" w:rsidRDefault="00D8619F" w:rsidP="008E192B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D8619F" w:rsidRPr="00C177BA" w:rsidSect="00AF7E78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C177B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45E3" w:rsidRPr="00C177BA" w:rsidRDefault="00F645E3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407DDE">
      <w:pPr>
        <w:pStyle w:val="Ttulo1"/>
        <w:spacing w:line="360" w:lineRule="auto"/>
        <w:jc w:val="both"/>
        <w:rPr>
          <w:rFonts w:cs="Times New Roman"/>
        </w:rPr>
      </w:pPr>
      <w:bookmarkStart w:id="0" w:name="_Toc27061257"/>
      <w:r w:rsidRPr="00C177BA">
        <w:rPr>
          <w:rFonts w:cs="Times New Roman"/>
        </w:rPr>
        <w:t>1. Introdução</w:t>
      </w:r>
      <w:bookmarkEnd w:id="0"/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Atualmente a eletricidade tem um papel fundamental para a sociedade de forma geral, por esse motivo é</w:t>
      </w:r>
      <w:r w:rsidR="00382FAD">
        <w:rPr>
          <w:rFonts w:ascii="Times New Roman" w:hAnsi="Times New Roman" w:cs="Times New Roman"/>
          <w:sz w:val="24"/>
          <w:szCs w:val="24"/>
        </w:rPr>
        <w:t xml:space="preserve"> importante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estudar maneiras de </w:t>
      </w:r>
      <w:r w:rsidR="00FE7548" w:rsidRPr="00C177BA">
        <w:rPr>
          <w:rFonts w:ascii="Times New Roman" w:hAnsi="Times New Roman" w:cs="Times New Roman"/>
          <w:sz w:val="24"/>
          <w:szCs w:val="24"/>
        </w:rPr>
        <w:t>otimizar sua geração</w:t>
      </w:r>
      <w:r w:rsidRPr="00C177BA">
        <w:rPr>
          <w:rFonts w:ascii="Times New Roman" w:hAnsi="Times New Roman" w:cs="Times New Roman"/>
          <w:sz w:val="24"/>
          <w:szCs w:val="24"/>
        </w:rPr>
        <w:t xml:space="preserve">. </w:t>
      </w:r>
      <w:r w:rsidR="00DD3C72" w:rsidRPr="00C177BA">
        <w:rPr>
          <w:rFonts w:ascii="Times New Roman" w:hAnsi="Times New Roman" w:cs="Times New Roman"/>
          <w:sz w:val="24"/>
          <w:szCs w:val="24"/>
        </w:rPr>
        <w:t>Para a sua produção, existem meios que utilizam fontes renováveis e não renováveis</w:t>
      </w:r>
      <w:r w:rsidR="00DD6FFB">
        <w:rPr>
          <w:rFonts w:ascii="Times New Roman" w:hAnsi="Times New Roman" w:cs="Times New Roman"/>
          <w:sz w:val="24"/>
          <w:szCs w:val="24"/>
        </w:rPr>
        <w:t xml:space="preserve"> </w:t>
      </w:r>
      <w:r w:rsidR="00DD3C72" w:rsidRPr="00C177BA">
        <w:rPr>
          <w:rFonts w:ascii="Times New Roman" w:hAnsi="Times New Roman" w:cs="Times New Roman"/>
          <w:sz w:val="24"/>
          <w:szCs w:val="24"/>
        </w:rPr>
        <w:t>[1].</w:t>
      </w:r>
    </w:p>
    <w:p w:rsidR="00DD3C72" w:rsidRPr="00C177BA" w:rsidRDefault="00DD3C7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No Brasil, a principal forma de produção de energia elétrica é feita através das usinas hidrelétricas, que são responsáveis por cerca de 90% de tod</w:t>
      </w:r>
      <w:r w:rsidR="000A1FCF" w:rsidRPr="00C177BA">
        <w:rPr>
          <w:rFonts w:ascii="Times New Roman" w:hAnsi="Times New Roman" w:cs="Times New Roman"/>
          <w:sz w:val="24"/>
          <w:szCs w:val="24"/>
        </w:rPr>
        <w:t>a energia produzida no país</w:t>
      </w:r>
      <w:r w:rsidR="00552F79">
        <w:rPr>
          <w:rFonts w:ascii="Times New Roman" w:hAnsi="Times New Roman" w:cs="Times New Roman"/>
          <w:sz w:val="24"/>
          <w:szCs w:val="24"/>
        </w:rPr>
        <w:t xml:space="preserve"> </w:t>
      </w:r>
      <w:r w:rsidR="000A1FCF" w:rsidRPr="00C177BA">
        <w:rPr>
          <w:rFonts w:ascii="Times New Roman" w:hAnsi="Times New Roman" w:cs="Times New Roman"/>
          <w:sz w:val="24"/>
          <w:szCs w:val="24"/>
        </w:rPr>
        <w:t xml:space="preserve">[2]. </w:t>
      </w:r>
      <w:r w:rsidR="00634BF4" w:rsidRPr="00C177BA">
        <w:rPr>
          <w:rFonts w:ascii="Times New Roman" w:hAnsi="Times New Roman" w:cs="Times New Roman"/>
          <w:sz w:val="24"/>
          <w:szCs w:val="24"/>
        </w:rPr>
        <w:t>Por conta da geografia favorável que conta com muitos rios e desníveis, a produção de energia através das usinas hidrelétricas se torna um método econômico e prático para o Brasil.</w:t>
      </w:r>
    </w:p>
    <w:p w:rsidR="00DD3C72" w:rsidRPr="00C177BA" w:rsidRDefault="00634BF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Com o aumento populacional, industrialização e o avanço da tecnologia, a energia elétrica se tornou cada vez mais necessária</w:t>
      </w:r>
      <w:r w:rsidR="0047510D" w:rsidRPr="00C177BA">
        <w:rPr>
          <w:rFonts w:ascii="Times New Roman" w:hAnsi="Times New Roman" w:cs="Times New Roman"/>
          <w:sz w:val="24"/>
          <w:szCs w:val="24"/>
        </w:rPr>
        <w:t xml:space="preserve"> para sociedade, assim tornando cada vez mais importante a produção e otimização nas usinas[3].</w:t>
      </w:r>
    </w:p>
    <w:p w:rsidR="0047510D" w:rsidRPr="00C177BA" w:rsidRDefault="0047510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Por esses motivos o Brasil é muito prejudicado em períodos de seca, tendo em vista que a necessidade da energia elétrica tende a crescer e quando não há chuva as hidrelétricas não operam com força total. </w:t>
      </w:r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Pr="00C177BA" w:rsidRDefault="00D7775B" w:rsidP="00407DDE">
      <w:pPr>
        <w:pStyle w:val="Ttulo2"/>
        <w:spacing w:line="360" w:lineRule="auto"/>
        <w:jc w:val="both"/>
        <w:rPr>
          <w:rFonts w:cs="Times New Roman"/>
        </w:rPr>
      </w:pPr>
      <w:bookmarkStart w:id="1" w:name="_Toc27061258"/>
      <w:r w:rsidRPr="00C177BA">
        <w:rPr>
          <w:rFonts w:cs="Times New Roman"/>
        </w:rPr>
        <w:t>1.1</w:t>
      </w:r>
      <w:r w:rsidR="005F6A52" w:rsidRPr="00C177BA">
        <w:rPr>
          <w:rFonts w:cs="Times New Roman"/>
        </w:rPr>
        <w:t>.</w:t>
      </w:r>
      <w:r w:rsidRPr="00C177BA">
        <w:rPr>
          <w:rFonts w:cs="Times New Roman"/>
        </w:rPr>
        <w:t xml:space="preserve"> Contextualização</w:t>
      </w:r>
      <w:bookmarkEnd w:id="1"/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88A" w:rsidRPr="00C177BA" w:rsidRDefault="0037388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potência das usinas hidrelétricas é proporcional à vazão de água disponível para movimentas as turbinas. A vazão é medida em determinados pontos dos rios das diversas bacias hidrográficas. </w:t>
      </w:r>
      <w:r w:rsidR="00F40DDF" w:rsidRPr="00C177BA">
        <w:rPr>
          <w:rFonts w:ascii="Times New Roman" w:hAnsi="Times New Roman" w:cs="Times New Roman"/>
          <w:sz w:val="24"/>
          <w:szCs w:val="24"/>
        </w:rPr>
        <w:t>A série das medições de cada ponto forma um conjunto de dados, que podem ser horários, diários ou mensais.</w:t>
      </w:r>
      <w:r w:rsidR="00F40DDF" w:rsidRPr="00C177BA">
        <w:rPr>
          <w:rFonts w:ascii="Times New Roman" w:hAnsi="Times New Roman" w:cs="Times New Roman"/>
        </w:rPr>
        <w:t xml:space="preserve"> </w:t>
      </w:r>
      <w:r w:rsidR="00F40DDF" w:rsidRPr="00C177BA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</w:t>
      </w:r>
      <w:r w:rsidR="00306BFD" w:rsidRPr="00C177BA">
        <w:rPr>
          <w:rFonts w:ascii="Times New Roman" w:hAnsi="Times New Roman" w:cs="Times New Roman"/>
          <w:sz w:val="24"/>
          <w:szCs w:val="24"/>
        </w:rPr>
        <w:t xml:space="preserve"> preciso</w:t>
      </w:r>
      <w:r w:rsidR="00F40DDF" w:rsidRPr="00C177BA">
        <w:rPr>
          <w:rFonts w:ascii="Times New Roman" w:hAnsi="Times New Roman" w:cs="Times New Roman"/>
          <w:sz w:val="24"/>
          <w:szCs w:val="24"/>
        </w:rPr>
        <w:t xml:space="preserve"> da vazão de afluentes das usinas hidrelétricas[4].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O estudo das vazões de afluentes possibilita o entendimento do comportamento do ciclo hidrológico que afeta os rios e as ba</w:t>
      </w:r>
      <w:r w:rsidR="00032C95" w:rsidRPr="00C177BA">
        <w:rPr>
          <w:rFonts w:ascii="Times New Roman" w:hAnsi="Times New Roman" w:cs="Times New Roman"/>
          <w:sz w:val="24"/>
          <w:szCs w:val="24"/>
        </w:rPr>
        <w:t>cias hidrográficas que alimentam</w:t>
      </w:r>
      <w:r w:rsidRPr="00C177BA">
        <w:rPr>
          <w:rFonts w:ascii="Times New Roman" w:hAnsi="Times New Roman" w:cs="Times New Roman"/>
          <w:sz w:val="24"/>
          <w:szCs w:val="24"/>
        </w:rPr>
        <w:t xml:space="preserve"> as hidrelétricas. </w:t>
      </w:r>
      <w:r w:rsidR="00032C95" w:rsidRPr="00C177BA">
        <w:rPr>
          <w:rFonts w:ascii="Times New Roman" w:hAnsi="Times New Roman" w:cs="Times New Roman"/>
          <w:sz w:val="24"/>
          <w:szCs w:val="24"/>
        </w:rPr>
        <w:t>Assim é possível reconhecer períodos de precipitação, anomalias climáticas e outros eventos que venham influencias a geração de energia da usina.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lastRenderedPageBreak/>
        <w:tab/>
        <w:t>Após a coleta de dados das vazões de afluentes, é possível realizar</w:t>
      </w:r>
      <w:r w:rsidR="000C40A7" w:rsidRPr="00C177BA">
        <w:rPr>
          <w:rFonts w:ascii="Times New Roman" w:hAnsi="Times New Roman" w:cs="Times New Roman"/>
          <w:sz w:val="24"/>
          <w:szCs w:val="24"/>
        </w:rPr>
        <w:t xml:space="preserve"> estudos para obter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previsões com objetivo de avaliar condições operacionais futuras das hidrelétricas, o que é importante para otimização do desempenho na geração de energia.</w:t>
      </w:r>
    </w:p>
    <w:p w:rsidR="000C40A7" w:rsidRPr="00C177BA" w:rsidRDefault="000C40A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Para um planejamento adequado sobre a distribuição de energia é necessário que se tenha um controle da vazão de afluentes das usinas hidrelétricas.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306BFD" w:rsidRPr="00C177BA">
        <w:rPr>
          <w:rFonts w:ascii="Times New Roman" w:hAnsi="Times New Roman" w:cs="Times New Roman"/>
          <w:sz w:val="24"/>
          <w:szCs w:val="24"/>
        </w:rPr>
        <w:t>No Brasil existe o Operador Nacional do Sistema Elétrico (ONS) que é o órgão responsável pela regularização, gestão e otimização do Sistema Interligado Nacional (SIN) de geração de energia[5].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A52" w:rsidRPr="00C177BA" w:rsidRDefault="005F6A52" w:rsidP="00407DDE">
      <w:pPr>
        <w:pStyle w:val="Ttulo2"/>
        <w:spacing w:line="360" w:lineRule="auto"/>
        <w:jc w:val="both"/>
        <w:rPr>
          <w:rFonts w:cs="Times New Roman"/>
        </w:rPr>
      </w:pPr>
      <w:bookmarkStart w:id="2" w:name="_Toc27061259"/>
      <w:r w:rsidRPr="00C177BA">
        <w:rPr>
          <w:rFonts w:cs="Times New Roman"/>
        </w:rPr>
        <w:t>1.2. Revisão Bibliográfica</w:t>
      </w:r>
      <w:bookmarkEnd w:id="2"/>
      <w:r w:rsidRPr="00C177BA">
        <w:rPr>
          <w:rFonts w:cs="Times New Roman"/>
        </w:rPr>
        <w:t xml:space="preserve"> </w:t>
      </w:r>
    </w:p>
    <w:p w:rsidR="005F6A52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7B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E2127B" w:rsidRPr="00C177BA">
        <w:rPr>
          <w:rFonts w:ascii="Times New Roman" w:hAnsi="Times New Roman" w:cs="Times New Roman"/>
          <w:sz w:val="24"/>
          <w:szCs w:val="24"/>
        </w:rPr>
        <w:t>Para confecção deste trabalho foram utilizados alguns outros como referência. São pesquisas que envolvem séries temporais ligadas ao tema de produção de energia elétrica. Sã</w:t>
      </w:r>
      <w:r w:rsidR="00F62C1A" w:rsidRPr="00C177BA">
        <w:rPr>
          <w:rFonts w:ascii="Times New Roman" w:hAnsi="Times New Roman" w:cs="Times New Roman"/>
          <w:sz w:val="24"/>
          <w:szCs w:val="24"/>
        </w:rPr>
        <w:t>o est</w:t>
      </w:r>
      <w:r w:rsidR="00407DDE">
        <w:rPr>
          <w:rFonts w:ascii="Times New Roman" w:hAnsi="Times New Roman" w:cs="Times New Roman"/>
          <w:sz w:val="24"/>
          <w:szCs w:val="24"/>
        </w:rPr>
        <w:t>es:</w:t>
      </w:r>
    </w:p>
    <w:p w:rsidR="00E2127B" w:rsidRPr="00C177BA" w:rsidRDefault="00E2127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Menezes et al. (2014) utilizam a filtragem Singular Spectrum Analysis (SSA) em uma série de consumo de energia e aplica os métodos de Holt-Winters e de Box &amp; Jenkins para modelar a série sem e com a filtragem. Neste artigo, os autores concluem que a filtragem melhor</w:t>
      </w:r>
      <w:r w:rsidR="00407DDE">
        <w:rPr>
          <w:rFonts w:ascii="Times New Roman" w:hAnsi="Times New Roman" w:cs="Times New Roman"/>
          <w:sz w:val="24"/>
          <w:szCs w:val="24"/>
        </w:rPr>
        <w:t>a a acurácia das previsões [3].</w:t>
      </w:r>
    </w:p>
    <w:p w:rsidR="00E2127B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Camelo et al. (2016) utilizaram séries temporais para modelar a velocidade de vento para região litorânea no nordeste brasileiro, utilizando o método aditivo de Holt-Winters para a previsão de geração de energia eólica [6].</w:t>
      </w:r>
    </w:p>
    <w:p w:rsidR="00F62C1A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Pinto et al. (2015) apresentam uma análise comparativa de modelos de séries temporais das vazões médias mensais do rio doce utilizando modelos estocásticos da classe SARIMA [7].</w:t>
      </w:r>
    </w:p>
    <w:p w:rsidR="00A64104" w:rsidRPr="00C177BA" w:rsidRDefault="00407DD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1D11" w:rsidRPr="00C177BA" w:rsidRDefault="00041D11" w:rsidP="00407DDE">
      <w:pPr>
        <w:pStyle w:val="Ttulo2"/>
        <w:spacing w:line="360" w:lineRule="auto"/>
        <w:jc w:val="both"/>
        <w:rPr>
          <w:rFonts w:cs="Times New Roman"/>
        </w:rPr>
      </w:pPr>
      <w:bookmarkStart w:id="3" w:name="_Toc27061260"/>
      <w:r w:rsidRPr="00C177BA">
        <w:rPr>
          <w:rFonts w:cs="Times New Roman"/>
        </w:rPr>
        <w:t>1.3. Proposta</w:t>
      </w:r>
      <w:bookmarkEnd w:id="3"/>
    </w:p>
    <w:p w:rsidR="00041D11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30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D2630" w:rsidRPr="00C177BA">
        <w:rPr>
          <w:rFonts w:ascii="Times New Roman" w:hAnsi="Times New Roman" w:cs="Times New Roman"/>
          <w:sz w:val="24"/>
          <w:szCs w:val="24"/>
        </w:rPr>
        <w:t>A proposta desse trabalho é realizar modelagens de séries temporais baseadas nos modelos de Holt-Winters e Box &amp; Jenkins. Com os modelos criados, será necessário escolher aquele que melhor representa os dados, essa escolha será feita com auxílio das estatísticas de aderência (MAD, MSE, RMSE, entre outras).</w:t>
      </w:r>
    </w:p>
    <w:p w:rsidR="00041D11" w:rsidRPr="00C177BA" w:rsidRDefault="00CD263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 Com o melhor modelo em mãos, será possível realizar uma boa previsão de 12 meses à frente de médias mensais de vazões de afluentes na usina hidroelétrica de Itá.</w:t>
      </w:r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Pr="00C177BA" w:rsidRDefault="00D46861" w:rsidP="00407DDE">
      <w:pPr>
        <w:pStyle w:val="Ttulo2"/>
        <w:spacing w:line="360" w:lineRule="auto"/>
        <w:jc w:val="both"/>
        <w:rPr>
          <w:rFonts w:cs="Times New Roman"/>
        </w:rPr>
      </w:pPr>
      <w:bookmarkStart w:id="4" w:name="_Toc27061261"/>
      <w:r w:rsidRPr="00C177BA">
        <w:rPr>
          <w:rFonts w:cs="Times New Roman"/>
        </w:rPr>
        <w:t>1.4. Estrutura do trabalho</w:t>
      </w:r>
      <w:bookmarkEnd w:id="4"/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7D8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1507D8" w:rsidRPr="00C177BA">
        <w:rPr>
          <w:rFonts w:ascii="Times New Roman" w:hAnsi="Times New Roman" w:cs="Times New Roman"/>
          <w:sz w:val="24"/>
          <w:szCs w:val="24"/>
        </w:rPr>
        <w:t xml:space="preserve">Este trabalho está organizado como no seguinte molde, no capítulo 2 serão apresentados os materiais e métodos, dando enfoque aos modelos de amortecimento exponencial de Holt-Winters e os modelos de Box-Jenkins, bem como as estatísticas de aderência a serem utilizadas. 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3 será realizado o estudo do caso, isto é, são dadas informações sobre a série utilizada, o método </w:t>
      </w:r>
      <w:r w:rsidRPr="0059013B">
        <w:rPr>
          <w:rFonts w:ascii="Times New Roman" w:hAnsi="Times New Roman" w:cs="Times New Roman"/>
          <w:i/>
          <w:sz w:val="24"/>
          <w:szCs w:val="24"/>
        </w:rPr>
        <w:t>in sample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C177BA">
        <w:rPr>
          <w:rFonts w:ascii="Times New Roman" w:hAnsi="Times New Roman" w:cs="Times New Roman"/>
          <w:sz w:val="24"/>
          <w:szCs w:val="24"/>
        </w:rPr>
        <w:t>, os softwares utilizados, a representação gráfica da série e algumas medidas descritivas.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4 são apresentadas as quantidades de observações </w:t>
      </w:r>
      <w:r w:rsidRPr="0059013B">
        <w:rPr>
          <w:rFonts w:ascii="Times New Roman" w:hAnsi="Times New Roman" w:cs="Times New Roman"/>
          <w:i/>
          <w:sz w:val="24"/>
          <w:szCs w:val="24"/>
        </w:rPr>
        <w:t>in sample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C177BA">
        <w:rPr>
          <w:rFonts w:ascii="Times New Roman" w:hAnsi="Times New Roman" w:cs="Times New Roman"/>
          <w:sz w:val="24"/>
          <w:szCs w:val="24"/>
        </w:rPr>
        <w:t>, os resultados das predições, e as análises de resíduos do modelo SARIMA.</w:t>
      </w:r>
    </w:p>
    <w:p w:rsidR="00D46861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ab/>
        <w:t>No capítulo 5, são mostradas as conclusões chegadas à cerca das comparações das estatísticas de aderência dos modelos, apontando o modelo escolhido com o melhor ajuste para a série.</w:t>
      </w:r>
    </w:p>
    <w:p w:rsidR="004C443C" w:rsidRPr="00C177BA" w:rsidRDefault="00D46861" w:rsidP="00407DDE">
      <w:pPr>
        <w:pStyle w:val="Ttulo1"/>
        <w:spacing w:line="360" w:lineRule="auto"/>
        <w:jc w:val="both"/>
        <w:rPr>
          <w:rFonts w:cs="Times New Roman"/>
        </w:rPr>
      </w:pPr>
      <w:bookmarkStart w:id="5" w:name="_Toc27061262"/>
      <w:r w:rsidRPr="00C177BA">
        <w:rPr>
          <w:rFonts w:cs="Times New Roman"/>
        </w:rPr>
        <w:t>2. Materiais e Métodos</w:t>
      </w:r>
      <w:bookmarkEnd w:id="5"/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</w:rPr>
      </w:pPr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 xml:space="preserve">Nesta seção serão </w:t>
      </w:r>
      <w:r w:rsidR="003755E0" w:rsidRPr="00C177BA">
        <w:rPr>
          <w:rFonts w:ascii="Times New Roman" w:hAnsi="Times New Roman" w:cs="Times New Roman"/>
          <w:sz w:val="24"/>
          <w:szCs w:val="24"/>
        </w:rPr>
        <w:t>apresentadas</w:t>
      </w:r>
      <w:r w:rsidRPr="00C177BA">
        <w:rPr>
          <w:rFonts w:ascii="Times New Roman" w:hAnsi="Times New Roman" w:cs="Times New Roman"/>
          <w:sz w:val="24"/>
          <w:szCs w:val="24"/>
        </w:rPr>
        <w:t xml:space="preserve"> definições básicas sobre séries temporais e conceitos importantes, tais como os modelos que serão usados (Holt-W</w:t>
      </w:r>
      <w:r w:rsidR="003755E0" w:rsidRPr="00C177BA">
        <w:rPr>
          <w:rFonts w:ascii="Times New Roman" w:hAnsi="Times New Roman" w:cs="Times New Roman"/>
          <w:sz w:val="24"/>
          <w:szCs w:val="24"/>
        </w:rPr>
        <w:t>inters e SARIMA), testes para verificação de hipóteses básicas para utilização do modelo SARIMA e estatísticas de aderência para escolha do melhor modelo para representar os dados observados.</w:t>
      </w:r>
    </w:p>
    <w:p w:rsidR="00152D12" w:rsidRPr="00C177BA" w:rsidRDefault="00152D12" w:rsidP="00407DDE">
      <w:pPr>
        <w:spacing w:line="360" w:lineRule="auto"/>
        <w:rPr>
          <w:rFonts w:ascii="Times New Roman" w:hAnsi="Times New Roman" w:cs="Times New Roman"/>
        </w:rPr>
      </w:pPr>
    </w:p>
    <w:p w:rsidR="00D46861" w:rsidRPr="00C177BA" w:rsidRDefault="00152D12" w:rsidP="00407DDE">
      <w:pPr>
        <w:pStyle w:val="Ttulo2"/>
        <w:spacing w:line="360" w:lineRule="auto"/>
        <w:jc w:val="both"/>
        <w:rPr>
          <w:rFonts w:cs="Times New Roman"/>
        </w:rPr>
      </w:pPr>
      <w:bookmarkStart w:id="6" w:name="_Toc27061263"/>
      <w:r w:rsidRPr="00C177BA">
        <w:rPr>
          <w:rFonts w:cs="Times New Roman"/>
        </w:rPr>
        <w:t>2.1. Séries Temporais</w:t>
      </w:r>
      <w:bookmarkEnd w:id="6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Para descrever o que é formalmente uma série temporal primeiramente é preciso introduzir os conceitos de v.a (variável aleatória) e processos estocásticos.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>Definição 2.1</w:t>
      </w:r>
      <w:r w:rsidRPr="00C177BA">
        <w:rPr>
          <w:rFonts w:ascii="Times New Roman" w:hAnsi="Times New Roman" w:cs="Times New Roman"/>
          <w:sz w:val="24"/>
          <w:szCs w:val="24"/>
        </w:rPr>
        <w:t xml:space="preserve"> Uma </w:t>
      </w:r>
      <w:r w:rsidRPr="00C177BA">
        <w:rPr>
          <w:rFonts w:ascii="Times New Roman" w:hAnsi="Times New Roman" w:cs="Times New Roman"/>
          <w:b/>
          <w:sz w:val="24"/>
          <w:szCs w:val="24"/>
        </w:rPr>
        <w:t>Variável Aleatória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qualquer função X real sobre Ω. Isto é:</w:t>
      </w: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9741E9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X: Ω → ℝ</w:t>
      </w:r>
    </w:p>
    <w:p w:rsidR="00A11696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Tal que, dado x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R qualquer ω → X (ω); o evento (X ≤ x) = {ω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Ω : X (ω) ≤ x}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2.2 </w:t>
      </w:r>
      <w:r w:rsidRPr="00C177BA">
        <w:rPr>
          <w:rFonts w:ascii="Times New Roman" w:hAnsi="Times New Roman" w:cs="Times New Roman"/>
          <w:sz w:val="24"/>
          <w:szCs w:val="24"/>
        </w:rPr>
        <w:t xml:space="preserve">Seja T um conjunto arbitrário. Um </w:t>
      </w:r>
      <w:r w:rsidRPr="00C177BA">
        <w:rPr>
          <w:rFonts w:ascii="Times New Roman" w:hAnsi="Times New Roman" w:cs="Times New Roman"/>
          <w:b/>
          <w:sz w:val="24"/>
          <w:szCs w:val="24"/>
        </w:rPr>
        <w:t>Processo Estocástico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uma família    Z = {Z (t),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T}, tal que, para cara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 (t) é uma variável aleató</w:t>
      </w:r>
      <w:r w:rsidR="00B60896" w:rsidRPr="00C177BA">
        <w:rPr>
          <w:rFonts w:ascii="Times New Roman" w:hAnsi="Times New Roman" w:cs="Times New Roman"/>
          <w:sz w:val="24"/>
          <w:szCs w:val="24"/>
        </w:rPr>
        <w:t>ria [8].</w:t>
      </w:r>
    </w:p>
    <w:p w:rsidR="00821B73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3.3 </w:t>
      </w:r>
      <w:r w:rsidRPr="00C177BA">
        <w:rPr>
          <w:rFonts w:ascii="Times New Roman" w:hAnsi="Times New Roman" w:cs="Times New Roman"/>
          <w:sz w:val="24"/>
          <w:szCs w:val="24"/>
        </w:rPr>
        <w:t>Uma Série Temporal é uma coleção de observações {</w:t>
      </w:r>
      <m:oMath>
        <m:r>
          <w:rPr>
            <w:rFonts w:ascii="Cambria Math" w:hAnsi="Cambria Math" w:cs="Times New Roman"/>
            <w:sz w:val="24"/>
            <w:szCs w:val="24"/>
          </w:rPr>
          <m:t>Zt</m:t>
        </m:r>
      </m:oMath>
      <w:r w:rsidRPr="00C177BA">
        <w:rPr>
          <w:rFonts w:ascii="Times New Roman" w:hAnsi="Times New Roman" w:cs="Times New Roman"/>
          <w:sz w:val="24"/>
          <w:szCs w:val="24"/>
        </w:rPr>
        <w:t>} de um processo estocástico e que estão ordenadas em intervalos regulares de tempo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896" w:rsidRPr="00C177BA" w:rsidRDefault="00B60896" w:rsidP="00407DDE">
      <w:pPr>
        <w:pStyle w:val="Ttulo2"/>
        <w:spacing w:line="360" w:lineRule="auto"/>
        <w:rPr>
          <w:rFonts w:cs="Times New Roman"/>
        </w:rPr>
      </w:pPr>
      <w:bookmarkStart w:id="7" w:name="_Toc27061264"/>
      <w:r w:rsidRPr="00C177BA">
        <w:rPr>
          <w:rFonts w:cs="Times New Roman"/>
        </w:rPr>
        <w:t>2.2 Testes de hipótese para avaliar o comportamento de séries temporais</w:t>
      </w:r>
      <w:bookmarkEnd w:id="7"/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</w:rPr>
      </w:pPr>
    </w:p>
    <w:p w:rsidR="00B60896" w:rsidRPr="00C177BA" w:rsidRDefault="00B608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E53E68" w:rsidRPr="00C177BA">
        <w:rPr>
          <w:rFonts w:ascii="Times New Roman" w:hAnsi="Times New Roman" w:cs="Times New Roman"/>
          <w:sz w:val="24"/>
          <w:szCs w:val="24"/>
        </w:rPr>
        <w:t>Antes de introduzir os testes de hipótese</w:t>
      </w:r>
      <w:r w:rsidR="00FD61E7" w:rsidRPr="00C177BA">
        <w:rPr>
          <w:rFonts w:ascii="Times New Roman" w:hAnsi="Times New Roman" w:cs="Times New Roman"/>
          <w:sz w:val="24"/>
          <w:szCs w:val="24"/>
        </w:rPr>
        <w:t>s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é necessário apresentar alguns conceitos importantes, como estacionariedade e como uma série pode ser decomposta.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 temporal é dita estacionária quando ela se desenvolve no tempo aleatoriamente ao redor de uma média constante, refletindo alguma forma de equilíbrio estável [9].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pode ser decomposta como uma soma de três componentes não-observáveis, essas são: tendência, sazonalidade e um erro aleatório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[8]. </w:t>
      </w:r>
    </w:p>
    <w:p w:rsidR="00E53E68" w:rsidRPr="00C177BA" w:rsidRDefault="00E53E68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53E68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07234A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707315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E68" w:rsidRPr="00C177BA" w:rsidRDefault="00E53E68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Na equação (1)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representa tendência,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 sazonalidade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ru</w:t>
      </w:r>
      <w:r w:rsidR="00FD61E7" w:rsidRPr="00C177BA">
        <w:rPr>
          <w:rFonts w:ascii="Times New Roman" w:eastAsiaTheme="minorEastAsia" w:hAnsi="Times New Roman" w:cs="Times New Roman"/>
          <w:sz w:val="24"/>
          <w:szCs w:val="24"/>
        </w:rPr>
        <w:t>ído branco.</w:t>
      </w:r>
    </w:p>
    <w:p w:rsidR="00FD61E7" w:rsidRPr="00C177BA" w:rsidRDefault="00FD61E7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D61E7" w:rsidRPr="00C177BA" w:rsidRDefault="00FD61E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  <w:t xml:space="preserve">Para a confecção de alguns modelos de séries temporais, como por exemplo os da família Box &amp; Jenkins é necessário que a série seja estacionária e que os ruídos apresentem uma distribuição normal. Por esse motivo é importante verificar essas </w:t>
      </w:r>
      <w:r w:rsidR="000219A1" w:rsidRPr="00C177BA">
        <w:rPr>
          <w:rFonts w:ascii="Times New Roman" w:eastAsiaTheme="minorEastAsia" w:hAnsi="Times New Roman" w:cs="Times New Roman"/>
          <w:sz w:val="24"/>
          <w:szCs w:val="24"/>
        </w:rPr>
        <w:t>condições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através de testes de hipóteses.</w:t>
      </w:r>
    </w:p>
    <w:p w:rsidR="00407DDE" w:rsidRDefault="00407DD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8" w:name="_Toc27061265"/>
      <w:r w:rsidRPr="00C177BA">
        <w:rPr>
          <w:rFonts w:cs="Times New Roman"/>
        </w:rPr>
        <w:t>2.2.1 Teste de Normalidade</w:t>
      </w:r>
      <w:bookmarkEnd w:id="8"/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Existem vários testes de hipóteses para a verificação de normalidade de dados, nesse trabalho utilizaremos o teste de </w:t>
      </w:r>
      <w:r w:rsidRPr="00C177BA">
        <w:rPr>
          <w:rFonts w:ascii="Times New Roman" w:hAnsi="Times New Roman" w:cs="Times New Roman"/>
          <w:b/>
          <w:sz w:val="24"/>
          <w:szCs w:val="24"/>
        </w:rPr>
        <w:t>Shapiro-Wilk.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Proposto em 1965 por Shapiro e Wilk, é baseado nas seguintes hipóteses:</w:t>
      </w:r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C13854" w:rsidRPr="00C177BA" w:rsidRDefault="0007234A" w:rsidP="00407DD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Os dados são provenientes de uma distribuição normal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:Os dados não são provenientes de uma distribuição normal</m:t>
                  </m:r>
                </m:e>
              </m:eqArr>
            </m:e>
          </m:d>
        </m:oMath>
      </m:oMathPara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BE350B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A estatística de teste é dada por:</w:t>
      </w:r>
    </w:p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13854" w:rsidRPr="00C177BA" w:rsidTr="004733A7"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-x̅)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C13854" w:rsidRPr="00C177BA" w:rsidRDefault="004733A7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são os valores amostrais ordenados e </w:t>
      </w:r>
      <w:r w:rsidRPr="00C177BA"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é uma constante definida da forma:</w:t>
      </w:r>
    </w:p>
    <w:p w:rsidR="00662B33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725"/>
        <w:gridCol w:w="2760"/>
      </w:tblGrid>
      <w:tr w:rsidR="00870BD4" w:rsidRPr="00C177BA" w:rsidTr="00870BD4">
        <w:tc>
          <w:tcPr>
            <w:tcW w:w="223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i=1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n-i+1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Se n é par</m:t>
                            </m:r>
                          </m:e>
                        </m:eqAr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&amp;Se n é ímpar</m:t>
                        </m:r>
                      </m:e>
                    </m:eqArr>
                  </m:e>
                </m:d>
              </m:oMath>
            </m:oMathPara>
          </w:p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</w:tcPr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C177BA">
              <w:rPr>
                <w:rFonts w:ascii="Times New Roman" w:hAnsi="Times New Roman" w:cs="Times New Roman"/>
              </w:rPr>
              <w:t>(3)</w:t>
            </w:r>
          </w:p>
        </w:tc>
      </w:tr>
    </w:tbl>
    <w:p w:rsidR="00407DDE" w:rsidRDefault="00D75FD6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n-i+1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são constantes geradas pelas médias, variâncias e covariâncias das estatísticas de ordem de uma amostra de tamanho n de uma distribuição Normal [11].</w:t>
      </w:r>
      <w:r w:rsidR="00407DDE">
        <w:rPr>
          <w:rFonts w:ascii="Times New Roman" w:hAnsi="Times New Roman" w:cs="Times New Roman"/>
          <w:sz w:val="24"/>
          <w:szCs w:val="24"/>
        </w:rPr>
        <w:br w:type="page"/>
      </w:r>
    </w:p>
    <w:p w:rsidR="00BE350B" w:rsidRPr="00C177BA" w:rsidRDefault="00BE350B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75FD6" w:rsidRPr="00C177BA" w:rsidRDefault="00D75FD6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9" w:name="_Toc27061266"/>
      <w:r w:rsidRPr="00C177BA">
        <w:rPr>
          <w:rFonts w:cs="Times New Roman"/>
        </w:rPr>
        <w:t>2.2.2 Teste de Estacionariedade</w:t>
      </w:r>
      <w:bookmarkEnd w:id="9"/>
    </w:p>
    <w:p w:rsidR="000C312C" w:rsidRPr="00C177BA" w:rsidRDefault="000C312C" w:rsidP="00407DDE">
      <w:pPr>
        <w:spacing w:line="360" w:lineRule="auto"/>
        <w:rPr>
          <w:rFonts w:ascii="Times New Roman" w:hAnsi="Times New Roman" w:cs="Times New Roman"/>
        </w:rPr>
      </w:pP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Grande parte dos recursos para séries temporais foram elaborados utilizando o conceito de estacionariedade nas séries. Uma forma geral para analisar este fato é fazendo um estudo da existência de alguma raiz dos</w:t>
      </w:r>
      <w:r w:rsidRPr="00C177BA">
        <w:rPr>
          <w:rFonts w:ascii="Times New Roman" w:hAnsi="Times New Roman" w:cs="Times New Roman"/>
          <w:sz w:val="24"/>
          <w:szCs w:val="24"/>
        </w:rPr>
        <w:t xml:space="preserve"> operadores retardados </w:t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dentro do círculo unitário, denominada simplesmente por raiz unitária [11].</w:t>
      </w:r>
    </w:p>
    <w:p w:rsidR="000C312C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 teste para verificar a existência de raiz unitária é o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C177BA">
        <w:rPr>
          <w:rFonts w:ascii="Times New Roman" w:hAnsi="Times New Roman" w:cs="Times New Roman"/>
          <w:b/>
          <w:sz w:val="24"/>
          <w:szCs w:val="24"/>
        </w:rPr>
        <w:t>teste de Dickey-Fuller Aumentado</w:t>
      </w:r>
      <w:r w:rsidRPr="00C17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>que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é conhecido na literatura como teste ADF (Augmented Dickey-Fuller) e requer o estudo sobre a seguinte regressão:</w:t>
      </w:r>
    </w:p>
    <w:p w:rsidR="00CB1237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520"/>
        <w:gridCol w:w="1023"/>
      </w:tblGrid>
      <w:tr w:rsidR="00CB1237" w:rsidRPr="00C177BA" w:rsidTr="000C6FB8">
        <w:tc>
          <w:tcPr>
            <w:tcW w:w="110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20" w:type="dxa"/>
          </w:tcPr>
          <w:p w:rsidR="00CB1237" w:rsidRPr="00552F79" w:rsidRDefault="00CB1237" w:rsidP="00407DDE">
            <w:pPr>
              <w:spacing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23" w:type="dxa"/>
          </w:tcPr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</w:p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  <w:r w:rsidRPr="00C177BA">
              <w:rPr>
                <w:rFonts w:ascii="Times New Roman" w:eastAsiaTheme="minorEastAsia" w:hAnsi="Times New Roman" w:cs="Times New Roman"/>
              </w:rPr>
              <w:t>(4)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6D4121" w:rsidRPr="00C177BA" w:rsidRDefault="00FA47D3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177BA">
        <w:rPr>
          <w:rFonts w:ascii="Times New Roman" w:eastAsiaTheme="minorEastAsia" w:hAnsi="Times New Roman" w:cs="Times New Roman"/>
        </w:rPr>
        <w:t>Onde</w:t>
      </w:r>
      <w:r w:rsidR="006D4121" w:rsidRPr="00C177BA">
        <w:rPr>
          <w:rFonts w:ascii="Times New Roman" w:eastAsiaTheme="minorEastAsia" w:hAnsi="Times New Roman" w:cs="Times New Roman"/>
        </w:rPr>
        <w:t>:</w:t>
      </w:r>
    </w:p>
    <w:p w:rsidR="006D4121" w:rsidRPr="00C177BA" w:rsidRDefault="006D4121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:rsidR="0001459D" w:rsidRPr="00552F79" w:rsidRDefault="0007234A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intercepto, também denominado como drift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7234A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coeficiente de tendência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 :é o coeficiente de presença de raiz unitária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m:é o numero de defasagens tomadas na série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z: é a série observada.</m:t>
        </m:r>
      </m:oMath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Hipóteses do teste são dadas por:</w:t>
      </w: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Existe pelo menos uma raiz dentro do círculo unitário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:Não existem raizes dentro do círculo unitário</m:t>
                  </m:r>
                </m:e>
              </m:eqArr>
            </m:e>
          </m:d>
        </m:oMath>
      </m:oMathPara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estatística de teste é da forma: </w:t>
      </w: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1237" w:rsidRPr="00C177BA" w:rsidTr="00FA47D3">
        <w:trPr>
          <w:trHeight w:val="472"/>
        </w:trPr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A47D3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237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Onde:</w:t>
      </w: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552F79" w:rsidRDefault="0007234A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FA47D3" w:rsidRPr="00552F79" w:rsidRDefault="00FA47D3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para o desvio padrão do erro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Existe uma maneira visual para verificar a existência estacionariedade na série que é pela a observação do correlograma. Se no gráfico apresentar autocorrelações amostrais que diminuem gradualmente, tem-se um indicativo de não estacionariedade na série.</w:t>
      </w:r>
    </w:p>
    <w:p w:rsidR="00FA47D3" w:rsidRPr="00C177BA" w:rsidRDefault="00FA47D3" w:rsidP="00407DDE">
      <w:pPr>
        <w:spacing w:line="36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D71D3F" w:rsidP="00407DDE">
      <w:pPr>
        <w:pStyle w:val="Ttulo1"/>
        <w:spacing w:line="360" w:lineRule="auto"/>
        <w:rPr>
          <w:rFonts w:cs="Times New Roman"/>
          <w:shd w:val="clear" w:color="auto" w:fill="FFFFFF"/>
        </w:rPr>
      </w:pPr>
      <w:bookmarkStart w:id="10" w:name="_Toc27061267"/>
      <w:r w:rsidRPr="00C177BA">
        <w:rPr>
          <w:rFonts w:cs="Times New Roman"/>
          <w:shd w:val="clear" w:color="auto" w:fill="FFFFFF"/>
        </w:rPr>
        <w:t>2.3 Modelo</w:t>
      </w:r>
      <w:r w:rsidR="00AA14F2" w:rsidRPr="00C177BA">
        <w:rPr>
          <w:rFonts w:cs="Times New Roman"/>
          <w:shd w:val="clear" w:color="auto" w:fill="FFFFFF"/>
        </w:rPr>
        <w:t>s</w:t>
      </w:r>
      <w:r w:rsidRPr="00C177BA">
        <w:rPr>
          <w:rFonts w:cs="Times New Roman"/>
          <w:shd w:val="clear" w:color="auto" w:fill="FFFFFF"/>
        </w:rPr>
        <w:t xml:space="preserve"> de Holt-Winters</w:t>
      </w:r>
      <w:bookmarkEnd w:id="10"/>
    </w:p>
    <w:p w:rsidR="00D71D3F" w:rsidRPr="00C177BA" w:rsidRDefault="00D71D3F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D71D3F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115125" w:rsidRPr="00C177BA">
        <w:rPr>
          <w:rFonts w:ascii="Times New Roman" w:hAnsi="Times New Roman" w:cs="Times New Roman"/>
          <w:sz w:val="24"/>
          <w:szCs w:val="24"/>
        </w:rPr>
        <w:t>Modelos de suavização é uma grande classe de métodos de previsão que se baseiam na ideia de que observações passadas contêm informações sobre o padrão da série temporal. O propósito dos métodos é distinguir um padrão de comportamento de qualquer outro ruído que possa estar contido nas observações da série e então usar esse padrão para prever valores futuros da série [12].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Dentre os modelos de suavização temos os Holt-Winter com tendência linear e sazonalidade aditiva e Holt-Winter com sazonalidade aditiva com damped trend.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pStyle w:val="Ttulo2"/>
        <w:spacing w:line="360" w:lineRule="auto"/>
        <w:rPr>
          <w:rFonts w:cs="Times New Roman"/>
        </w:rPr>
      </w:pPr>
      <w:bookmarkStart w:id="11" w:name="_Toc27061268"/>
      <w:r w:rsidRPr="00C177BA">
        <w:rPr>
          <w:rFonts w:cs="Times New Roman"/>
        </w:rPr>
        <w:t xml:space="preserve">2.3.1 </w:t>
      </w:r>
      <w:r w:rsidR="00DD3F7A" w:rsidRPr="00C177BA">
        <w:rPr>
          <w:rFonts w:cs="Times New Roman"/>
        </w:rPr>
        <w:t>Holt-Winter com tendê</w:t>
      </w:r>
      <w:r w:rsidRPr="00C177BA">
        <w:rPr>
          <w:rFonts w:cs="Times New Roman"/>
        </w:rPr>
        <w:t>ncia linear e sazonalidade aditiva</w:t>
      </w:r>
      <w:bookmarkEnd w:id="11"/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Hiperparâmetros:</w:t>
      </w:r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115125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DD3F7A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="00D71A64"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1A64" w:rsidRPr="00C177BA" w:rsidRDefault="00D71A64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D71A64" w:rsidRPr="00C177BA" w:rsidTr="00D71A64">
        <w:tc>
          <w:tcPr>
            <w:tcW w:w="676" w:type="dxa"/>
          </w:tcPr>
          <w:p w:rsidR="00D71A64" w:rsidRPr="00C177BA" w:rsidRDefault="00D71A64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71A64" w:rsidRPr="00C177BA" w:rsidRDefault="0007234A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D71A64" w:rsidRPr="00C177BA" w:rsidRDefault="00D71A64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pStyle w:val="Ttulo2"/>
        <w:spacing w:line="360" w:lineRule="auto"/>
        <w:rPr>
          <w:rFonts w:cs="Times New Roman"/>
        </w:rPr>
      </w:pPr>
      <w:bookmarkStart w:id="12" w:name="_Toc27061269"/>
      <w:r w:rsidRPr="00C177BA">
        <w:rPr>
          <w:rFonts w:cs="Times New Roman"/>
        </w:rPr>
        <w:t>2.3.2 Holt-Winter com tendência linear e sazonalidade aditiva com damped trend</w:t>
      </w:r>
      <w:bookmarkEnd w:id="12"/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Hiperparâmetros:</w:t>
      </w:r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φ:Constante de amortecimento de Crescimento;</m:t>
        </m:r>
      </m:oMath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4E75E3" w:rsidRPr="00C177BA" w:rsidRDefault="004E75E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4E75E3" w:rsidRPr="00C177BA" w:rsidTr="00C177BA">
        <w:tc>
          <w:tcPr>
            <w:tcW w:w="676" w:type="dxa"/>
          </w:tcPr>
          <w:p w:rsidR="004E75E3" w:rsidRPr="00C177BA" w:rsidRDefault="004E75E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4E75E3" w:rsidRPr="00C177BA" w:rsidRDefault="0007234A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C177BA" w:rsidRDefault="00C177BA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5E3" w:rsidRPr="00C177BA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4E75E3" w:rsidRPr="00C1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07DDE" w:rsidRDefault="00407DDE" w:rsidP="00407DDE">
      <w:pPr>
        <w:pStyle w:val="Ttulo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C312C" w:rsidRDefault="00C177BA" w:rsidP="00407DDE">
      <w:pPr>
        <w:pStyle w:val="Ttulo1"/>
        <w:spacing w:line="360" w:lineRule="auto"/>
        <w:rPr>
          <w:shd w:val="clear" w:color="auto" w:fill="FFFFFF"/>
        </w:rPr>
      </w:pPr>
      <w:bookmarkStart w:id="13" w:name="_Toc27061270"/>
      <w:r>
        <w:rPr>
          <w:shd w:val="clear" w:color="auto" w:fill="FFFFFF"/>
        </w:rPr>
        <w:lastRenderedPageBreak/>
        <w:t>2.4 Modelo SARIMA</w:t>
      </w:r>
      <w:bookmarkEnd w:id="13"/>
    </w:p>
    <w:p w:rsidR="00C177BA" w:rsidRPr="00C177BA" w:rsidRDefault="00C177B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2C372E" w:rsidRDefault="002C372E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177BA">
        <w:rPr>
          <w:rFonts w:ascii="Times New Roman" w:hAnsi="Times New Roman" w:cs="Times New Roman"/>
          <w:sz w:val="24"/>
          <w:szCs w:val="24"/>
        </w:rPr>
        <w:t>O modelo SARIMA é da família de modelos de Box &amp; Jenkins. Este modelo é conhecido por ser um modelo ARIMA com consideração de sazonalidade dos dados. Para um modelo SARIMA (p,d,q) x (P,D,Q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a equação de previsão é:</w:t>
      </w:r>
    </w:p>
    <w:p w:rsidR="00B16AB2" w:rsidRDefault="00B16AB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386"/>
        <w:gridCol w:w="1732"/>
      </w:tblGrid>
      <w:tr w:rsidR="00B16AB2" w:rsidTr="00B16AB2">
        <w:tc>
          <w:tcPr>
            <w:tcW w:w="1526" w:type="dxa"/>
          </w:tcPr>
          <w:p w:rsid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B16AB2" w:rsidRP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=θ(B)Θ(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:rsidR="00B16AB2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B16A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6AB2" w:rsidRDefault="00B16AB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7BA" w:rsidRDefault="00C177BA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6AB2">
        <w:rPr>
          <w:rFonts w:ascii="Times New Roman" w:hAnsi="Times New Roman" w:cs="Times New Roman"/>
          <w:sz w:val="24"/>
          <w:szCs w:val="24"/>
        </w:rPr>
        <w:t>Onde:</w:t>
      </w:r>
    </w:p>
    <w:p w:rsid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é o número de fatores sazonais;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autoregressivo (AR) de ordem p;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AR sazonal de ordem P;</w:t>
      </w:r>
    </w:p>
    <w:p w:rsidR="00B16AB2" w:rsidRPr="00B16AB2" w:rsidRDefault="0007234A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operador de diferenças de ordem d;</w:t>
      </w:r>
    </w:p>
    <w:p w:rsidR="00B16AB2" w:rsidRPr="00B16AB2" w:rsidRDefault="0007234A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b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operador de diferenças sazonais de ordem D;</w:t>
      </w:r>
    </w:p>
    <w:p w:rsidR="00B16AB2" w:rsidRPr="00B16AB2" w:rsidRDefault="0007234A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a série observada;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de médias móveis (MA) de ordem q;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MA sazonal de ordem Q;</w:t>
      </w:r>
    </w:p>
    <w:p w:rsidR="00F63B22" w:rsidRPr="00F63B22" w:rsidRDefault="0007234A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ruído branco.</w:t>
      </w:r>
    </w:p>
    <w:p w:rsidR="00F63B22" w:rsidRDefault="00F63B22" w:rsidP="00407DDE">
      <w:pPr>
        <w:pStyle w:val="Ttulo1"/>
        <w:spacing w:line="360" w:lineRule="auto"/>
      </w:pPr>
      <w:bookmarkStart w:id="14" w:name="_Toc27061271"/>
      <w:r>
        <w:t>2.5 Estatísticas de Aderência</w:t>
      </w:r>
      <w:bookmarkEnd w:id="14"/>
    </w:p>
    <w:p w:rsid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>Depois de realizar algumas modelagens de uma série, é importante saber qual é o melhor modelo que representa os dados. A utilização de estatísticas de aderência é fundamental para essa avaliação. Nesse trabalho será utilizado as seguintes estatísticas de aderência: MAD, MSE,</w:t>
      </w:r>
      <w:r w:rsidR="003C7AD6">
        <w:rPr>
          <w:rFonts w:ascii="Times New Roman" w:hAnsi="Times New Roman" w:cs="Times New Roman"/>
          <w:sz w:val="24"/>
          <w:szCs w:val="24"/>
        </w:rPr>
        <w:t xml:space="preserve"> MAPE,</w:t>
      </w:r>
      <w:r w:rsidRPr="00F63B2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63B22">
        <w:rPr>
          <w:rFonts w:ascii="Times New Roman" w:eastAsiaTheme="minorEastAsia" w:hAnsi="Times New Roman" w:cs="Times New Roman"/>
          <w:sz w:val="24"/>
          <w:szCs w:val="24"/>
        </w:rPr>
        <w:t>e BIC.</w:t>
      </w: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3B22" w:rsidRDefault="00F63B22" w:rsidP="00407DDE">
      <w:pPr>
        <w:pStyle w:val="Ttulo2"/>
        <w:spacing w:line="360" w:lineRule="auto"/>
        <w:rPr>
          <w:rFonts w:eastAsiaTheme="minorEastAsia"/>
        </w:rPr>
      </w:pPr>
      <w:bookmarkStart w:id="15" w:name="_Toc27061272"/>
      <w:r>
        <w:rPr>
          <w:rFonts w:eastAsiaTheme="minorEastAsia"/>
        </w:rPr>
        <w:t>2.5.1 MAD (Mean Absolute Deviation)</w:t>
      </w:r>
      <w:bookmarkEnd w:id="15"/>
    </w:p>
    <w:p w:rsidR="00F63B22" w:rsidRP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>O MAD considera a média dos desvios absolutos. Representa a diferença absoluta média entre os valores ajustados e os reais. Este parâmetro é adotado como uma estatística de desempenho, usada na escolha do melhor modelo.</w:t>
      </w: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3B22" w:rsidTr="00F63B22"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MAD=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63B22" w:rsidRDefault="009F11AB" w:rsidP="009F11A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</w:t>
            </w:r>
            <w:r w:rsidR="00F63B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A62D5" w:rsidRDefault="004A62D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B22" w:rsidRDefault="00F63B22" w:rsidP="00407DDE">
      <w:pPr>
        <w:pStyle w:val="Ttulo2"/>
        <w:spacing w:line="360" w:lineRule="auto"/>
      </w:pPr>
      <w:bookmarkStart w:id="16" w:name="_Toc27061273"/>
      <w:r>
        <w:lastRenderedPageBreak/>
        <w:t>2.5.2 MSE (Mean Square Error)</w:t>
      </w:r>
      <w:bookmarkEnd w:id="16"/>
    </w:p>
    <w:p w:rsidR="00466BAB" w:rsidRDefault="00466BAB" w:rsidP="00407DDE">
      <w:pPr>
        <w:spacing w:line="360" w:lineRule="auto"/>
      </w:pP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66BAB">
        <w:rPr>
          <w:rFonts w:ascii="Times New Roman" w:hAnsi="Times New Roman" w:cs="Times New Roman"/>
          <w:sz w:val="24"/>
          <w:szCs w:val="24"/>
        </w:rPr>
        <w:t>O MSE é uma forma de avaliar a diferença entre o valor ajustado e o valor real, possui sempre valor positivo e quanto mais próximo de zero, maior a qualidade dos valores estimados.</w:t>
      </w: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66BAB" w:rsidTr="00466BAB"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MSE=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882" w:type="dxa"/>
          </w:tcPr>
          <w:p w:rsidR="00466BAB" w:rsidRDefault="00466B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BAB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466B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Default="005E5D3E" w:rsidP="00407DDE">
      <w:pPr>
        <w:pStyle w:val="Ttulo2"/>
        <w:spacing w:line="360" w:lineRule="auto"/>
      </w:pPr>
      <w:bookmarkStart w:id="17" w:name="_Toc27061274"/>
      <w:r>
        <w:t xml:space="preserve">2.5.3 MAPE (Erro Médio Percentual </w:t>
      </w:r>
      <w:r w:rsidR="00CE57D4">
        <w:t>Absoluto</w:t>
      </w:r>
      <w:r>
        <w:t>)</w:t>
      </w:r>
      <w:bookmarkEnd w:id="17"/>
    </w:p>
    <w:p w:rsidR="005E5D3E" w:rsidRDefault="005E5D3E" w:rsidP="00407DDE">
      <w:pPr>
        <w:spacing w:line="360" w:lineRule="auto"/>
      </w:pP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5E5D3E">
        <w:rPr>
          <w:rFonts w:ascii="Times New Roman" w:hAnsi="Times New Roman" w:cs="Times New Roman"/>
          <w:sz w:val="24"/>
          <w:szCs w:val="24"/>
        </w:rPr>
        <w:t>Mostra, em média, o quanto está errado no nível de agregação do cálculo, sem compensar os erros negativos com erros positivos,</w:t>
      </w:r>
      <w:r>
        <w:rPr>
          <w:rFonts w:ascii="Times New Roman" w:hAnsi="Times New Roman" w:cs="Times New Roman"/>
          <w:sz w:val="24"/>
          <w:szCs w:val="24"/>
        </w:rPr>
        <w:t xml:space="preserve"> com valores variando entre 0 e 1, sendo quanto menor melhor.</w:t>
      </w: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323"/>
        <w:gridCol w:w="2440"/>
      </w:tblGrid>
      <w:tr w:rsidR="005E5D3E" w:rsidTr="005E5D3E">
        <w:tc>
          <w:tcPr>
            <w:tcW w:w="2881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MAPE=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440" w:type="dxa"/>
          </w:tcPr>
          <w:p w:rsidR="005E5D3E" w:rsidRDefault="005E5D3E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D3E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P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D3E" w:rsidRDefault="005E5D3E" w:rsidP="00407DDE">
      <w:pPr>
        <w:pStyle w:val="Ttulo2"/>
        <w:spacing w:line="360" w:lineRule="auto"/>
      </w:pPr>
    </w:p>
    <w:p w:rsidR="00281B93" w:rsidRDefault="005E5D3E" w:rsidP="00407DDE">
      <w:pPr>
        <w:pStyle w:val="Ttulo2"/>
        <w:spacing w:line="360" w:lineRule="auto"/>
      </w:pPr>
      <w:bookmarkStart w:id="18" w:name="_Toc27061275"/>
      <w:r>
        <w:t>2.5.4</w:t>
      </w:r>
      <w:r w:rsidR="00281B93">
        <w:t xml:space="preserve"> RMSE (Raiz Quadrada do Erro Quadrático Médio)</w:t>
      </w:r>
      <w:bookmarkEnd w:id="18"/>
    </w:p>
    <w:p w:rsidR="00281B93" w:rsidRPr="00281B93" w:rsidRDefault="00281B93" w:rsidP="00407DDE">
      <w:pPr>
        <w:spacing w:line="360" w:lineRule="auto"/>
      </w:pP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O RMSE é a medida da magnitude média dos erros estimados, tem valor sempre positivo e quanto mais próximo de zero, maior a qualidade dos valores medidos ou estimados.</w:t>
      </w: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81B93" w:rsidTr="00FE416D"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</w:tc>
        <w:tc>
          <w:tcPr>
            <w:tcW w:w="2882" w:type="dxa"/>
          </w:tcPr>
          <w:p w:rsidR="00281B93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B93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="00281B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1B93" w:rsidRP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7DDE" w:rsidRDefault="00407DDE" w:rsidP="00407DDE">
      <w:pPr>
        <w:pStyle w:val="Ttulo2"/>
        <w:spacing w:line="360" w:lineRule="auto"/>
      </w:pPr>
      <w:r>
        <w:br w:type="page"/>
      </w:r>
    </w:p>
    <w:p w:rsidR="00466BAB" w:rsidRDefault="005E5D3E" w:rsidP="00407DDE">
      <w:pPr>
        <w:pStyle w:val="Ttulo2"/>
        <w:spacing w:line="360" w:lineRule="auto"/>
        <w:rPr>
          <w:rFonts w:cs="Times New Roman"/>
          <w:vertAlign w:val="superscript"/>
        </w:rPr>
      </w:pPr>
      <w:bookmarkStart w:id="19" w:name="_Toc27061276"/>
      <w:r>
        <w:lastRenderedPageBreak/>
        <w:t>2.5.5</w:t>
      </w:r>
      <w:r w:rsidR="00466BAB">
        <w:t xml:space="preserve"> R</w:t>
      </w:r>
      <w:r w:rsidR="00466BAB" w:rsidRPr="00466BAB">
        <w:rPr>
          <w:rFonts w:cs="Times New Roman"/>
          <w:vertAlign w:val="superscript"/>
        </w:rPr>
        <w:t>2</w:t>
      </w:r>
      <w:bookmarkEnd w:id="19"/>
    </w:p>
    <w:p w:rsidR="00466BAB" w:rsidRDefault="00466BAB" w:rsidP="00407DDE">
      <w:pPr>
        <w:spacing w:line="360" w:lineRule="auto"/>
      </w:pPr>
      <w:r>
        <w:tab/>
      </w:r>
    </w:p>
    <w:p w:rsidR="00466BAB" w:rsidRDefault="00466BA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Chamado de coeficiente de determinação do modelo, mede quanto da variação é explicada pelo modelo</w:t>
      </w:r>
      <w:r w:rsidR="00B05C51">
        <w:rPr>
          <w:rFonts w:ascii="Times New Roman" w:hAnsi="Times New Roman" w:cs="Times New Roman"/>
          <w:sz w:val="24"/>
          <w:szCs w:val="24"/>
        </w:rPr>
        <w:t xml:space="preserve"> [13].</w:t>
      </w:r>
    </w:p>
    <w:p w:rsidR="00B05C51" w:rsidRPr="00466BAB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5C51" w:rsidTr="00B05C51">
        <w:tc>
          <w:tcPr>
            <w:tcW w:w="2881" w:type="dxa"/>
          </w:tcPr>
          <w:p w:rsidR="00B05C51" w:rsidRDefault="00B05C51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5C51" w:rsidRDefault="0007234A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B05C51" w:rsidRDefault="00B05C51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C51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F1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05C51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C51" w:rsidRDefault="005E5D3E" w:rsidP="00407DDE">
      <w:pPr>
        <w:pStyle w:val="Ttulo2"/>
        <w:spacing w:line="360" w:lineRule="auto"/>
      </w:pPr>
      <w:bookmarkStart w:id="20" w:name="_Toc27061277"/>
      <w:r>
        <w:rPr>
          <w:rFonts w:cs="Times New Roman"/>
          <w:szCs w:val="24"/>
        </w:rPr>
        <w:t>2.5.6</w:t>
      </w:r>
      <w:r w:rsidR="00B05C51">
        <w:rPr>
          <w:rFonts w:cs="Times New Roman"/>
          <w:szCs w:val="24"/>
        </w:rPr>
        <w:t xml:space="preserve"> </w:t>
      </w:r>
      <w:r w:rsidR="00FC7805">
        <w:rPr>
          <w:rFonts w:cs="Times New Roman"/>
          <w:szCs w:val="24"/>
        </w:rPr>
        <w:t>BIC</w:t>
      </w:r>
      <w:r w:rsidR="00FC7805">
        <w:t xml:space="preserve"> (</w:t>
      </w:r>
      <w:r w:rsidR="00B05C51">
        <w:t>Bayesian information criterion)</w:t>
      </w:r>
      <w:bookmarkEnd w:id="20"/>
    </w:p>
    <w:p w:rsidR="00B05C51" w:rsidRDefault="00B05C51" w:rsidP="00407DDE">
      <w:pPr>
        <w:spacing w:line="360" w:lineRule="auto"/>
      </w:pPr>
      <w:r>
        <w:tab/>
      </w:r>
    </w:p>
    <w:p w:rsidR="00B05C51" w:rsidRPr="00B05C51" w:rsidRDefault="00B05C5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É um método de seleção de modelos que penaliza modelos com muitos parâmetros, seguindo o princípio da parcimônia [13].</w:t>
      </w:r>
    </w:p>
    <w:p w:rsidR="00B05C51" w:rsidRPr="00B05C51" w:rsidRDefault="00B05C51" w:rsidP="00407DDE">
      <w:pPr>
        <w:spacing w:line="36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181"/>
        <w:gridCol w:w="2582"/>
      </w:tblGrid>
      <w:tr w:rsidR="00B05C51" w:rsidTr="004712FB">
        <w:tc>
          <w:tcPr>
            <w:tcW w:w="2881" w:type="dxa"/>
          </w:tcPr>
          <w:p w:rsidR="00B05C51" w:rsidRDefault="00B05C51" w:rsidP="00407DDE">
            <w:pPr>
              <w:spacing w:line="360" w:lineRule="auto"/>
            </w:pPr>
          </w:p>
        </w:tc>
        <w:tc>
          <w:tcPr>
            <w:tcW w:w="3181" w:type="dxa"/>
          </w:tcPr>
          <w:p w:rsidR="00B05C51" w:rsidRDefault="00B05C51" w:rsidP="00407DDE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BIC= 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klog(n)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82" w:type="dxa"/>
          </w:tcPr>
          <w:p w:rsidR="00B05C51" w:rsidRDefault="00B05C51" w:rsidP="00407DDE">
            <w:pPr>
              <w:spacing w:line="360" w:lineRule="auto"/>
              <w:jc w:val="right"/>
            </w:pPr>
          </w:p>
          <w:p w:rsidR="00B05C51" w:rsidRDefault="009F11AB" w:rsidP="00407DDE">
            <w:pPr>
              <w:spacing w:line="360" w:lineRule="auto"/>
              <w:jc w:val="right"/>
            </w:pPr>
            <w:r>
              <w:t>(14</w:t>
            </w:r>
            <w:r w:rsidR="00B05C51">
              <w:t>)</w:t>
            </w:r>
          </w:p>
        </w:tc>
      </w:tr>
    </w:tbl>
    <w:p w:rsidR="00466BAB" w:rsidRDefault="002622B1" w:rsidP="00407DDE">
      <w:pPr>
        <w:pStyle w:val="Ttulo1"/>
        <w:spacing w:line="360" w:lineRule="auto"/>
      </w:pPr>
      <w:bookmarkStart w:id="21" w:name="_Toc27061278"/>
      <w:r>
        <w:t>3</w:t>
      </w:r>
      <w:r w:rsidR="004711E5">
        <w:t>.</w:t>
      </w:r>
      <w:r>
        <w:t xml:space="preserve"> Estudo de Caso</w:t>
      </w:r>
      <w:bookmarkEnd w:id="21"/>
    </w:p>
    <w:p w:rsidR="002622B1" w:rsidRDefault="002622B1" w:rsidP="00407DDE">
      <w:pPr>
        <w:spacing w:line="360" w:lineRule="auto"/>
      </w:pP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 série estudada nesse trabalho é proveniente de medidas mensais de vazão de afluentes em metros cúbicos por segundo da usina hidrelétrica de Itá. </w:t>
      </w: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Usina Hidrelétrica de Itá, inaugurada no dia 19 de setembro de 1987, </w:t>
      </w:r>
      <w:r w:rsidRPr="002622B1">
        <w:rPr>
          <w:rFonts w:ascii="Times New Roman" w:hAnsi="Times New Roman" w:cs="Times New Roman"/>
          <w:sz w:val="24"/>
          <w:szCs w:val="24"/>
        </w:rPr>
        <w:t>está localizada no rio Uruguai, na divisa dos municípios de Itá</w:t>
      </w:r>
      <w:r w:rsidR="002D756E">
        <w:rPr>
          <w:rFonts w:ascii="Times New Roman" w:hAnsi="Times New Roman" w:cs="Times New Roman"/>
          <w:sz w:val="24"/>
          <w:szCs w:val="24"/>
        </w:rPr>
        <w:t>-SC</w:t>
      </w:r>
      <w:r w:rsidRPr="002622B1">
        <w:rPr>
          <w:rFonts w:ascii="Times New Roman" w:hAnsi="Times New Roman" w:cs="Times New Roman"/>
          <w:sz w:val="24"/>
          <w:szCs w:val="24"/>
        </w:rPr>
        <w:t>, e Aratiba</w:t>
      </w:r>
      <w:r w:rsidR="002D756E">
        <w:rPr>
          <w:rFonts w:ascii="Times New Roman" w:hAnsi="Times New Roman" w:cs="Times New Roman"/>
          <w:sz w:val="24"/>
          <w:szCs w:val="24"/>
        </w:rPr>
        <w:t>-RS</w:t>
      </w:r>
      <w:r w:rsidRPr="002622B1">
        <w:rPr>
          <w:rFonts w:ascii="Times New Roman" w:hAnsi="Times New Roman" w:cs="Times New Roman"/>
          <w:sz w:val="24"/>
          <w:szCs w:val="24"/>
        </w:rPr>
        <w:t xml:space="preserve">, aproveitando um desnível de 105 metros entre a foz do rio Apuaê e a foz do rio Uvá, tendo uma capacidade instalada de 1.450 MW. A região, de relevo marcadamente dobrado, com o vale do rio encaixado e de alta declividade, é resultado de uma </w:t>
      </w:r>
      <w:r w:rsidR="002D756E" w:rsidRPr="002622B1">
        <w:rPr>
          <w:rFonts w:ascii="Times New Roman" w:hAnsi="Times New Roman" w:cs="Times New Roman"/>
          <w:sz w:val="24"/>
          <w:szCs w:val="24"/>
        </w:rPr>
        <w:t>sequência</w:t>
      </w:r>
      <w:r w:rsidRPr="002622B1">
        <w:rPr>
          <w:rFonts w:ascii="Times New Roman" w:hAnsi="Times New Roman" w:cs="Times New Roman"/>
          <w:sz w:val="24"/>
          <w:szCs w:val="24"/>
        </w:rPr>
        <w:t xml:space="preserve"> de derrames basálticos de formação geológica da serra Geral</w:t>
      </w:r>
      <w:r>
        <w:rPr>
          <w:rFonts w:ascii="Times New Roman" w:hAnsi="Times New Roman" w:cs="Times New Roman"/>
          <w:sz w:val="24"/>
          <w:szCs w:val="24"/>
        </w:rPr>
        <w:t xml:space="preserve"> [14]</w:t>
      </w:r>
      <w:r w:rsidRPr="002622B1">
        <w:rPr>
          <w:rFonts w:ascii="Times New Roman" w:hAnsi="Times New Roman" w:cs="Times New Roman"/>
          <w:sz w:val="24"/>
          <w:szCs w:val="24"/>
        </w:rPr>
        <w:t>.</w:t>
      </w:r>
    </w:p>
    <w:p w:rsidR="009106EE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dados de estudos foram coletados de janeiro de 1931 até dezembro de 2018 totalizando 1056 observações</w:t>
      </w:r>
      <w:r w:rsidR="0047533D">
        <w:rPr>
          <w:rFonts w:ascii="Times New Roman" w:hAnsi="Times New Roman" w:cs="Times New Roman"/>
          <w:sz w:val="24"/>
          <w:szCs w:val="24"/>
        </w:rPr>
        <w:t xml:space="preserve"> como pode ser visto na Figura 1</w:t>
      </w:r>
      <w:r>
        <w:rPr>
          <w:rFonts w:ascii="Times New Roman" w:hAnsi="Times New Roman" w:cs="Times New Roman"/>
          <w:sz w:val="24"/>
          <w:szCs w:val="24"/>
        </w:rPr>
        <w:t>. A base de dados pode ser encontrada no site do</w:t>
      </w:r>
      <w:r w:rsidR="009106EE">
        <w:rPr>
          <w:rFonts w:ascii="Times New Roman" w:hAnsi="Times New Roman" w:cs="Times New Roman"/>
          <w:sz w:val="24"/>
          <w:szCs w:val="24"/>
        </w:rPr>
        <w:t xml:space="preserve"> ONS, onde se podem obter as séries de médias mensais e diárias desde janeiro de 1931 até dezembro de 2018.</w:t>
      </w:r>
    </w:p>
    <w:p w:rsidR="002622B1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considerado para o estudo dos dados o método </w:t>
      </w:r>
      <w:r w:rsidRPr="009106EE">
        <w:rPr>
          <w:rFonts w:ascii="Times New Roman" w:hAnsi="Times New Roman" w:cs="Times New Roman"/>
          <w:i/>
          <w:sz w:val="24"/>
          <w:szCs w:val="24"/>
        </w:rPr>
        <w:t>in sample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106EE">
        <w:rPr>
          <w:rFonts w:ascii="Times New Roman" w:hAnsi="Times New Roman" w:cs="Times New Roman"/>
          <w:i/>
          <w:sz w:val="24"/>
          <w:szCs w:val="24"/>
        </w:rPr>
        <w:t>out of sample</w:t>
      </w:r>
      <w:r>
        <w:rPr>
          <w:rFonts w:ascii="Times New Roman" w:hAnsi="Times New Roman" w:cs="Times New Roman"/>
          <w:sz w:val="24"/>
          <w:szCs w:val="24"/>
        </w:rPr>
        <w:t xml:space="preserve">. Este é uma amostra teste, onde os dados modelados são utilizados para prever os dados estimados afim de saber se o modelo tem uma boa previsão, enquanto aquele consiste em treinar o modelo de acordo com os dados originais. </w:t>
      </w:r>
    </w:p>
    <w:p w:rsidR="009106EE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13AD8">
        <w:rPr>
          <w:rFonts w:ascii="Times New Roman" w:hAnsi="Times New Roman" w:cs="Times New Roman"/>
          <w:sz w:val="24"/>
          <w:szCs w:val="24"/>
        </w:rPr>
        <w:t>Para o auxílio da modelagem, cálculos estatísticos e confecção de gráficos foram utilizados os seguintes softwares: R</w:t>
      </w:r>
      <w:r w:rsidR="002D756E">
        <w:rPr>
          <w:rFonts w:ascii="Times New Roman" w:hAnsi="Times New Roman" w:cs="Times New Roman"/>
          <w:sz w:val="24"/>
          <w:szCs w:val="24"/>
        </w:rPr>
        <w:t>, gret</w:t>
      </w:r>
      <w:r w:rsidR="00613AD8">
        <w:rPr>
          <w:rFonts w:ascii="Times New Roman" w:hAnsi="Times New Roman" w:cs="Times New Roman"/>
          <w:sz w:val="24"/>
          <w:szCs w:val="24"/>
        </w:rPr>
        <w:t>l, FPW (</w:t>
      </w:r>
      <w:r w:rsidR="00613AD8" w:rsidRPr="002D756E">
        <w:rPr>
          <w:rFonts w:ascii="Times New Roman" w:hAnsi="Times New Roman" w:cs="Times New Roman"/>
          <w:i/>
          <w:sz w:val="24"/>
          <w:szCs w:val="24"/>
        </w:rPr>
        <w:t>Forecast Pro for Windows</w:t>
      </w:r>
      <w:r w:rsidR="00613AD8">
        <w:rPr>
          <w:rFonts w:ascii="Times New Roman" w:hAnsi="Times New Roman" w:cs="Times New Roman"/>
          <w:sz w:val="24"/>
          <w:szCs w:val="24"/>
        </w:rPr>
        <w:t>).</w:t>
      </w:r>
    </w:p>
    <w:p w:rsidR="0047533D" w:rsidRDefault="0047533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7AD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82.75pt">
            <v:imagedata r:id="rId9" o:title="serieplot"/>
          </v:shape>
        </w:pict>
      </w:r>
    </w:p>
    <w:p w:rsidR="00281B93" w:rsidRDefault="0047533D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Série </w:t>
      </w:r>
      <w:r w:rsidR="00787ED2">
        <w:rPr>
          <w:rFonts w:ascii="Times New Roman" w:hAnsi="Times New Roman" w:cs="Times New Roman"/>
          <w:sz w:val="24"/>
          <w:szCs w:val="24"/>
        </w:rPr>
        <w:t>das observações das medidas de afluentes da usina de Itá</w:t>
      </w: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41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1: Estatísticas descritivas</w:t>
      </w:r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6141" w:rsidTr="00BA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</w:t>
            </w:r>
          </w:p>
        </w:tc>
        <w:tc>
          <w:tcPr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(M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/S)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Mínimo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1º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459,5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Mediana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Média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1049,4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1372,5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Máximo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8292,0</w:t>
            </w:r>
          </w:p>
        </w:tc>
      </w:tr>
      <w:tr w:rsidR="003C0804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0804" w:rsidRDefault="003C080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Desvio padrão</w:t>
            </w:r>
          </w:p>
        </w:tc>
        <w:tc>
          <w:tcPr>
            <w:tcW w:w="4322" w:type="dxa"/>
          </w:tcPr>
          <w:p w:rsidR="003C0804" w:rsidRDefault="003C080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848,79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Coeficiente de variação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80,88%</w:t>
            </w:r>
          </w:p>
        </w:tc>
      </w:tr>
    </w:tbl>
    <w:p w:rsidR="003C0804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média das vazões médias mensais de afluentes em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/s da usina hidrelétrica de Itá é de 1049,4 enquanto sua mediana é de 810,5 como pode ser visto na tabela 1. </w:t>
      </w: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Sabe-se que a média e mediana são medidas de centralidade. Aquela é uma medida de alta influência de </w:t>
      </w:r>
      <w:r w:rsidR="00D00F9F">
        <w:rPr>
          <w:rFonts w:ascii="Times New Roman" w:hAnsi="Times New Roman" w:cs="Times New Roman"/>
          <w:sz w:val="24"/>
          <w:szCs w:val="24"/>
        </w:rPr>
        <w:t>valores extremos, enquanto esta não. Então pode-se observar que existem uma concentração de observações maiores que o valor da mediana.</w:t>
      </w:r>
    </w:p>
    <w:p w:rsidR="00B32015" w:rsidRDefault="00D00F9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Observa-se um coeficiente de variação de 80,88% e um desvio padrão de 848,79. Isso indica que o valor da média não é muito representativo.</w:t>
      </w:r>
      <w:r w:rsidR="00EA6480">
        <w:rPr>
          <w:rFonts w:ascii="Times New Roman" w:hAnsi="Times New Roman" w:cs="Times New Roman"/>
          <w:sz w:val="24"/>
          <w:szCs w:val="24"/>
        </w:rPr>
        <w:t xml:space="preserve"> A variação pode ser observada na figura 1.</w:t>
      </w:r>
    </w:p>
    <w:p w:rsidR="00B32015" w:rsidRDefault="00B32015" w:rsidP="00407DDE">
      <w:pPr>
        <w:pStyle w:val="Ttulo1"/>
        <w:spacing w:line="360" w:lineRule="auto"/>
      </w:pPr>
      <w:bookmarkStart w:id="22" w:name="_Toc27061279"/>
      <w:r>
        <w:t>4. Resultados e Discussões.</w:t>
      </w:r>
      <w:bookmarkEnd w:id="22"/>
    </w:p>
    <w:p w:rsidR="008E192B" w:rsidRPr="008E192B" w:rsidRDefault="008E192B" w:rsidP="00407DDE">
      <w:pPr>
        <w:spacing w:line="360" w:lineRule="auto"/>
      </w:pP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32015">
        <w:rPr>
          <w:rFonts w:ascii="Times New Roman" w:hAnsi="Times New Roman" w:cs="Times New Roman"/>
          <w:sz w:val="24"/>
          <w:szCs w:val="24"/>
        </w:rPr>
        <w:t xml:space="preserve">No experimento considerou-se a série temporal de vazão de média mensal da usina hidrelétrica de </w:t>
      </w:r>
      <w:r>
        <w:rPr>
          <w:rFonts w:ascii="Times New Roman" w:hAnsi="Times New Roman" w:cs="Times New Roman"/>
          <w:sz w:val="24"/>
          <w:szCs w:val="24"/>
        </w:rPr>
        <w:t>Itá</w:t>
      </w:r>
      <w:r w:rsidRPr="00B32015">
        <w:rPr>
          <w:rFonts w:ascii="Times New Roman" w:hAnsi="Times New Roman" w:cs="Times New Roman"/>
          <w:sz w:val="24"/>
          <w:szCs w:val="24"/>
        </w:rPr>
        <w:t>, medida em m3/s.</w:t>
      </w:r>
    </w:p>
    <w:p w:rsidR="00B32015" w:rsidRDefault="00B32015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2015">
        <w:rPr>
          <w:rFonts w:ascii="Times New Roman" w:hAnsi="Times New Roman" w:cs="Times New Roman"/>
          <w:sz w:val="24"/>
          <w:szCs w:val="24"/>
        </w:rPr>
        <w:t xml:space="preserve"> O tamanho de amostra considerada na estimação do modelo de previsão (</w:t>
      </w:r>
      <w:r w:rsidRPr="00B32015">
        <w:rPr>
          <w:rFonts w:ascii="Times New Roman" w:hAnsi="Times New Roman" w:cs="Times New Roman"/>
          <w:i/>
          <w:sz w:val="24"/>
          <w:szCs w:val="24"/>
        </w:rPr>
        <w:t>in sample</w:t>
      </w:r>
      <w:r w:rsidRPr="00B32015">
        <w:rPr>
          <w:rFonts w:ascii="Times New Roman" w:hAnsi="Times New Roman" w:cs="Times New Roman"/>
          <w:sz w:val="24"/>
          <w:szCs w:val="24"/>
        </w:rPr>
        <w:t xml:space="preserve">) foi de </w:t>
      </w:r>
      <w:r>
        <w:rPr>
          <w:rFonts w:ascii="Times New Roman" w:hAnsi="Times New Roman" w:cs="Times New Roman"/>
          <w:sz w:val="24"/>
          <w:szCs w:val="24"/>
        </w:rPr>
        <w:t>1032</w:t>
      </w:r>
      <w:r w:rsidRPr="00B32015">
        <w:rPr>
          <w:rFonts w:ascii="Times New Roman" w:hAnsi="Times New Roman" w:cs="Times New Roman"/>
          <w:sz w:val="24"/>
          <w:szCs w:val="24"/>
        </w:rPr>
        <w:t xml:space="preserve"> observações e a amostra de teste (</w:t>
      </w:r>
      <w:r w:rsidRPr="00B32015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B32015">
        <w:rPr>
          <w:rFonts w:ascii="Times New Roman" w:hAnsi="Times New Roman" w:cs="Times New Roman"/>
          <w:sz w:val="24"/>
          <w:szCs w:val="24"/>
        </w:rPr>
        <w:t>) é composta pelas últimas 24 observações. Foram realizadas previsões no horizonte de 12 meses.</w:t>
      </w: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15" w:rsidRDefault="00B32015" w:rsidP="00407DDE">
      <w:pPr>
        <w:pStyle w:val="Ttulo1"/>
        <w:spacing w:line="360" w:lineRule="auto"/>
        <w:rPr>
          <w:shd w:val="clear" w:color="auto" w:fill="FFFFFF"/>
        </w:rPr>
      </w:pPr>
      <w:bookmarkStart w:id="23" w:name="_Toc27061280"/>
      <w:r>
        <w:rPr>
          <w:rFonts w:cs="Times New Roman"/>
          <w:szCs w:val="24"/>
        </w:rPr>
        <w:t>4.1.</w:t>
      </w:r>
      <w:r w:rsidRPr="00B32015">
        <w:rPr>
          <w:shd w:val="clear" w:color="auto" w:fill="FFFFFF"/>
        </w:rPr>
        <w:t xml:space="preserve"> </w:t>
      </w:r>
      <w:r>
        <w:rPr>
          <w:shd w:val="clear" w:color="auto" w:fill="FFFFFF"/>
        </w:rPr>
        <w:t>Método de Holt-Winters</w:t>
      </w:r>
      <w:bookmarkEnd w:id="23"/>
    </w:p>
    <w:p w:rsidR="008E192B" w:rsidRPr="008E192B" w:rsidRDefault="008E192B" w:rsidP="00407DDE">
      <w:pPr>
        <w:spacing w:line="360" w:lineRule="auto"/>
      </w:pPr>
    </w:p>
    <w:p w:rsidR="00FC7805" w:rsidRDefault="00FC7805" w:rsidP="00407DDE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suavização exponencial de Holt-Winters foi feita a modelagem da série de duas maneiras diferentes, utilizando tendência linear e sazonalidade aditiva com e sem </w:t>
      </w:r>
      <w:r w:rsidRPr="00FC7805">
        <w:rPr>
          <w:rFonts w:ascii="Times New Roman" w:hAnsi="Times New Roman" w:cs="Times New Roman"/>
          <w:i/>
          <w:sz w:val="24"/>
          <w:szCs w:val="24"/>
        </w:rPr>
        <w:t>damped trend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7805" w:rsidRDefault="00FC780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Foram obtidas as seguintes estatísticas de aderência:</w:t>
      </w:r>
    </w:p>
    <w:p w:rsidR="008E192B" w:rsidRDefault="008E192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805" w:rsidRPr="008E192B" w:rsidRDefault="00281B93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2: Estatísticas de aderência das modelagens de Holt-Winters</w:t>
      </w:r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551"/>
        <w:gridCol w:w="2923"/>
      </w:tblGrid>
      <w:tr w:rsidR="00FC7805" w:rsidRPr="00BA6141" w:rsidTr="00FC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ESTATÍSTICAS DE ADERÊNCIA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Holt-Winters aditivo sem </w:t>
            </w:r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 trend</w:t>
            </w:r>
          </w:p>
        </w:tc>
        <w:tc>
          <w:tcPr>
            <w:tcW w:w="2923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Holt-Winters aditivo </w:t>
            </w:r>
          </w:p>
          <w:p w:rsidR="00FC7805" w:rsidRPr="00BA6141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 trend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MAD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533,6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533,1</w:t>
            </w:r>
          </w:p>
        </w:tc>
      </w:tr>
      <w:tr w:rsidR="005E5D3E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5E5D3E" w:rsidRPr="00281B93" w:rsidRDefault="005E5D3E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MAPE</w:t>
            </w:r>
          </w:p>
        </w:tc>
        <w:tc>
          <w:tcPr>
            <w:tcW w:w="2551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0,7308</w:t>
            </w:r>
          </w:p>
        </w:tc>
        <w:tc>
          <w:tcPr>
            <w:tcW w:w="2923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0,7283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281B93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="00FC7805"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MSE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749,8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749,7</w:t>
            </w:r>
          </w:p>
        </w:tc>
      </w:tr>
      <w:tr w:rsidR="00FC7805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BA6141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BIC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757,4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759,8</w:t>
            </w:r>
          </w:p>
        </w:tc>
      </w:tr>
    </w:tbl>
    <w:p w:rsidR="00B32015" w:rsidRPr="00B32015" w:rsidRDefault="00B32015" w:rsidP="00407DDE">
      <w:pPr>
        <w:spacing w:line="360" w:lineRule="auto"/>
      </w:pPr>
    </w:p>
    <w:p w:rsidR="00281B93" w:rsidRPr="008E192B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92B">
        <w:rPr>
          <w:rFonts w:ascii="Times New Roman" w:hAnsi="Times New Roman" w:cs="Times New Roman"/>
          <w:sz w:val="24"/>
          <w:szCs w:val="24"/>
        </w:rPr>
        <w:tab/>
        <w:t xml:space="preserve">Observando as estatísticas de aderências presentes na tabela 2, observa-se que a modelagem de Holt-Winters aditivo sem </w:t>
      </w:r>
      <w:r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Pr="008E192B">
        <w:rPr>
          <w:rFonts w:ascii="Times New Roman" w:hAnsi="Times New Roman" w:cs="Times New Roman"/>
          <w:sz w:val="24"/>
          <w:szCs w:val="24"/>
        </w:rPr>
        <w:t xml:space="preserve"> possui MAD,</w:t>
      </w:r>
      <w:r w:rsidR="005E5D3E" w:rsidRPr="008E192B">
        <w:rPr>
          <w:rFonts w:ascii="Times New Roman" w:hAnsi="Times New Roman" w:cs="Times New Roman"/>
          <w:sz w:val="24"/>
          <w:szCs w:val="24"/>
        </w:rPr>
        <w:t xml:space="preserve"> MAPE,</w:t>
      </w:r>
      <w:r w:rsidRPr="008E192B">
        <w:rPr>
          <w:rFonts w:ascii="Times New Roman" w:hAnsi="Times New Roman" w:cs="Times New Roman"/>
          <w:sz w:val="24"/>
          <w:szCs w:val="24"/>
        </w:rPr>
        <w:t xml:space="preserve"> RMSE e R</w:t>
      </w:r>
      <w:r w:rsidRPr="008E19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192B">
        <w:rPr>
          <w:rFonts w:ascii="Times New Roman" w:hAnsi="Times New Roman" w:cs="Times New Roman"/>
          <w:sz w:val="24"/>
          <w:szCs w:val="24"/>
        </w:rPr>
        <w:t xml:space="preserve"> maiores do que o modelo com </w:t>
      </w:r>
      <w:r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Pr="008E192B">
        <w:rPr>
          <w:rFonts w:ascii="Times New Roman" w:hAnsi="Times New Roman" w:cs="Times New Roman"/>
          <w:sz w:val="24"/>
          <w:szCs w:val="24"/>
        </w:rPr>
        <w:t xml:space="preserve">, porém seu BIC é menor. </w:t>
      </w:r>
      <w:r w:rsidR="00AD5E95" w:rsidRPr="008E192B">
        <w:rPr>
          <w:rFonts w:ascii="Times New Roman" w:hAnsi="Times New Roman" w:cs="Times New Roman"/>
          <w:sz w:val="24"/>
          <w:szCs w:val="24"/>
        </w:rPr>
        <w:t xml:space="preserve">Levando em consideração a estatística de aderência BIC, escolhe-se a modelagem de Holt-Winters aditivo sem </w:t>
      </w:r>
      <w:r w:rsidR="00AD5E95"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="00AD5E95" w:rsidRPr="008E192B">
        <w:rPr>
          <w:rFonts w:ascii="Times New Roman" w:hAnsi="Times New Roman" w:cs="Times New Roman"/>
          <w:sz w:val="24"/>
          <w:szCs w:val="24"/>
        </w:rPr>
        <w:t>.</w:t>
      </w:r>
    </w:p>
    <w:p w:rsidR="00487E8E" w:rsidRDefault="00281B9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AD5E95">
        <w:rPr>
          <w:rFonts w:ascii="Times New Roman" w:hAnsi="Times New Roman" w:cs="Times New Roman"/>
          <w:sz w:val="24"/>
          <w:szCs w:val="24"/>
        </w:rPr>
        <w:t xml:space="preserve">A figura 2 representa o comportamento da série original sobreposta a série ajustada nos períodos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>in sample</w:t>
      </w:r>
      <w:r w:rsidR="00AD5E95">
        <w:rPr>
          <w:rFonts w:ascii="Times New Roman" w:hAnsi="Times New Roman" w:cs="Times New Roman"/>
          <w:sz w:val="24"/>
          <w:szCs w:val="24"/>
        </w:rPr>
        <w:t xml:space="preserve"> e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>out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 of sample</w:t>
      </w:r>
      <w:r w:rsidR="006A0D0E">
        <w:rPr>
          <w:rFonts w:ascii="Times New Roman" w:hAnsi="Times New Roman" w:cs="Times New Roman"/>
          <w:sz w:val="24"/>
          <w:szCs w:val="24"/>
        </w:rPr>
        <w:t>, pode-se observar que o modelo ajustado acompanha bem a série original. A figura 3 apr</w:t>
      </w:r>
      <w:r w:rsidR="000E35AB">
        <w:rPr>
          <w:rFonts w:ascii="Times New Roman" w:hAnsi="Times New Roman" w:cs="Times New Roman"/>
          <w:sz w:val="24"/>
          <w:szCs w:val="24"/>
        </w:rPr>
        <w:t>esenta as 36</w:t>
      </w:r>
      <w:r w:rsidR="006A0D0E">
        <w:rPr>
          <w:rFonts w:ascii="Times New Roman" w:hAnsi="Times New Roman" w:cs="Times New Roman"/>
          <w:sz w:val="24"/>
          <w:szCs w:val="24"/>
        </w:rPr>
        <w:t xml:space="preserve"> últimas observações e o modelo ajustado nos períodos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>in sample</w:t>
      </w:r>
      <w:r w:rsidR="006A0D0E">
        <w:rPr>
          <w:rFonts w:ascii="Times New Roman" w:hAnsi="Times New Roman" w:cs="Times New Roman"/>
          <w:sz w:val="24"/>
          <w:szCs w:val="24"/>
        </w:rPr>
        <w:t xml:space="preserve"> e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>out of sample</w:t>
      </w:r>
      <w:r w:rsidR="00487E8E">
        <w:rPr>
          <w:rFonts w:ascii="Times New Roman" w:hAnsi="Times New Roman" w:cs="Times New Roman"/>
          <w:i/>
          <w:sz w:val="24"/>
          <w:szCs w:val="24"/>
        </w:rPr>
        <w:t xml:space="preserve"> juntamente com previs</w:t>
      </w:r>
      <w:r w:rsidR="0031191B">
        <w:rPr>
          <w:rFonts w:ascii="Times New Roman" w:hAnsi="Times New Roman" w:cs="Times New Roman"/>
          <w:i/>
          <w:sz w:val="24"/>
          <w:szCs w:val="24"/>
        </w:rPr>
        <w:t>ões</w:t>
      </w:r>
      <w:r w:rsidR="00487E8E">
        <w:rPr>
          <w:rFonts w:ascii="Times New Roman" w:hAnsi="Times New Roman" w:cs="Times New Roman"/>
          <w:i/>
          <w:sz w:val="24"/>
          <w:szCs w:val="24"/>
        </w:rPr>
        <w:t xml:space="preserve"> dos próximos 12 meses</w:t>
      </w:r>
      <w:r w:rsidR="006A0D0E">
        <w:rPr>
          <w:rFonts w:ascii="Times New Roman" w:hAnsi="Times New Roman" w:cs="Times New Roman"/>
          <w:sz w:val="24"/>
          <w:szCs w:val="24"/>
        </w:rPr>
        <w:t>.</w:t>
      </w:r>
    </w:p>
    <w:p w:rsidR="00487E8E" w:rsidRDefault="00487E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B93" w:rsidRDefault="003C7AD6" w:rsidP="00407DDE">
      <w:pPr>
        <w:spacing w:line="360" w:lineRule="auto"/>
        <w:jc w:val="both"/>
      </w:pPr>
      <w:r>
        <w:pict>
          <v:shape id="_x0000_i1026" type="#_x0000_t75" style="width:424.8pt;height:197.15pt">
            <v:imagedata r:id="rId10" o:title="plotholtaditivo"/>
          </v:shape>
        </w:pict>
      </w:r>
    </w:p>
    <w:p w:rsidR="00AD5E95" w:rsidRDefault="00AD5E95" w:rsidP="00407DDE">
      <w:pPr>
        <w:spacing w:line="360" w:lineRule="auto"/>
        <w:jc w:val="center"/>
        <w:rPr>
          <w:i/>
        </w:rPr>
      </w:pPr>
      <w:r>
        <w:t xml:space="preserve">Figura 2: Modelagem da série pelo método de Holt-Winters com sazonalidade aditiva sem </w:t>
      </w:r>
      <w:r w:rsidRPr="00AD5E95">
        <w:rPr>
          <w:i/>
        </w:rPr>
        <w:t>damped t</w:t>
      </w:r>
      <w:r>
        <w:rPr>
          <w:i/>
        </w:rPr>
        <w:t>rend</w:t>
      </w:r>
    </w:p>
    <w:p w:rsidR="006A0D0E" w:rsidRDefault="006A0D0E" w:rsidP="00407DDE">
      <w:pPr>
        <w:spacing w:line="360" w:lineRule="auto"/>
        <w:jc w:val="center"/>
        <w:rPr>
          <w:i/>
        </w:rPr>
      </w:pPr>
    </w:p>
    <w:p w:rsidR="006A0D0E" w:rsidRDefault="003C7AD6" w:rsidP="00407DDE">
      <w:pPr>
        <w:spacing w:line="360" w:lineRule="auto"/>
        <w:rPr>
          <w:i/>
        </w:rPr>
      </w:pPr>
      <w:r>
        <w:rPr>
          <w:i/>
        </w:rPr>
        <w:pict>
          <v:shape id="_x0000_i1027" type="#_x0000_t75" style="width:424.25pt;height:188.85pt">
            <v:imagedata r:id="rId11" o:title="previsaoholtplot"/>
          </v:shape>
        </w:pict>
      </w:r>
    </w:p>
    <w:p w:rsidR="006A0D0E" w:rsidRPr="000E35AB" w:rsidRDefault="006A0D0E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35AB">
        <w:rPr>
          <w:rFonts w:ascii="Times New Roman" w:hAnsi="Times New Roman" w:cs="Times New Roman"/>
          <w:sz w:val="24"/>
          <w:szCs w:val="24"/>
        </w:rPr>
        <w:t xml:space="preserve">Figura 3: Modelagem 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out of sample </w:t>
      </w:r>
      <w:r w:rsidRPr="000E35AB">
        <w:rPr>
          <w:rFonts w:ascii="Times New Roman" w:hAnsi="Times New Roman" w:cs="Times New Roman"/>
          <w:sz w:val="24"/>
          <w:szCs w:val="24"/>
        </w:rPr>
        <w:t>com previsão de 12 meses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35AB">
        <w:rPr>
          <w:rFonts w:ascii="Times New Roman" w:hAnsi="Times New Roman" w:cs="Times New Roman"/>
          <w:sz w:val="24"/>
          <w:szCs w:val="24"/>
        </w:rPr>
        <w:t xml:space="preserve">da série pelo método de Holt-Winters com sazonalidade aditiva sem </w:t>
      </w:r>
      <w:r w:rsidRPr="000E35AB">
        <w:rPr>
          <w:rFonts w:ascii="Times New Roman" w:hAnsi="Times New Roman" w:cs="Times New Roman"/>
          <w:i/>
          <w:sz w:val="24"/>
          <w:szCs w:val="24"/>
        </w:rPr>
        <w:t>damped trend</w:t>
      </w:r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75654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tabela 2 apresenta os </w:t>
      </w:r>
      <w:r w:rsidR="003C78FF">
        <w:rPr>
          <w:rFonts w:ascii="Times New Roman" w:hAnsi="Times New Roman" w:cs="Times New Roman"/>
          <w:sz w:val="24"/>
          <w:szCs w:val="24"/>
        </w:rPr>
        <w:t>valores dos hiperparâmetros do modelo ajustado enquanto a tabela 3 mostra os índices sazonais.</w:t>
      </w:r>
    </w:p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A49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2: Hiperparâmetros da modelagem de Holt-Winters com sazonalidade aditiva sem </w:t>
      </w:r>
      <w:r w:rsidRPr="00043A49">
        <w:rPr>
          <w:rFonts w:ascii="Times New Roman" w:hAnsi="Times New Roman" w:cs="Times New Roman"/>
          <w:i/>
          <w:sz w:val="24"/>
          <w:szCs w:val="24"/>
        </w:rPr>
        <w:t>damped trend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78FF" w:rsidTr="003C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Componentes</w:t>
            </w:r>
          </w:p>
        </w:tc>
        <w:tc>
          <w:tcPr>
            <w:tcW w:w="4322" w:type="dxa"/>
            <w:tcBorders>
              <w:righ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0,32759</w:t>
            </w:r>
          </w:p>
        </w:tc>
      </w:tr>
      <w:tr w:rsidR="003C78FF" w:rsidTr="003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0,00025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0,3434</w:t>
            </w:r>
          </w:p>
        </w:tc>
      </w:tr>
    </w:tbl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8FF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3: Índices Sazonais do modelo ajustado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3A49" w:rsidRPr="003C78FF" w:rsidTr="00FE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Mês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3C78FF" w:rsidRDefault="00043A49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Janeiro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-348,97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Fevereiro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-177,91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Março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-391,23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Abril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-355,90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Maio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-96,377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Junho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55,848</w:t>
            </w:r>
          </w:p>
        </w:tc>
      </w:tr>
      <w:tr w:rsidR="001D7AFB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Julho</w:t>
            </w:r>
          </w:p>
        </w:tc>
        <w:tc>
          <w:tcPr>
            <w:tcW w:w="4322" w:type="dxa"/>
            <w:tcBorders>
              <w:righ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302,29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Agosto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273,29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Setembro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488,18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Outubro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593,68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Novembro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-18,971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Dezembro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-323,92</w:t>
            </w:r>
          </w:p>
        </w:tc>
      </w:tr>
    </w:tbl>
    <w:p w:rsidR="00043A49" w:rsidRPr="006A0D0E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3730" w:rsidRDefault="00024597" w:rsidP="00407DDE">
      <w:pPr>
        <w:pStyle w:val="Ttulo1"/>
        <w:spacing w:line="360" w:lineRule="auto"/>
      </w:pPr>
      <w:bookmarkStart w:id="24" w:name="_Toc27061281"/>
      <w:r>
        <w:t>4.2. Método Box &amp; Jenkins</w:t>
      </w:r>
      <w:bookmarkEnd w:id="24"/>
    </w:p>
    <w:p w:rsidR="00024597" w:rsidRDefault="00024597" w:rsidP="00407DDE">
      <w:pPr>
        <w:spacing w:line="360" w:lineRule="auto"/>
      </w:pP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24597">
        <w:rPr>
          <w:rFonts w:ascii="Times New Roman" w:hAnsi="Times New Roman" w:cs="Times New Roman"/>
          <w:sz w:val="24"/>
          <w:szCs w:val="24"/>
        </w:rPr>
        <w:t>Em uma investigação inicial dos dados são verificadas as funções de auto- correlação amostral (FAC) e de auto-correlação pa</w:t>
      </w:r>
      <w:r>
        <w:rPr>
          <w:rFonts w:ascii="Times New Roman" w:hAnsi="Times New Roman" w:cs="Times New Roman"/>
          <w:sz w:val="24"/>
          <w:szCs w:val="24"/>
        </w:rPr>
        <w:t>rcial amostral (FACP) da série (Figuras 4 e 5)</w:t>
      </w:r>
      <w:r w:rsidRPr="00024597">
        <w:rPr>
          <w:rFonts w:ascii="Times New Roman" w:hAnsi="Times New Roman" w:cs="Times New Roman"/>
          <w:sz w:val="24"/>
          <w:szCs w:val="24"/>
        </w:rPr>
        <w:t>, percebe-se que a FAC tem comportamento senoidal, indicando um possível processo do tipo autorregressivo, estacionário e sazonal.</w:t>
      </w: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Aplicou-se o teste de normalidade de Shapiro-Wilk que retornou um p-valor &lt; 0.001, ou seja, rejeita-se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ao nível de significância de 5%, isto é, a série não apresenta normalidade.</w:t>
      </w:r>
    </w:p>
    <w:p w:rsidR="00024597" w:rsidRDefault="0002459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Afim de resolver este problema, foi aplicado uma transformação logarítmica nos dados com finalidade de aproximar a distribuição da série para uma normal, aplicou-se novamente o teste de Shapiro-Wilk e obteve-se um p-valor de 0.005. Em seguida foi realizado o teste de Dickey-Fuller Aumentado para verificação de ra</w:t>
      </w:r>
      <w:r w:rsidR="00B5589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 unitária e verificou-se estacionariedade na série</w:t>
      </w:r>
      <w:r w:rsidR="00B5589A">
        <w:rPr>
          <w:rFonts w:ascii="Times New Roman" w:hAnsi="Times New Roman" w:cs="Times New Roman"/>
          <w:sz w:val="24"/>
          <w:szCs w:val="24"/>
        </w:rPr>
        <w:t xml:space="preserve">. Obteve-se p-valor &lt; 0.001, logo, ao nível de significância de 5% rejeita-se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5589A">
        <w:rPr>
          <w:rFonts w:ascii="Times New Roman" w:eastAsiaTheme="minorEastAsia" w:hAnsi="Times New Roman" w:cs="Times New Roman"/>
          <w:sz w:val="24"/>
          <w:szCs w:val="24"/>
        </w:rPr>
        <w:t>, isto é, não existe raiz unitária, ou seja, a série apresenta estacionariedade simples.</w: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3C7AD6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i1028" type="#_x0000_t75" style="width:424.8pt;height:229.3pt">
            <v:imagedata r:id="rId12" o:title="FAC"/>
          </v:shape>
        </w:pic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4: Correlograma da função de autocorrelação (FAC) da série de Vazão de Afluentes da média mensal</w:t>
      </w:r>
    </w:p>
    <w:p w:rsidR="00B5589A" w:rsidRDefault="003C7AD6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pict>
          <v:shape id="_x0000_i1029" type="#_x0000_t75" style="width:424.8pt;height:232.6pt">
            <v:imagedata r:id="rId13" o:title="FACP"/>
          </v:shape>
        </w:pict>
      </w:r>
    </w:p>
    <w:p w:rsidR="00B5589A" w:rsidRPr="00024597" w:rsidRDefault="00B5589A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5: Correlograma da função de autocorrelação parcial (FACP) da série de Vazão de Afluentes da média mensal.</w:t>
      </w:r>
    </w:p>
    <w:p w:rsidR="00D34E39" w:rsidRDefault="00D34E39" w:rsidP="00407DDE">
      <w:pPr>
        <w:spacing w:line="360" w:lineRule="auto"/>
      </w:pPr>
      <w:r>
        <w:tab/>
      </w:r>
    </w:p>
    <w:p w:rsidR="007A1E10" w:rsidRDefault="00D34E39" w:rsidP="00407DDE">
      <w:pPr>
        <w:spacing w:line="360" w:lineRule="auto"/>
      </w:pPr>
      <w:r>
        <w:tab/>
      </w: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Pelo gráfico da FAC presente na Figura 4, observa-se existir uma longa dependência em relação ao tempo, o que faz necessário a aplicação de pelo menos uma diferença sazonal. Após a realização de uma diferença sazonal a longa dependência em relação ao tempo não parece existir mais, como é possível observar na Figura 6.</w:t>
      </w:r>
    </w:p>
    <w:p w:rsidR="007A1E10" w:rsidRPr="007A1E10" w:rsidRDefault="003C7AD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4.8pt;height:230.4pt">
            <v:imagedata r:id="rId14" o:title="FAC2"/>
          </v:shape>
        </w:pict>
      </w:r>
    </w:p>
    <w:p w:rsidR="00D34E39" w:rsidRDefault="007A1E10" w:rsidP="00407DDE">
      <w:pPr>
        <w:spacing w:line="360" w:lineRule="auto"/>
        <w:jc w:val="center"/>
      </w:pPr>
      <w:r>
        <w:t>Figura 6: FAC após uma diferença sazonal</w:t>
      </w:r>
    </w:p>
    <w:p w:rsidR="007A1E10" w:rsidRDefault="007A1E10" w:rsidP="00407DDE">
      <w:pPr>
        <w:spacing w:line="360" w:lineRule="auto"/>
      </w:pP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7A1E10">
        <w:rPr>
          <w:rFonts w:ascii="Times New Roman" w:hAnsi="Times New Roman" w:cs="Times New Roman"/>
          <w:sz w:val="24"/>
          <w:szCs w:val="24"/>
        </w:rPr>
        <w:t xml:space="preserve">Ao analisar as funções de autocorrelação e autocorrelação parcial foram escolhidos 3 modelos da família SARIMA para serem testados, estes são: </w:t>
      </w:r>
      <w:r w:rsidR="005E5D3E">
        <w:rPr>
          <w:rFonts w:ascii="Times New Roman" w:hAnsi="Times New Roman" w:cs="Times New Roman"/>
          <w:sz w:val="24"/>
          <w:szCs w:val="24"/>
        </w:rPr>
        <w:t>SARIMA</w:t>
      </w:r>
      <w:r w:rsidR="005E5D3E" w:rsidRPr="007A1E10">
        <w:rPr>
          <w:rFonts w:ascii="Times New Roman" w:hAnsi="Times New Roman" w:cs="Times New Roman"/>
          <w:sz w:val="24"/>
          <w:szCs w:val="24"/>
        </w:rPr>
        <w:t>(</w:t>
      </w:r>
      <w:r w:rsidRPr="007A1E10">
        <w:rPr>
          <w:rFonts w:ascii="Times New Roman" w:hAnsi="Times New Roman" w:cs="Times New Roman"/>
          <w:sz w:val="24"/>
          <w:szCs w:val="24"/>
        </w:rPr>
        <w:t>1,0,0)x(1,0,1)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>, S</w:t>
      </w:r>
      <w:r w:rsidR="005E5D3E">
        <w:rPr>
          <w:rFonts w:ascii="Times New Roman" w:hAnsi="Times New Roman" w:cs="Times New Roman"/>
          <w:sz w:val="24"/>
          <w:szCs w:val="24"/>
        </w:rPr>
        <w:t>ARIMA</w:t>
      </w:r>
      <w:r w:rsidRPr="007A1E10">
        <w:rPr>
          <w:rFonts w:ascii="Times New Roman" w:hAnsi="Times New Roman" w:cs="Times New Roman"/>
          <w:sz w:val="24"/>
          <w:szCs w:val="24"/>
        </w:rPr>
        <w:t>(1,0,0)x(1,1,1)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 xml:space="preserve"> e SARIMA(1,0,0)x(0,1,1)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Ao </w:t>
      </w:r>
      <w:r w:rsidR="005E5D3E">
        <w:rPr>
          <w:rFonts w:ascii="Times New Roman" w:hAnsi="Times New Roman" w:cs="Times New Roman"/>
          <w:sz w:val="24"/>
          <w:szCs w:val="24"/>
        </w:rPr>
        <w:t>realizar estas modelagens</w:t>
      </w:r>
      <w:r>
        <w:rPr>
          <w:rFonts w:ascii="Times New Roman" w:hAnsi="Times New Roman" w:cs="Times New Roman"/>
          <w:sz w:val="24"/>
          <w:szCs w:val="24"/>
        </w:rPr>
        <w:t>, obteve-se as estatísticas de aderência presentes na Tabela 4.</w:t>
      </w:r>
    </w:p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76B" w:rsidRDefault="0098576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4: Estatísticas de aderência para os modelos de Box &amp; Jenkins</w:t>
      </w:r>
    </w:p>
    <w:tbl>
      <w:tblPr>
        <w:tblStyle w:val="TabeladeGrade6Colorida-nfase1"/>
        <w:tblW w:w="962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750"/>
        <w:gridCol w:w="2750"/>
        <w:gridCol w:w="2750"/>
      </w:tblGrid>
      <w:tr w:rsidR="0098576B" w:rsidRPr="0098576B" w:rsidTr="00D9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(1,0,1)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(1,1,1)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467,8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463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0,5231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0,5142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723,6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718,4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0,4207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0,4332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472,8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10" w:rsidRDefault="0098576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Levando em consideração a estatística de aderência BIC, escolhe-se o modelo que a minimiza e este é o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23B6">
        <w:rPr>
          <w:rFonts w:ascii="Times New Roman" w:hAnsi="Times New Roman" w:cs="Times New Roman"/>
          <w:sz w:val="24"/>
          <w:szCs w:val="24"/>
        </w:rPr>
        <w:t>Na F</w:t>
      </w:r>
      <w:r>
        <w:rPr>
          <w:rFonts w:ascii="Times New Roman" w:hAnsi="Times New Roman" w:cs="Times New Roman"/>
          <w:sz w:val="24"/>
          <w:szCs w:val="24"/>
        </w:rPr>
        <w:t>igura 7 mostra o comportamento da s</w:t>
      </w:r>
      <w:r w:rsidR="001723B6">
        <w:rPr>
          <w:rFonts w:ascii="Times New Roman" w:hAnsi="Times New Roman" w:cs="Times New Roman"/>
          <w:sz w:val="24"/>
          <w:szCs w:val="24"/>
        </w:rPr>
        <w:t xml:space="preserve">érie original sobreposta ao ajuste escolhido nos períodos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in sample</w:t>
      </w:r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out of sample</w:t>
      </w:r>
      <w:r w:rsidR="001723B6">
        <w:rPr>
          <w:rFonts w:ascii="Times New Roman" w:hAnsi="Times New Roman" w:cs="Times New Roman"/>
          <w:sz w:val="24"/>
          <w:szCs w:val="24"/>
        </w:rPr>
        <w:t>. Observa-se que o modelo ajusta bem os dados observados. A</w:t>
      </w:r>
      <w:r w:rsidR="000E35AB">
        <w:rPr>
          <w:rFonts w:ascii="Times New Roman" w:hAnsi="Times New Roman" w:cs="Times New Roman"/>
          <w:sz w:val="24"/>
          <w:szCs w:val="24"/>
        </w:rPr>
        <w:t xml:space="preserve"> Figura 8 mostra as 36</w:t>
      </w:r>
      <w:r w:rsidR="001723B6">
        <w:rPr>
          <w:rFonts w:ascii="Times New Roman" w:hAnsi="Times New Roman" w:cs="Times New Roman"/>
          <w:sz w:val="24"/>
          <w:szCs w:val="24"/>
        </w:rPr>
        <w:t xml:space="preserve"> últimas observações e o modelo ajustado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in sample</w:t>
      </w:r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out of sample</w:t>
      </w:r>
      <w:r w:rsidR="001723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23B6">
        <w:rPr>
          <w:rFonts w:ascii="Times New Roman" w:hAnsi="Times New Roman" w:cs="Times New Roman"/>
          <w:sz w:val="24"/>
          <w:szCs w:val="24"/>
        </w:rPr>
        <w:t>e a previsão de 12 meses a frente.</w:t>
      </w:r>
    </w:p>
    <w:p w:rsidR="001723B6" w:rsidRDefault="001723B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7AD6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25.35pt;height:193.85pt">
            <v:imagedata r:id="rId15" o:title="melhorBJ"/>
          </v:shape>
        </w:pict>
      </w:r>
    </w:p>
    <w:p w:rsidR="00D97EFE" w:rsidRPr="00D97EFE" w:rsidRDefault="00D97EFE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7: Série original sobreposta pelo modelo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E35AB">
        <w:rPr>
          <w:rFonts w:ascii="Times New Roman" w:hAnsi="Times New Roman" w:cs="Times New Roman"/>
          <w:sz w:val="24"/>
          <w:szCs w:val="24"/>
        </w:rPr>
        <w:t xml:space="preserve"> pelo método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>in sample</w:t>
      </w:r>
      <w:r w:rsidR="000E35AB">
        <w:rPr>
          <w:rFonts w:ascii="Times New Roman" w:hAnsi="Times New Roman" w:cs="Times New Roman"/>
          <w:sz w:val="24"/>
          <w:szCs w:val="24"/>
        </w:rPr>
        <w:t xml:space="preserve"> e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>out of sample</w:t>
      </w: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3C7AD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24.8pt;height:188.85pt">
            <v:imagedata r:id="rId16" o:title="outsampleBJ"/>
          </v:shape>
        </w:pict>
      </w:r>
    </w:p>
    <w:p w:rsidR="000E35AB" w:rsidRDefault="000E35A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0D4A7F">
        <w:rPr>
          <w:rFonts w:ascii="Times New Roman" w:hAnsi="Times New Roman" w:cs="Times New Roman"/>
          <w:sz w:val="24"/>
          <w:szCs w:val="24"/>
        </w:rPr>
        <w:t xml:space="preserve">Figura 8: Modelagem 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out of sample </w:t>
      </w:r>
      <w:r w:rsidRPr="000D4A7F">
        <w:rPr>
          <w:rFonts w:ascii="Times New Roman" w:hAnsi="Times New Roman" w:cs="Times New Roman"/>
          <w:sz w:val="24"/>
          <w:szCs w:val="24"/>
        </w:rPr>
        <w:t>com previsão de 12 meses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4A7F">
        <w:rPr>
          <w:rFonts w:ascii="Times New Roman" w:hAnsi="Times New Roman" w:cs="Times New Roman"/>
          <w:sz w:val="24"/>
          <w:szCs w:val="24"/>
        </w:rPr>
        <w:t xml:space="preserve">da série pelo </w:t>
      </w:r>
      <w:r w:rsidR="000D4A7F" w:rsidRPr="000D4A7F">
        <w:rPr>
          <w:rFonts w:ascii="Times New Roman" w:hAnsi="Times New Roman" w:cs="Times New Roman"/>
          <w:sz w:val="24"/>
          <w:szCs w:val="24"/>
        </w:rPr>
        <w:t>método SARIMA(1,0,0)x(0,1,1)</w:t>
      </w:r>
      <w:r w:rsidR="000D4A7F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FE416D" w:rsidRDefault="003C7AD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pict>
          <v:shape id="_x0000_i1033" type="#_x0000_t75" style="width:424.25pt;height:227.1pt">
            <v:imagedata r:id="rId17" o:title="residuos"/>
          </v:shape>
        </w:pict>
      </w:r>
    </w:p>
    <w:p w:rsidR="00FE416D" w:rsidRPr="00FE416D" w:rsidRDefault="00FE416D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9: Correlograma dos resíduos do modelo ajustado</w:t>
      </w:r>
    </w:p>
    <w:p w:rsidR="00D97EFE" w:rsidRDefault="00D97EFE" w:rsidP="00407DDE">
      <w:pPr>
        <w:spacing w:line="360" w:lineRule="auto"/>
        <w:jc w:val="center"/>
      </w:pPr>
    </w:p>
    <w:p w:rsidR="006935BA" w:rsidRDefault="006935BA" w:rsidP="00407DDE">
      <w:pPr>
        <w:pStyle w:val="Ttulo1"/>
        <w:spacing w:line="360" w:lineRule="auto"/>
      </w:pPr>
      <w:r>
        <w:br w:type="page"/>
      </w:r>
    </w:p>
    <w:p w:rsidR="00FE416D" w:rsidRDefault="00FE416D" w:rsidP="00407DDE">
      <w:pPr>
        <w:pStyle w:val="Ttulo1"/>
        <w:spacing w:line="360" w:lineRule="auto"/>
      </w:pPr>
      <w:bookmarkStart w:id="25" w:name="_Toc27061282"/>
      <w:r>
        <w:lastRenderedPageBreak/>
        <w:t>4.3. Comparação dos Resultados dos Modelos</w:t>
      </w:r>
      <w:bookmarkEnd w:id="25"/>
    </w:p>
    <w:p w:rsidR="00FE416D" w:rsidRDefault="00FE416D" w:rsidP="00407DDE">
      <w:pPr>
        <w:spacing w:line="360" w:lineRule="auto"/>
      </w:pP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Para comparar os modelos foram utilizadas as estatísticas de aderência MAD, MAPE, RMSE,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e BIC, com maior foco nesta última.</w:t>
      </w: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Tabela 5 são </w:t>
      </w:r>
      <w:r w:rsidR="008C3CA0">
        <w:rPr>
          <w:rFonts w:ascii="Times New Roman" w:hAnsi="Times New Roman" w:cs="Times New Roman"/>
          <w:sz w:val="24"/>
          <w:szCs w:val="24"/>
        </w:rPr>
        <w:t>apresentadas</w:t>
      </w:r>
      <w:r>
        <w:rPr>
          <w:rFonts w:ascii="Times New Roman" w:hAnsi="Times New Roman" w:cs="Times New Roman"/>
          <w:sz w:val="24"/>
          <w:szCs w:val="24"/>
        </w:rPr>
        <w:t xml:space="preserve"> as estatísticas de aderência do melhor modelo ajustado da família Holt-Winters e também da família Box &amp; Jenkins.</w:t>
      </w:r>
      <w:r w:rsidR="008C3CA0">
        <w:rPr>
          <w:rFonts w:ascii="Times New Roman" w:hAnsi="Times New Roman" w:cs="Times New Roman"/>
          <w:sz w:val="24"/>
          <w:szCs w:val="24"/>
        </w:rPr>
        <w:t xml:space="preserve"> Observa-se que o modelo SARIMA(1,0,0)x(0,1,1)</w:t>
      </w:r>
      <w:r w:rsidR="008C3CA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C3CA0">
        <w:rPr>
          <w:rFonts w:ascii="Times New Roman" w:hAnsi="Times New Roman" w:cs="Times New Roman"/>
          <w:sz w:val="24"/>
          <w:szCs w:val="24"/>
        </w:rPr>
        <w:t xml:space="preserve"> possui valores de suas estatísticas menores, logo é preferível utiliza-lo para a representação e previsão dos dados.</w:t>
      </w:r>
    </w:p>
    <w:p w:rsidR="008C3CA0" w:rsidRPr="008C3CA0" w:rsidRDefault="008C3CA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16D" w:rsidRDefault="008C3CA0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5: Estatística de aderência dos melhores modelos</w:t>
      </w:r>
    </w:p>
    <w:tbl>
      <w:tblPr>
        <w:tblStyle w:val="TabeladeGrade6Colorida-nfase1"/>
        <w:tblW w:w="9039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4402"/>
        <w:gridCol w:w="3261"/>
      </w:tblGrid>
      <w:tr w:rsidR="008C3CA0" w:rsidRPr="0098576B" w:rsidTr="008C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Holt-Winters aditivo sem </w:t>
            </w:r>
            <w:r w:rsidRPr="008C3CA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damped trend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SARIMA(1,0,0)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533,6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0,7308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749,8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0,22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757,4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FE416D" w:rsidRP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407DDE">
      <w:pPr>
        <w:pStyle w:val="Ttulo1"/>
        <w:spacing w:line="360" w:lineRule="auto"/>
        <w:rPr>
          <w:rFonts w:cs="Times New Roman"/>
        </w:rPr>
      </w:pPr>
      <w:bookmarkStart w:id="26" w:name="_Toc27061283"/>
      <w:r w:rsidRPr="00C177BA">
        <w:rPr>
          <w:rFonts w:cs="Times New Roman"/>
        </w:rPr>
        <w:t>5. Conclusões</w:t>
      </w:r>
      <w:bookmarkEnd w:id="26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D8E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8C3CA0">
        <w:rPr>
          <w:rFonts w:ascii="Times New Roman" w:hAnsi="Times New Roman" w:cs="Times New Roman"/>
          <w:sz w:val="24"/>
          <w:szCs w:val="24"/>
        </w:rPr>
        <w:t xml:space="preserve">O objetivo do trabalho foi realizar comparações de modelos de séries temporais das classes Holt-Winters e Box &amp; Jenkins utilizando os dados de vazão de afluentes média mensal da usina hidrelétrica de Itá. </w:t>
      </w:r>
      <w:r w:rsidR="00382FAD">
        <w:rPr>
          <w:rFonts w:ascii="Times New Roman" w:hAnsi="Times New Roman" w:cs="Times New Roman"/>
          <w:sz w:val="24"/>
          <w:szCs w:val="24"/>
        </w:rPr>
        <w:t xml:space="preserve">Foi feita uma breve revisão bibliográfica sobre trabalhos do mesmo tema, que se mostrou bastante importante para a confecção desse trabalho. </w:t>
      </w:r>
    </w:p>
    <w:p w:rsidR="00382FAD" w:rsidRPr="00382FAD" w:rsidRDefault="00382FA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utilizado o método de </w:t>
      </w:r>
      <w:r w:rsidRPr="00382FAD">
        <w:rPr>
          <w:rFonts w:ascii="Times New Roman" w:hAnsi="Times New Roman" w:cs="Times New Roman"/>
          <w:i/>
          <w:sz w:val="24"/>
          <w:szCs w:val="24"/>
        </w:rPr>
        <w:t>in sample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82FAD">
        <w:rPr>
          <w:rFonts w:ascii="Times New Roman" w:hAnsi="Times New Roman" w:cs="Times New Roman"/>
          <w:i/>
          <w:sz w:val="24"/>
          <w:szCs w:val="24"/>
        </w:rPr>
        <w:t>out of sample</w:t>
      </w:r>
      <w:r>
        <w:rPr>
          <w:rFonts w:ascii="Times New Roman" w:hAnsi="Times New Roman" w:cs="Times New Roman"/>
          <w:sz w:val="24"/>
          <w:szCs w:val="24"/>
        </w:rPr>
        <w:t xml:space="preserve"> para modelagem da série e também para realização de previsões com 12 meses a frente. Das modelagens realizadas, com base nas estatísticas de aderência, a melhor foi da família Box &amp; Jenkins, está é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. Pelo correlograma dos resíduos, </w:t>
      </w:r>
      <w:r w:rsidR="003C60F4">
        <w:rPr>
          <w:rFonts w:ascii="Times New Roman" w:hAnsi="Times New Roman" w:cs="Times New Roman"/>
          <w:sz w:val="24"/>
          <w:szCs w:val="24"/>
        </w:rPr>
        <w:t>este modelo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0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mostrou bom e com isso pode-se</w:t>
      </w:r>
      <w:bookmarkStart w:id="27" w:name="_GoBack"/>
      <w:bookmarkEnd w:id="27"/>
      <w:r>
        <w:rPr>
          <w:rFonts w:ascii="Times New Roman" w:hAnsi="Times New Roman" w:cs="Times New Roman"/>
          <w:sz w:val="24"/>
          <w:szCs w:val="24"/>
        </w:rPr>
        <w:t xml:space="preserve"> esperar boas previsões.</w:t>
      </w:r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8E19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322" w:rsidRDefault="00980322" w:rsidP="008E192B">
      <w:pPr>
        <w:pStyle w:val="Ttulo1"/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A64104" w:rsidRDefault="00D8619F" w:rsidP="008E192B">
      <w:pPr>
        <w:pStyle w:val="Ttulo1"/>
        <w:spacing w:line="360" w:lineRule="auto"/>
        <w:rPr>
          <w:rFonts w:cs="Times New Roman"/>
        </w:rPr>
      </w:pPr>
      <w:bookmarkStart w:id="28" w:name="_Toc27061284"/>
      <w:r w:rsidRPr="00C177BA">
        <w:rPr>
          <w:rFonts w:cs="Times New Roman"/>
        </w:rPr>
        <w:lastRenderedPageBreak/>
        <w:t xml:space="preserve">6. </w:t>
      </w:r>
      <w:r w:rsidR="00A64104" w:rsidRPr="00C177BA">
        <w:rPr>
          <w:rFonts w:cs="Times New Roman"/>
        </w:rPr>
        <w:t>Referências</w:t>
      </w:r>
      <w:bookmarkEnd w:id="28"/>
    </w:p>
    <w:p w:rsidR="002C5DD7" w:rsidRPr="002C5DD7" w:rsidRDefault="002C5DD7" w:rsidP="002C5DD7"/>
    <w:p w:rsidR="003246DE" w:rsidRPr="00980322" w:rsidRDefault="003246DE" w:rsidP="00D50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[1] REIS, P. </w:t>
      </w:r>
      <w:r w:rsidRPr="00A95675">
        <w:rPr>
          <w:rFonts w:ascii="Times New Roman" w:hAnsi="Times New Roman" w:cs="Times New Roman"/>
          <w:i/>
          <w:sz w:val="24"/>
          <w:szCs w:val="24"/>
        </w:rPr>
        <w:t xml:space="preserve">Fontes de energia </w:t>
      </w:r>
      <w:r w:rsidRPr="003246DE">
        <w:rPr>
          <w:rFonts w:ascii="Times New Roman" w:hAnsi="Times New Roman" w:cs="Times New Roman"/>
          <w:sz w:val="24"/>
          <w:szCs w:val="24"/>
        </w:rPr>
        <w:t>2019. Dispon</w:t>
      </w:r>
      <w:r>
        <w:rPr>
          <w:rFonts w:ascii="Times New Roman" w:hAnsi="Times New Roman" w:cs="Times New Roman"/>
          <w:sz w:val="24"/>
          <w:szCs w:val="24"/>
        </w:rPr>
        <w:t>ível em: &lt;</w:t>
      </w:r>
      <w:r w:rsidRPr="003246DE">
        <w:rPr>
          <w:rFonts w:ascii="Times New Roman" w:hAnsi="Times New Roman" w:cs="Times New Roman"/>
          <w:sz w:val="24"/>
          <w:szCs w:val="24"/>
        </w:rPr>
        <w:t>https://www.portal-energia.com/fontes-de-energia/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5A54" w:rsidRPr="003246DE" w:rsidRDefault="00325A54" w:rsidP="00D507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</w:t>
      </w:r>
      <w:r w:rsidR="00DD3C72" w:rsidRPr="003246DE">
        <w:rPr>
          <w:rFonts w:ascii="Times New Roman" w:hAnsi="Times New Roman" w:cs="Times New Roman"/>
          <w:sz w:val="24"/>
          <w:szCs w:val="24"/>
        </w:rPr>
        <w:t>2</w:t>
      </w:r>
      <w:r w:rsidRPr="003246DE">
        <w:rPr>
          <w:rFonts w:ascii="Times New Roman" w:hAnsi="Times New Roman" w:cs="Times New Roman"/>
          <w:sz w:val="24"/>
          <w:szCs w:val="24"/>
        </w:rPr>
        <w:t>]</w:t>
      </w:r>
      <w:r w:rsidR="00980322" w:rsidRPr="00980322">
        <w:rPr>
          <w:rFonts w:ascii="Helvetica" w:hAnsi="Helvetica"/>
          <w:color w:val="000000"/>
          <w:sz w:val="20"/>
          <w:szCs w:val="20"/>
        </w:rPr>
        <w:t xml:space="preserve"> </w:t>
      </w:r>
      <w:r w:rsidR="00980322" w:rsidRPr="00A95675">
        <w:rPr>
          <w:rFonts w:ascii="Times New Roman" w:hAnsi="Times New Roman" w:cs="Times New Roman"/>
          <w:i/>
          <w:color w:val="000000"/>
          <w:sz w:val="24"/>
          <w:szCs w:val="24"/>
        </w:rPr>
        <w:t>"Usinas hidrelétricas do Brasil"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 xml:space="preserve"> em </w:t>
      </w:r>
      <w:r w:rsidR="00980322" w:rsidRPr="00980322">
        <w:rPr>
          <w:rStyle w:val="nfase"/>
          <w:rFonts w:ascii="Times New Roman" w:hAnsi="Times New Roman" w:cs="Times New Roman"/>
          <w:color w:val="000000"/>
          <w:sz w:val="24"/>
          <w:szCs w:val="24"/>
        </w:rPr>
        <w:t>Só Geografia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>. Virtuous Tecnologia da Informação, 2007-2019. Consultado em 12/12/2019 às</w:t>
      </w:r>
      <w:r w:rsidR="00980322">
        <w:rPr>
          <w:rFonts w:ascii="Times New Roman" w:hAnsi="Times New Roman" w:cs="Times New Roman"/>
          <w:color w:val="000000"/>
          <w:sz w:val="24"/>
          <w:szCs w:val="24"/>
        </w:rPr>
        <w:t xml:space="preserve"> 16:16. Disponível em: &lt;</w:t>
      </w:r>
      <w:r w:rsidR="00980322" w:rsidRPr="00980322">
        <w:t>http://www.sogeografia.com.br/Conteudos/GeografiaFisica/Hidrografia/content3_6.php</w:t>
      </w:r>
      <w:r w:rsidR="00980322">
        <w:t>&gt;.</w:t>
      </w:r>
    </w:p>
    <w:p w:rsidR="00A64104" w:rsidRPr="003246DE" w:rsidRDefault="0047510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[3</w:t>
      </w:r>
      <w:r w:rsidR="00A64104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523D53" w:rsidRPr="003246DE">
        <w:rPr>
          <w:rFonts w:ascii="Times New Roman" w:hAnsi="Times New Roman" w:cs="Times New Roman"/>
          <w:sz w:val="24"/>
          <w:szCs w:val="24"/>
        </w:rPr>
        <w:t xml:space="preserve">MENEZES, M. L, CASSIANO, K. M., SOUZA, R. M., JUNIOR, L. A. T., PESSANHA, J. F. M. E SOUZA, R. C. </w:t>
      </w:r>
      <w:r w:rsidR="00877BD1" w:rsidRPr="003246DE">
        <w:rPr>
          <w:rFonts w:ascii="Times New Roman" w:hAnsi="Times New Roman" w:cs="Times New Roman"/>
          <w:sz w:val="24"/>
          <w:szCs w:val="24"/>
        </w:rPr>
        <w:t xml:space="preserve">(2014). </w:t>
      </w:r>
      <w:r w:rsidR="002F237C" w:rsidRPr="00D507CA">
        <w:rPr>
          <w:rFonts w:ascii="Times New Roman" w:hAnsi="Times New Roman" w:cs="Times New Roman"/>
          <w:i/>
          <w:sz w:val="24"/>
          <w:szCs w:val="24"/>
        </w:rPr>
        <w:t>Modelagem e Previsão de Demanda de Energia com Filtragem SSA</w:t>
      </w:r>
      <w:r w:rsidR="002F237C" w:rsidRPr="00D507CA">
        <w:rPr>
          <w:rFonts w:ascii="Times New Roman" w:hAnsi="Times New Roman" w:cs="Times New Roman"/>
          <w:sz w:val="24"/>
          <w:szCs w:val="24"/>
        </w:rPr>
        <w:t>. Revista da Estatística</w:t>
      </w:r>
      <w:r w:rsidR="002F237C" w:rsidRPr="003246DE">
        <w:rPr>
          <w:rFonts w:ascii="Times New Roman" w:hAnsi="Times New Roman" w:cs="Times New Roman"/>
          <w:i/>
          <w:sz w:val="24"/>
          <w:szCs w:val="24"/>
        </w:rPr>
        <w:t xml:space="preserve"> UFOP.</w:t>
      </w:r>
      <w:r w:rsidR="002F237C" w:rsidRPr="003246DE">
        <w:rPr>
          <w:rFonts w:ascii="Times New Roman" w:hAnsi="Times New Roman" w:cs="Times New Roman"/>
          <w:sz w:val="24"/>
          <w:szCs w:val="24"/>
        </w:rPr>
        <w:t xml:space="preserve"> 3(2), pp. 170 – 187.</w:t>
      </w:r>
    </w:p>
    <w:p w:rsidR="00F40DDF" w:rsidRPr="002C5DD7" w:rsidRDefault="00F40DDF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[4</w:t>
      </w:r>
      <w:r w:rsidRPr="002C5DD7">
        <w:rPr>
          <w:rFonts w:ascii="Times New Roman" w:hAnsi="Times New Roman" w:cs="Times New Roman"/>
          <w:sz w:val="24"/>
          <w:szCs w:val="24"/>
        </w:rPr>
        <w:t xml:space="preserve">] </w:t>
      </w:r>
      <w:r w:rsidR="002C5DD7" w:rsidRP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LIMA, A. Geração de Energia Elétrica. 2014. Disponível em: &lt;</w:t>
      </w:r>
      <w:r w:rsidR="002C5DD7" w:rsidRPr="002C5DD7">
        <w:rPr>
          <w:rFonts w:ascii="Times New Roman" w:hAnsi="Times New Roman" w:cs="Times New Roman"/>
          <w:sz w:val="24"/>
          <w:szCs w:val="24"/>
        </w:rPr>
        <w:t>http://www.antonioguilherme.web.br.com/Arquivos/vazao.php&gt;</w:t>
      </w:r>
      <w:r w:rsidR="002C5DD7">
        <w:rPr>
          <w:rFonts w:ascii="Times New Roman" w:hAnsi="Times New Roman" w:cs="Times New Roman"/>
          <w:sz w:val="24"/>
          <w:szCs w:val="24"/>
        </w:rPr>
        <w:t>.</w:t>
      </w:r>
    </w:p>
    <w:p w:rsidR="003246DE" w:rsidRPr="003246DE" w:rsidRDefault="00306BF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[5] </w:t>
      </w:r>
      <w:r w:rsidR="003246DE">
        <w:rPr>
          <w:rFonts w:ascii="Times New Roman" w:hAnsi="Times New Roman" w:cs="Times New Roman"/>
          <w:sz w:val="24"/>
          <w:szCs w:val="24"/>
        </w:rPr>
        <w:t xml:space="preserve">ONS.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O que é ONS.</w:t>
      </w:r>
      <w:r w:rsidR="003246DE">
        <w:rPr>
          <w:rFonts w:ascii="Times New Roman" w:hAnsi="Times New Roman" w:cs="Times New Roman"/>
          <w:sz w:val="24"/>
          <w:szCs w:val="24"/>
        </w:rPr>
        <w:t xml:space="preserve"> [s.n.], 2019.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http://www.ons.org.br/paginas/</w:t>
      </w:r>
    </w:p>
    <w:p w:rsid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sobre-o-ons/o-que-e-ons&gt;.</w:t>
      </w:r>
    </w:p>
    <w:p w:rsidR="00F62C1A" w:rsidRPr="002C5DD7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A95675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CAMELO, H. DO N.; LÚCIO, P. S.; JUNIOR, J. B. V. L 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(2016). </w:t>
      </w:r>
      <w:r w:rsidR="002C5DD7" w:rsidRPr="00D507CA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>Modelagem de média mensal de velocidade do vento para região litorânea no nordeste brasileiro através do método aditivo holt-winters com vias a previsão de geração eólica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Revista brasileira de energias renováveis, pp.587-604.</w:t>
      </w:r>
    </w:p>
    <w:p w:rsidR="00325A54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A95675">
        <w:rPr>
          <w:rFonts w:ascii="Times New Roman" w:hAnsi="Times New Roman" w:cs="Times New Roman"/>
          <w:sz w:val="24"/>
          <w:szCs w:val="24"/>
        </w:rPr>
        <w:t>PINTO, W. P.; LIMA, G. B.; ZANETTI</w:t>
      </w:r>
      <w:r>
        <w:rPr>
          <w:rFonts w:ascii="Times New Roman" w:hAnsi="Times New Roman" w:cs="Times New Roman"/>
          <w:sz w:val="24"/>
          <w:szCs w:val="24"/>
        </w:rPr>
        <w:t>, J. B.;</w:t>
      </w:r>
      <w:r w:rsidRPr="00D507CA">
        <w:rPr>
          <w:rFonts w:ascii="Times New Roman" w:hAnsi="Times New Roman" w:cs="Times New Roman"/>
          <w:i/>
          <w:sz w:val="24"/>
          <w:szCs w:val="24"/>
        </w:rPr>
        <w:t>Análise Comparativa De Modelos De Séries Temporais Para Modelagem E Previsão De Regimes De Vazões Médias Mensais Do Rio Doce, Colatina - Espírito Santo</w:t>
      </w:r>
      <w:r w:rsidR="00F62C1A" w:rsidRPr="003246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Revista Ciência e Natura (2015), pp.1-11.</w:t>
      </w:r>
    </w:p>
    <w:p w:rsidR="00152D12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[8</w:t>
      </w:r>
      <w:r w:rsidR="00A95675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Fonts w:ascii="Times New Roman" w:hAnsi="Times New Roman" w:cs="Times New Roman"/>
          <w:sz w:val="24"/>
          <w:szCs w:val="24"/>
        </w:rPr>
        <w:t>MORETTIN P.; TOLOI</w:t>
      </w:r>
      <w:r>
        <w:rPr>
          <w:rFonts w:ascii="Times New Roman" w:hAnsi="Times New Roman" w:cs="Times New Roman"/>
          <w:sz w:val="24"/>
          <w:szCs w:val="24"/>
        </w:rPr>
        <w:t>, C. Análise De Séries Temporais. [S.I: S.N.],2004.</w:t>
      </w:r>
    </w:p>
    <w:p w:rsidR="00B60896" w:rsidRPr="003246DE" w:rsidRDefault="00B60896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[9]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="00D507CA" w:rsidRPr="00523D53">
        <w:rPr>
          <w:rFonts w:ascii="Times New Roman" w:hAnsi="Times New Roman" w:cs="Times New Roman"/>
          <w:i/>
          <w:sz w:val="24"/>
          <w:szCs w:val="24"/>
        </w:rPr>
        <w:t>P. Estacionariedade</w:t>
      </w:r>
      <w:r w:rsidR="00D507CA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D507CA"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D507CA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8" w:history="1">
        <w:r w:rsidRPr="00D507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http://www.portalaction.com.br/series-temporais/11-estacionariedade</w:t>
        </w:r>
      </w:hyperlink>
      <w:r w:rsidR="00D507CA"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D507CA" w:rsidRPr="00D507CA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Pr="00523D53">
        <w:rPr>
          <w:rFonts w:ascii="Times New Roman" w:hAnsi="Times New Roman" w:cs="Times New Roman"/>
          <w:i/>
          <w:sz w:val="24"/>
          <w:szCs w:val="24"/>
        </w:rPr>
        <w:t>P. Teste de Shapiro-Wilk</w:t>
      </w:r>
      <w:r w:rsidRPr="003246DE">
        <w:rPr>
          <w:rFonts w:ascii="Times New Roman" w:hAnsi="Times New Roman" w:cs="Times New Roman"/>
          <w:sz w:val="24"/>
          <w:szCs w:val="24"/>
        </w:rPr>
        <w:t>. [s.n.], 2019</w:t>
      </w:r>
      <w:r>
        <w:rPr>
          <w:rFonts w:ascii="Times New Roman" w:hAnsi="Times New Roman" w:cs="Times New Roman"/>
          <w:sz w:val="24"/>
          <w:szCs w:val="24"/>
        </w:rPr>
        <w:t>. Disponível em: &lt;</w:t>
      </w:r>
      <w:r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http://www.portalaction.com.br/inferencia/64-teste-de-shapiro-wilk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46DE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3246DE">
        <w:rPr>
          <w:rFonts w:ascii="Times New Roman" w:hAnsi="Times New Roman" w:cs="Times New Roman"/>
          <w:sz w:val="24"/>
          <w:szCs w:val="24"/>
        </w:rPr>
        <w:t xml:space="preserve">[11] 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ACTION,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Teste de Estacionaridade</w:t>
      </w:r>
      <w:r w:rsidR="003246DE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3246DE">
        <w:rPr>
          <w:rFonts w:ascii="Times New Roman" w:hAnsi="Times New Roman" w:cs="Times New Roman"/>
          <w:sz w:val="24"/>
          <w:szCs w:val="24"/>
        </w:rPr>
        <w:t>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</w:t>
      </w:r>
    </w:p>
    <w:p w:rsidR="000C312C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portalaction.com.br/series-temporais</w:t>
      </w:r>
      <w:r>
        <w:rPr>
          <w:rFonts w:ascii="Times New Roman" w:hAnsi="Times New Roman" w:cs="Times New Roman"/>
          <w:sz w:val="24"/>
          <w:szCs w:val="24"/>
        </w:rPr>
        <w:t>/14-testes-de-estacionariedade&gt;.</w:t>
      </w:r>
    </w:p>
    <w:p w:rsidR="003246DE" w:rsidRPr="003246DE" w:rsidRDefault="00115125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[12]</w:t>
      </w:r>
      <w:r w:rsidR="003246DE" w:rsidRPr="003246DE">
        <w:t xml:space="preserve"> </w:t>
      </w:r>
      <w:r w:rsidR="003246DE" w:rsidRPr="003246DE">
        <w:rPr>
          <w:rFonts w:ascii="Times New Roman" w:hAnsi="Times New Roman" w:cs="Times New Roman"/>
          <w:sz w:val="24"/>
          <w:szCs w:val="24"/>
        </w:rPr>
        <w:t>AC</w:t>
      </w:r>
      <w:r w:rsidR="003246DE">
        <w:rPr>
          <w:rFonts w:ascii="Times New Roman" w:hAnsi="Times New Roman" w:cs="Times New Roman"/>
          <w:sz w:val="24"/>
          <w:szCs w:val="24"/>
        </w:rPr>
        <w:t xml:space="preserve">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Modelos de Suavização Exponencial</w:t>
      </w:r>
      <w:r w:rsidR="003246DE">
        <w:rPr>
          <w:rFonts w:ascii="Times New Roman" w:hAnsi="Times New Roman" w:cs="Times New Roman"/>
          <w:sz w:val="24"/>
          <w:szCs w:val="24"/>
        </w:rPr>
        <w:t>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</w:p>
    <w:p w:rsidR="00325A54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3246DE">
        <w:rPr>
          <w:rFonts w:ascii="Times New Roman" w:hAnsi="Times New Roman" w:cs="Times New Roman"/>
          <w:sz w:val="24"/>
          <w:szCs w:val="24"/>
        </w:rPr>
        <w:t>http://www.portalaction.com.br/series-temporais/mod</w:t>
      </w:r>
      <w:r>
        <w:rPr>
          <w:rFonts w:ascii="Times New Roman" w:hAnsi="Times New Roman" w:cs="Times New Roman"/>
          <w:sz w:val="24"/>
          <w:szCs w:val="24"/>
        </w:rPr>
        <w:t>elos-de-suavizacao-exponencial&gt;</w:t>
      </w:r>
    </w:p>
    <w:p w:rsidR="002F237C" w:rsidRPr="003246DE" w:rsidRDefault="00B05C51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[13] SHUMWAY, R. H.; STOFFER, D. S. </w:t>
      </w:r>
      <w:r w:rsidRPr="00D507CA">
        <w:rPr>
          <w:rFonts w:ascii="Times New Roman" w:hAnsi="Times New Roman" w:cs="Times New Roman"/>
          <w:i/>
          <w:sz w:val="24"/>
          <w:szCs w:val="24"/>
        </w:rPr>
        <w:t>Time Series Anal</w:t>
      </w:r>
      <w:r w:rsidR="003246DE" w:rsidRPr="00D507CA">
        <w:rPr>
          <w:rFonts w:ascii="Times New Roman" w:hAnsi="Times New Roman" w:cs="Times New Roman"/>
          <w:i/>
          <w:sz w:val="24"/>
          <w:szCs w:val="24"/>
        </w:rPr>
        <w:t>ysis and Its Applications: With R Examples</w:t>
      </w:r>
      <w:r w:rsidR="003246DE">
        <w:rPr>
          <w:rFonts w:ascii="Times New Roman" w:hAnsi="Times New Roman" w:cs="Times New Roman"/>
          <w:sz w:val="24"/>
          <w:szCs w:val="24"/>
        </w:rPr>
        <w:t>. 4 ediçã</w:t>
      </w:r>
      <w:r w:rsidRPr="003246DE">
        <w:rPr>
          <w:rFonts w:ascii="Times New Roman" w:hAnsi="Times New Roman" w:cs="Times New Roman"/>
          <w:sz w:val="24"/>
          <w:szCs w:val="24"/>
        </w:rPr>
        <w:t>o. ed. [S.l.]: Springer, 2017.</w:t>
      </w:r>
    </w:p>
    <w:p w:rsidR="00FF31F2" w:rsidRDefault="002622B1" w:rsidP="00D507CA">
      <w:pPr>
        <w:spacing w:line="360" w:lineRule="auto"/>
        <w:ind w:left="426" w:hanging="426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246DE">
        <w:rPr>
          <w:rFonts w:ascii="Times New Roman" w:hAnsi="Times New Roman" w:cs="Times New Roman"/>
          <w:sz w:val="24"/>
          <w:szCs w:val="24"/>
        </w:rPr>
        <w:lastRenderedPageBreak/>
        <w:t>[14]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3246DE">
        <w:rPr>
          <w:rFonts w:ascii="Times New Roman" w:hAnsi="Times New Roman" w:cs="Times New Roman"/>
          <w:sz w:val="24"/>
          <w:szCs w:val="24"/>
        </w:rPr>
        <w:t>WIKEPEDIA. Usina Hidrelé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trica de </w:t>
      </w:r>
      <w:r w:rsidR="003246DE">
        <w:rPr>
          <w:rFonts w:ascii="Times New Roman" w:hAnsi="Times New Roman" w:cs="Times New Roman"/>
          <w:sz w:val="24"/>
          <w:szCs w:val="24"/>
        </w:rPr>
        <w:t>Itá.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  <w:r w:rsidR="003246DE" w:rsidRPr="003246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&lt;</w:t>
      </w:r>
      <w:r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https://pt.wikipedia.org/wiki/Usina_Hidrel%C3%A9trica_de_It%C3%A1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CE3247" w:rsidRDefault="00CE3247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CE3247">
        <w:rPr>
          <w:rFonts w:ascii="Times New Roman" w:hAnsi="Times New Roman" w:cs="Times New Roman"/>
          <w:sz w:val="24"/>
          <w:szCs w:val="24"/>
        </w:rPr>
        <w:t xml:space="preserve">R Core Team (2018). </w:t>
      </w:r>
      <w:r w:rsidRPr="00DB2CA2">
        <w:rPr>
          <w:rFonts w:ascii="Times New Roman" w:hAnsi="Times New Roman" w:cs="Times New Roman"/>
          <w:i/>
          <w:sz w:val="24"/>
          <w:szCs w:val="24"/>
        </w:rPr>
        <w:t>R: A language and environment for statistical computing</w:t>
      </w:r>
      <w:r w:rsidRPr="00CE3247">
        <w:rPr>
          <w:rFonts w:ascii="Times New Roman" w:hAnsi="Times New Roman" w:cs="Times New Roman"/>
          <w:sz w:val="24"/>
          <w:szCs w:val="24"/>
        </w:rPr>
        <w:t xml:space="preserve">. R Foundation for Statistical Computing, Vienna, Austria. URL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CE3247">
        <w:rPr>
          <w:rFonts w:ascii="Times New Roman" w:hAnsi="Times New Roman" w:cs="Times New Roman"/>
          <w:sz w:val="24"/>
          <w:szCs w:val="24"/>
        </w:rPr>
        <w:t>https://www.R-project.org/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CE3247">
        <w:rPr>
          <w:rFonts w:ascii="Times New Roman" w:hAnsi="Times New Roman" w:cs="Times New Roman"/>
          <w:sz w:val="24"/>
          <w:szCs w:val="24"/>
        </w:rPr>
        <w:t>.</w:t>
      </w:r>
    </w:p>
    <w:p w:rsidR="00DB2CA2" w:rsidRPr="003246DE" w:rsidRDefault="00DB2CA2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STELLWAGEN, E.; GOODRICH</w:t>
      </w:r>
      <w:r w:rsidRPr="00DB2C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E67E7">
        <w:rPr>
          <w:rFonts w:ascii="Times New Roman" w:hAnsi="Times New Roman" w:cs="Times New Roman"/>
          <w:i/>
          <w:sz w:val="24"/>
          <w:szCs w:val="24"/>
        </w:rPr>
        <w:t>R. Forecast Pro – Statistical Reference Manual</w:t>
      </w:r>
      <w:r>
        <w:rPr>
          <w:rFonts w:ascii="Times New Roman" w:hAnsi="Times New Roman" w:cs="Times New Roman"/>
          <w:sz w:val="24"/>
          <w:szCs w:val="24"/>
        </w:rPr>
        <w:t xml:space="preserve"> [S.I], 2000.</w:t>
      </w:r>
    </w:p>
    <w:sectPr w:rsidR="00DB2CA2" w:rsidRPr="003246DE" w:rsidSect="00AF7E7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34A" w:rsidRDefault="0007234A" w:rsidP="004C443C">
      <w:r>
        <w:separator/>
      </w:r>
    </w:p>
  </w:endnote>
  <w:endnote w:type="continuationSeparator" w:id="0">
    <w:p w:rsidR="0007234A" w:rsidRDefault="0007234A" w:rsidP="004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16D" w:rsidRDefault="00FE416D">
    <w:pPr>
      <w:pStyle w:val="Rodap"/>
      <w:jc w:val="center"/>
    </w:pPr>
  </w:p>
  <w:p w:rsidR="00FE416D" w:rsidRDefault="00FE41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594363"/>
      <w:docPartObj>
        <w:docPartGallery w:val="Page Numbers (Bottom of Page)"/>
        <w:docPartUnique/>
      </w:docPartObj>
    </w:sdtPr>
    <w:sdtEndPr/>
    <w:sdtContent>
      <w:p w:rsidR="00FE416D" w:rsidRDefault="00FE416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0F4">
          <w:rPr>
            <w:noProof/>
          </w:rPr>
          <w:t>23</w:t>
        </w:r>
        <w:r>
          <w:fldChar w:fldCharType="end"/>
        </w:r>
      </w:p>
    </w:sdtContent>
  </w:sdt>
  <w:p w:rsidR="00FE416D" w:rsidRDefault="00FE4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34A" w:rsidRDefault="0007234A" w:rsidP="004C443C">
      <w:r>
        <w:separator/>
      </w:r>
    </w:p>
  </w:footnote>
  <w:footnote w:type="continuationSeparator" w:id="0">
    <w:p w:rsidR="0007234A" w:rsidRDefault="0007234A" w:rsidP="004C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7BA5"/>
    <w:multiLevelType w:val="hybridMultilevel"/>
    <w:tmpl w:val="6B400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D5D55"/>
    <w:multiLevelType w:val="hybridMultilevel"/>
    <w:tmpl w:val="8D603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C81D5F"/>
    <w:multiLevelType w:val="hybridMultilevel"/>
    <w:tmpl w:val="E25A53A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5A6D13"/>
    <w:multiLevelType w:val="hybridMultilevel"/>
    <w:tmpl w:val="8ED05E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9D4298"/>
    <w:multiLevelType w:val="hybridMultilevel"/>
    <w:tmpl w:val="FD58BC9E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66FE"/>
    <w:multiLevelType w:val="hybridMultilevel"/>
    <w:tmpl w:val="CA8260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570912"/>
    <w:multiLevelType w:val="hybridMultilevel"/>
    <w:tmpl w:val="68284B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A5F758C"/>
    <w:multiLevelType w:val="hybridMultilevel"/>
    <w:tmpl w:val="755A9C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7D3C9B"/>
    <w:multiLevelType w:val="hybridMultilevel"/>
    <w:tmpl w:val="77603FF4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C3447"/>
    <w:multiLevelType w:val="hybridMultilevel"/>
    <w:tmpl w:val="AE9E8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9716F"/>
    <w:multiLevelType w:val="hybridMultilevel"/>
    <w:tmpl w:val="F11C71C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C1E5182"/>
    <w:multiLevelType w:val="hybridMultilevel"/>
    <w:tmpl w:val="62945B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E2F29B5"/>
    <w:multiLevelType w:val="hybridMultilevel"/>
    <w:tmpl w:val="999EADF8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3B"/>
    <w:rsid w:val="0001459D"/>
    <w:rsid w:val="000219A1"/>
    <w:rsid w:val="00024597"/>
    <w:rsid w:val="00032C95"/>
    <w:rsid w:val="00041D11"/>
    <w:rsid w:val="00043A49"/>
    <w:rsid w:val="0007234A"/>
    <w:rsid w:val="000A1FCF"/>
    <w:rsid w:val="000C312C"/>
    <w:rsid w:val="000C3D67"/>
    <w:rsid w:val="000C40A7"/>
    <w:rsid w:val="000C6FB8"/>
    <w:rsid w:val="000D4A7F"/>
    <w:rsid w:val="000E35AB"/>
    <w:rsid w:val="00115125"/>
    <w:rsid w:val="001507D8"/>
    <w:rsid w:val="00152D12"/>
    <w:rsid w:val="001723B6"/>
    <w:rsid w:val="001D7AFB"/>
    <w:rsid w:val="002622B1"/>
    <w:rsid w:val="00281AAB"/>
    <w:rsid w:val="00281B93"/>
    <w:rsid w:val="002A6F3B"/>
    <w:rsid w:val="002C372E"/>
    <w:rsid w:val="002C5DD7"/>
    <w:rsid w:val="002D756E"/>
    <w:rsid w:val="002F237C"/>
    <w:rsid w:val="00305131"/>
    <w:rsid w:val="00306BFD"/>
    <w:rsid w:val="0031191B"/>
    <w:rsid w:val="003246DE"/>
    <w:rsid w:val="00325A54"/>
    <w:rsid w:val="0037388A"/>
    <w:rsid w:val="003755E0"/>
    <w:rsid w:val="00382FAD"/>
    <w:rsid w:val="003C0804"/>
    <w:rsid w:val="003C60F4"/>
    <w:rsid w:val="003C69E7"/>
    <w:rsid w:val="003C78FF"/>
    <w:rsid w:val="003C7AD6"/>
    <w:rsid w:val="003F2E22"/>
    <w:rsid w:val="00407DDE"/>
    <w:rsid w:val="00466BAB"/>
    <w:rsid w:val="004708A2"/>
    <w:rsid w:val="004711E5"/>
    <w:rsid w:val="004712FB"/>
    <w:rsid w:val="004733A7"/>
    <w:rsid w:val="0047510D"/>
    <w:rsid w:val="0047533D"/>
    <w:rsid w:val="00487E8E"/>
    <w:rsid w:val="004A23FC"/>
    <w:rsid w:val="004A62D5"/>
    <w:rsid w:val="004C443C"/>
    <w:rsid w:val="004E75E3"/>
    <w:rsid w:val="00523D53"/>
    <w:rsid w:val="005258AD"/>
    <w:rsid w:val="0053537E"/>
    <w:rsid w:val="00552F79"/>
    <w:rsid w:val="0059013B"/>
    <w:rsid w:val="005E5D3E"/>
    <w:rsid w:val="005E67E7"/>
    <w:rsid w:val="005F6A52"/>
    <w:rsid w:val="00613AD8"/>
    <w:rsid w:val="00634BF4"/>
    <w:rsid w:val="00644FC3"/>
    <w:rsid w:val="006622C7"/>
    <w:rsid w:val="00662B33"/>
    <w:rsid w:val="00663A2E"/>
    <w:rsid w:val="00670DB4"/>
    <w:rsid w:val="006719B8"/>
    <w:rsid w:val="006935BA"/>
    <w:rsid w:val="00694BD8"/>
    <w:rsid w:val="006A0D0E"/>
    <w:rsid w:val="006D10DF"/>
    <w:rsid w:val="006D24AB"/>
    <w:rsid w:val="006D4121"/>
    <w:rsid w:val="006E0511"/>
    <w:rsid w:val="006E126E"/>
    <w:rsid w:val="00702BE4"/>
    <w:rsid w:val="00707315"/>
    <w:rsid w:val="00725177"/>
    <w:rsid w:val="0075654E"/>
    <w:rsid w:val="007571C3"/>
    <w:rsid w:val="0078711B"/>
    <w:rsid w:val="00787ED2"/>
    <w:rsid w:val="007A1E10"/>
    <w:rsid w:val="008027D4"/>
    <w:rsid w:val="00821B73"/>
    <w:rsid w:val="00857BDF"/>
    <w:rsid w:val="00870BD4"/>
    <w:rsid w:val="00877BD1"/>
    <w:rsid w:val="008C3CA0"/>
    <w:rsid w:val="008C6816"/>
    <w:rsid w:val="008D0CB8"/>
    <w:rsid w:val="008E192B"/>
    <w:rsid w:val="008F534E"/>
    <w:rsid w:val="009106EE"/>
    <w:rsid w:val="009558B5"/>
    <w:rsid w:val="0097082B"/>
    <w:rsid w:val="009741E9"/>
    <w:rsid w:val="00980322"/>
    <w:rsid w:val="0098576B"/>
    <w:rsid w:val="009A1CD3"/>
    <w:rsid w:val="009D02FD"/>
    <w:rsid w:val="009E1AA6"/>
    <w:rsid w:val="009F11AB"/>
    <w:rsid w:val="00A11696"/>
    <w:rsid w:val="00A43ED8"/>
    <w:rsid w:val="00A45EF6"/>
    <w:rsid w:val="00A64104"/>
    <w:rsid w:val="00A95675"/>
    <w:rsid w:val="00AA14F2"/>
    <w:rsid w:val="00AD5E95"/>
    <w:rsid w:val="00AF7E78"/>
    <w:rsid w:val="00B05C51"/>
    <w:rsid w:val="00B16AB2"/>
    <w:rsid w:val="00B32015"/>
    <w:rsid w:val="00B5589A"/>
    <w:rsid w:val="00B60896"/>
    <w:rsid w:val="00B63804"/>
    <w:rsid w:val="00B75FE8"/>
    <w:rsid w:val="00B840F4"/>
    <w:rsid w:val="00BA6141"/>
    <w:rsid w:val="00BB4FFD"/>
    <w:rsid w:val="00BE350B"/>
    <w:rsid w:val="00C05D8E"/>
    <w:rsid w:val="00C13730"/>
    <w:rsid w:val="00C13854"/>
    <w:rsid w:val="00C177BA"/>
    <w:rsid w:val="00C6358C"/>
    <w:rsid w:val="00C81C94"/>
    <w:rsid w:val="00C8323F"/>
    <w:rsid w:val="00C868D5"/>
    <w:rsid w:val="00CB1237"/>
    <w:rsid w:val="00CD2630"/>
    <w:rsid w:val="00CE3247"/>
    <w:rsid w:val="00CE57D4"/>
    <w:rsid w:val="00D00F9F"/>
    <w:rsid w:val="00D34E39"/>
    <w:rsid w:val="00D4480B"/>
    <w:rsid w:val="00D46861"/>
    <w:rsid w:val="00D507CA"/>
    <w:rsid w:val="00D71A64"/>
    <w:rsid w:val="00D71D3F"/>
    <w:rsid w:val="00D75FD6"/>
    <w:rsid w:val="00D7775B"/>
    <w:rsid w:val="00D8619F"/>
    <w:rsid w:val="00D97EFE"/>
    <w:rsid w:val="00DB2CA2"/>
    <w:rsid w:val="00DD3C72"/>
    <w:rsid w:val="00DD3F7A"/>
    <w:rsid w:val="00DD6FFB"/>
    <w:rsid w:val="00DE0B5A"/>
    <w:rsid w:val="00DF2A4A"/>
    <w:rsid w:val="00E2127B"/>
    <w:rsid w:val="00E53E68"/>
    <w:rsid w:val="00EA6480"/>
    <w:rsid w:val="00F23F10"/>
    <w:rsid w:val="00F40DDF"/>
    <w:rsid w:val="00F42D1B"/>
    <w:rsid w:val="00F62C1A"/>
    <w:rsid w:val="00F63B22"/>
    <w:rsid w:val="00F63BD5"/>
    <w:rsid w:val="00F645E3"/>
    <w:rsid w:val="00F937A4"/>
    <w:rsid w:val="00FA47D3"/>
    <w:rsid w:val="00FA570A"/>
    <w:rsid w:val="00FA78FD"/>
    <w:rsid w:val="00FC7805"/>
    <w:rsid w:val="00FD61E7"/>
    <w:rsid w:val="00FE416D"/>
    <w:rsid w:val="00FE7548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8FFB8"/>
  <w15:docId w15:val="{A07098E8-5F7C-418B-8838-0EE2EDB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78"/>
  </w:style>
  <w:style w:type="paragraph" w:styleId="Ttulo1">
    <w:name w:val="heading 1"/>
    <w:basedOn w:val="Normal"/>
    <w:next w:val="Normal"/>
    <w:link w:val="Ttulo1Char"/>
    <w:uiPriority w:val="9"/>
    <w:qFormat/>
    <w:rsid w:val="00D8619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61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350B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5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443C"/>
  </w:style>
  <w:style w:type="paragraph" w:styleId="Rodap">
    <w:name w:val="footer"/>
    <w:basedOn w:val="Normal"/>
    <w:link w:val="Rodap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443C"/>
  </w:style>
  <w:style w:type="character" w:customStyle="1" w:styleId="Ttulo1Char">
    <w:name w:val="Título 1 Char"/>
    <w:basedOn w:val="Fontepargpadro"/>
    <w:link w:val="Ttulo1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619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8619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8619F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A1169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E35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59"/>
    <w:rsid w:val="00E5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6E126E"/>
    <w:pPr>
      <w:spacing w:after="100"/>
      <w:ind w:left="440"/>
    </w:pPr>
  </w:style>
  <w:style w:type="table" w:styleId="TabeladeLista2-nfase1">
    <w:name w:val="List Table 2 Accent 1"/>
    <w:basedOn w:val="Tabelanormal"/>
    <w:uiPriority w:val="47"/>
    <w:rsid w:val="00BA614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C7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980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portalaction.com.br/series-temporais/11-estacionaried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F1CC-7B33-4B9F-90F6-BE9E122F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24</Pages>
  <Words>4467</Words>
  <Characters>24122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MARA</dc:creator>
  <cp:keywords/>
  <dc:description/>
  <cp:lastModifiedBy>Lyncoln Sousa</cp:lastModifiedBy>
  <cp:revision>98</cp:revision>
  <dcterms:created xsi:type="dcterms:W3CDTF">2015-04-30T15:17:00Z</dcterms:created>
  <dcterms:modified xsi:type="dcterms:W3CDTF">2019-12-13T02:37:00Z</dcterms:modified>
</cp:coreProperties>
</file>