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rPr>
              <w:rFonts w:ascii="IBM Plex Sans" w:cs="IBM Plex Sans" w:eastAsia="IBM Plex Sans" w:hAnsi="IBM Plex Sans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pStyle w:val="Title"/>
        <w:rPr>
          <w:rFonts w:ascii="IBM Plex Sans" w:cs="IBM Plex Sans" w:eastAsia="IBM Plex Sans" w:hAnsi="IBM Plex Sans"/>
        </w:rPr>
      </w:pPr>
      <w:bookmarkStart w:colFirst="0" w:colLast="0" w:name="_2bhscbsp36he" w:id="0"/>
      <w:bookmarkEnd w:id="0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Grocery Store Product Forecasting Challenge</w:t>
      </w:r>
    </w:p>
    <w:p w:rsidR="00000000" w:rsidDel="00000000" w:rsidP="00000000" w:rsidRDefault="00000000" w:rsidRPr="00000000" w14:paraId="00000004">
      <w:pPr>
        <w:pStyle w:val="Subtitle"/>
        <w:rPr>
          <w:rFonts w:ascii="IBM Plex Sans" w:cs="IBM Plex Sans" w:eastAsia="IBM Plex Sans" w:hAnsi="IBM Plex Sans"/>
        </w:rPr>
      </w:pPr>
      <w:bookmarkStart w:colFirst="0" w:colLast="0" w:name="_w9jhnretfo5" w:id="1"/>
      <w:bookmarkEnd w:id="1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Can you forecast the number of products sold per store per week for a local grocery store?</w:t>
      </w:r>
    </w:p>
    <w:p w:rsidR="00000000" w:rsidDel="00000000" w:rsidP="00000000" w:rsidRDefault="00000000" w:rsidRPr="00000000" w14:paraId="00000005">
      <w:pPr>
        <w:pStyle w:val="Heading1"/>
        <w:spacing w:after="200" w:line="273.6" w:lineRule="auto"/>
        <w:rPr>
          <w:rFonts w:ascii="IBM Plex Sans" w:cs="IBM Plex Sans" w:eastAsia="IBM Plex Sans" w:hAnsi="IBM Plex Sans"/>
        </w:rPr>
      </w:pPr>
      <w:bookmarkStart w:colFirst="0" w:colLast="0" w:name="_cv8q1vgl2095" w:id="2"/>
      <w:bookmarkEnd w:id="2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Competition description </w:t>
      </w:r>
    </w:p>
    <w:p w:rsidR="00000000" w:rsidDel="00000000" w:rsidP="00000000" w:rsidRDefault="00000000" w:rsidRPr="00000000" w14:paraId="00000006">
      <w:pPr>
        <w:pStyle w:val="Heading2"/>
        <w:spacing w:line="273.6" w:lineRule="auto"/>
        <w:rPr>
          <w:rFonts w:ascii="IBM Plex Sans" w:cs="IBM Plex Sans" w:eastAsia="IBM Plex Sans" w:hAnsi="IBM Plex Sans"/>
          <w:i w:val="1"/>
          <w:color w:val="434343"/>
        </w:rPr>
      </w:pPr>
      <w:bookmarkStart w:colFirst="0" w:colLast="0" w:name="_z1j09rw2t8f9" w:id="3"/>
      <w:bookmarkEnd w:id="3"/>
      <w:r w:rsidDel="00000000" w:rsidR="00000000" w:rsidRPr="00000000">
        <w:rPr>
          <w:rFonts w:ascii="IBM Plex Sans" w:cs="IBM Plex Sans" w:eastAsia="IBM Plex Sans" w:hAnsi="IBM Plex Sans"/>
          <w:i w:val="1"/>
          <w:color w:val="434343"/>
          <w:rtl w:val="0"/>
        </w:rPr>
        <w:t xml:space="preserve">About the problem</w:t>
      </w:r>
    </w:p>
    <w:p w:rsidR="00000000" w:rsidDel="00000000" w:rsidP="00000000" w:rsidRDefault="00000000" w:rsidRPr="00000000" w14:paraId="00000007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Sales forecasting is the foundation of a business’s financial story. Once you have your sales forecast you can create profit and loss statements, cash flow statements and balance sheets, thus helping you set goals for your company.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Proper forecasting also ensures you have the right stock at all times and leads to less wasted stock.</w:t>
      </w:r>
    </w:p>
    <w:p w:rsidR="00000000" w:rsidDel="00000000" w:rsidP="00000000" w:rsidRDefault="00000000" w:rsidRPr="00000000" w14:paraId="00000009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Having the skill to create a sales forecast will help you manage anything from  a small business up to a large company, where you need to inform investors about your forecasts for a months aquarter or a year. </w:t>
      </w:r>
    </w:p>
    <w:p w:rsidR="00000000" w:rsidDel="00000000" w:rsidP="00000000" w:rsidRDefault="00000000" w:rsidRPr="00000000" w14:paraId="0000000B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objective of this challenge is to create a model to forecast the number of products purchased per week per store over the next eight weeks, for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grocery stores located in different areas in the same country.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The solution to this challenge can be used by small chain stores to know how much stock to order per week and per month. </w:t>
      </w:r>
    </w:p>
    <w:p w:rsidR="00000000" w:rsidDel="00000000" w:rsidP="00000000" w:rsidRDefault="00000000" w:rsidRPr="00000000" w14:paraId="0000000D">
      <w:pPr>
        <w:pStyle w:val="Heading1"/>
        <w:spacing w:after="200" w:line="273.6" w:lineRule="auto"/>
        <w:rPr>
          <w:rFonts w:ascii="IBM Plex Sans" w:cs="IBM Plex Sans" w:eastAsia="IBM Plex Sans" w:hAnsi="IBM Plex Sans"/>
        </w:rPr>
      </w:pPr>
      <w:bookmarkStart w:colFirst="0" w:colLast="0" w:name="_18st10ldtc5o" w:id="4"/>
      <w:bookmarkEnd w:id="4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Evaluation </w:t>
      </w:r>
    </w:p>
    <w:p w:rsidR="00000000" w:rsidDel="00000000" w:rsidP="00000000" w:rsidRDefault="00000000" w:rsidRPr="00000000" w14:paraId="0000000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Available error metrics: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="273.6" w:lineRule="auto"/>
        <w:rPr>
          <w:rFonts w:ascii="IBM Plex Sans" w:cs="IBM Plex Sans" w:eastAsia="IBM Plex Sans" w:hAnsi="IBM Plex Sans"/>
        </w:rPr>
      </w:pPr>
      <w:bookmarkStart w:colFirst="0" w:colLast="0" w:name="_huw232tbeaix" w:id="5"/>
      <w:bookmarkEnd w:id="5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shd w:fill="fffff8" w:val="clear"/>
        <w:spacing w:after="40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This is anonymised real data. The data looks at 54 different stores in the same country and 33 different products.</w:t>
      </w:r>
    </w:p>
    <w:p w:rsidR="00000000" w:rsidDel="00000000" w:rsidP="00000000" w:rsidRDefault="00000000" w:rsidRPr="00000000" w14:paraId="00000012">
      <w:pPr>
        <w:shd w:fill="fffff8" w:val="clear"/>
        <w:spacing w:after="40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train set contains transaction information for 3 years and 6 months. You are tasked with forecasting the next 8 weeks for the same stores and same products.</w:t>
      </w:r>
    </w:p>
    <w:p w:rsidR="00000000" w:rsidDel="00000000" w:rsidP="00000000" w:rsidRDefault="00000000" w:rsidRPr="00000000" w14:paraId="00000013">
      <w:pPr>
        <w:shd w:fill="fffff8" w:val="clear"/>
        <w:spacing w:after="400" w:lineRule="auto"/>
        <w:rPr>
          <w:rFonts w:ascii="Times New Roman" w:cs="Times New Roman" w:eastAsia="Times New Roman" w:hAnsi="Times New Roman"/>
          <w:b w:val="1"/>
          <w:sz w:val="27"/>
          <w:szCs w:val="27"/>
          <w:shd w:fill="a4c2f4" w:val="clear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NB: logp1 (log(x+1)) transformation was applied to the label on the testing set, hence we are asking you to apply the logp1 transformation on your predictions  before making any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BM Plex Sans" w:cs="IBM Plex Sans" w:eastAsia="IBM Plex Sans" w:hAnsi="IBM Plex Sans"/>
          <w:color w:val="3c4043"/>
          <w:sz w:val="21"/>
          <w:szCs w:val="2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73.6" w:lineRule="auto"/>
        <w:rPr>
          <w:rFonts w:ascii="IBM Plex Sans" w:cs="IBM Plex Sans" w:eastAsia="IBM Plex Sans" w:hAnsi="IBM Plex Sans"/>
          <w:i w:val="1"/>
          <w:color w:val="434343"/>
        </w:rPr>
      </w:pPr>
      <w:bookmarkStart w:colFirst="0" w:colLast="0" w:name="_c6f15j9l9q2v" w:id="6"/>
      <w:bookmarkEnd w:id="6"/>
      <w:r w:rsidDel="00000000" w:rsidR="00000000" w:rsidRPr="00000000">
        <w:rPr>
          <w:rFonts w:ascii="IBM Plex Sans" w:cs="IBM Plex Sans" w:eastAsia="IBM Plex Sans" w:hAnsi="IBM Plex Sans"/>
          <w:i w:val="1"/>
          <w:color w:val="434343"/>
          <w:rtl w:val="0"/>
        </w:rPr>
        <w:t xml:space="preserve">Description of the data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Train.csv : historical data containes the daily transactions  for 3 years and 6  months in 54 different  stores  for 33 differnette  products  family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Test.csv : contains the IDs of  upcoming 8 weeks to forecast for the same stroes and products  family  as in the Training set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Holidays.csv : contains the holidays date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Dates.csv : contains the date with the associated  date features (eg : day week of the year , day of the week , month …..)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Stores.csv: contains the stores location and other information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SampleSubmission.csv: example of the a submission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3.6" w:lineRule="auto"/>
        <w:rPr>
          <w:rFonts w:ascii="IBM Plex Sans" w:cs="IBM Plex Sans" w:eastAsia="IBM Plex Sans" w:hAnsi="IBM Plex Sans"/>
          <w:i w:val="1"/>
          <w:color w:val="434343"/>
        </w:rPr>
      </w:pPr>
      <w:bookmarkStart w:colFirst="0" w:colLast="0" w:name="_sdj559aotn6" w:id="7"/>
      <w:bookmarkEnd w:id="7"/>
      <w:r w:rsidDel="00000000" w:rsidR="00000000" w:rsidRPr="00000000">
        <w:rPr>
          <w:rFonts w:ascii="IBM Plex Sans" w:cs="IBM Plex Sans" w:eastAsia="IBM Plex Sans" w:hAnsi="IBM Plex Sans"/>
          <w:i w:val="1"/>
          <w:color w:val="434343"/>
          <w:rtl w:val="0"/>
        </w:rPr>
        <w:t xml:space="preserve">Main Variable definitions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Target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total sales for a product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category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at a particular store at a given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Stores_id: the unique store id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Category_id :  the unique Product category id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Date : date in numerical representation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Onpromotion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gives the total number of items in a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Product category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that were being promoted at a store at a given date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Nbr_of_transactions : the total number of transactions = happened at a store at a given date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year_weekofyear: the combination of the year and the week of the year,(year_weekofyear =  year*100+week_of_year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 : the unique udetfier for each row in the testing set  : year_week_{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year_weekofyear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}_{store_id}_{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Category_id}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420" w:before="0" w:line="273.6" w:lineRule="auto"/>
        <w:rPr>
          <w:rFonts w:ascii="IBM Plex Sans" w:cs="IBM Plex Sans" w:eastAsia="IBM Plex Sans" w:hAnsi="IBM Plex Sans"/>
          <w:b w:val="1"/>
          <w:sz w:val="22"/>
          <w:szCs w:val="22"/>
        </w:rPr>
      </w:pPr>
      <w:bookmarkStart w:colFirst="0" w:colLast="0" w:name="_lv1s5ficuch5" w:id="8"/>
      <w:bookmarkEnd w:id="8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Files available for download: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4"/>
        </w:numPr>
        <w:shd w:fill="ffffff" w:val="clear"/>
        <w:spacing w:after="0" w:before="0" w:line="273.6" w:lineRule="auto"/>
        <w:ind w:left="720" w:hanging="360"/>
        <w:rPr>
          <w:color w:val="000000"/>
          <w:sz w:val="22"/>
          <w:szCs w:val="22"/>
        </w:rPr>
      </w:pPr>
      <w:bookmarkStart w:colFirst="0" w:colLast="0" w:name="_lv1s5ficuch5" w:id="8"/>
      <w:bookmarkEnd w:id="8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Train.csv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 - contains the target. This is the dataset that you will use to train your model.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4"/>
        </w:numPr>
        <w:shd w:fill="ffffff" w:val="clear"/>
        <w:spacing w:after="0" w:before="0" w:line="273.6" w:lineRule="auto"/>
        <w:ind w:left="720" w:hanging="360"/>
        <w:rPr>
          <w:color w:val="000000"/>
          <w:sz w:val="22"/>
          <w:szCs w:val="22"/>
        </w:rPr>
      </w:pPr>
      <w:bookmarkStart w:colFirst="0" w:colLast="0" w:name="_lv1s5ficuch5" w:id="8"/>
      <w:bookmarkEnd w:id="8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Test.csv-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 This is the dataset on which you will apply your model to.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4"/>
        </w:numPr>
        <w:shd w:fill="ffffff" w:val="clear"/>
        <w:spacing w:after="0" w:before="0" w:line="273.6" w:lineRule="auto"/>
        <w:ind w:left="720" w:hanging="360"/>
        <w:rPr>
          <w:color w:val="000000"/>
          <w:sz w:val="22"/>
          <w:szCs w:val="22"/>
        </w:rPr>
      </w:pPr>
      <w:bookmarkStart w:colFirst="0" w:colLast="0" w:name="_ornpuv6d7bus" w:id="9"/>
      <w:bookmarkEnd w:id="9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SampleSubmission.csv -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 shows the submission format for this competition, with the ‘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highlight w:val="yellow"/>
          <w:rtl w:val="0"/>
        </w:rPr>
        <w:t xml:space="preserve">ID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’ column mirroring that of Test.csv and the ‘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highlight w:val="yellow"/>
          <w:rtl w:val="0"/>
        </w:rPr>
        <w:t xml:space="preserve">target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’ column containing your predictions. The order of the rows does not matter, but the names of the ‘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highlight w:val="yellow"/>
          <w:rtl w:val="0"/>
        </w:rPr>
        <w:t xml:space="preserve">ID</w:t>
      </w:r>
      <w:r w:rsidDel="00000000" w:rsidR="00000000" w:rsidRPr="00000000">
        <w:rPr>
          <w:rFonts w:ascii="IBM Plex Sans" w:cs="IBM Plex Sans" w:eastAsia="IBM Plex Sans" w:hAnsi="IBM Plex Sans"/>
          <w:sz w:val="22"/>
          <w:szCs w:val="22"/>
          <w:rtl w:val="0"/>
        </w:rPr>
        <w:t xml:space="preserve">’ must be correct.</w:t>
      </w:r>
    </w:p>
    <w:p w:rsidR="00000000" w:rsidDel="00000000" w:rsidP="00000000" w:rsidRDefault="00000000" w:rsidRPr="00000000" w14:paraId="0000002A">
      <w:pPr>
        <w:pStyle w:val="Heading2"/>
        <w:shd w:fill="ffffff" w:val="clear"/>
        <w:spacing w:after="0" w:before="0" w:line="273.6" w:lineRule="auto"/>
        <w:ind w:left="720" w:firstLine="0"/>
        <w:rPr>
          <w:rFonts w:ascii="IBM Plex Sans" w:cs="IBM Plex Sans" w:eastAsia="IBM Plex Sans" w:hAnsi="IBM Plex Sans"/>
          <w:b w:val="1"/>
          <w:sz w:val="22"/>
          <w:szCs w:val="22"/>
        </w:rPr>
      </w:pPr>
      <w:bookmarkStart w:colFirst="0" w:colLast="0" w:name="_1r5ubqnd0hak" w:id="10"/>
      <w:bookmarkEnd w:id="10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FYI: logp1 (log(x+1)) transformation was applied to the label on the testing set,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0" w:line="273.6" w:lineRule="auto"/>
        <w:ind w:left="720" w:firstLine="0"/>
        <w:rPr>
          <w:rFonts w:ascii="IBM Plex Sans" w:cs="IBM Plex Sans" w:eastAsia="IBM Plex Sans" w:hAnsi="IBM Plex Sans"/>
          <w:b w:val="1"/>
          <w:sz w:val="22"/>
          <w:szCs w:val="22"/>
        </w:rPr>
      </w:pPr>
      <w:bookmarkStart w:colFirst="0" w:colLast="0" w:name="_njvrhg62xhc" w:id="11"/>
      <w:bookmarkEnd w:id="11"/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  <w:rtl w:val="0"/>
        </w:rPr>
        <w:t xml:space="preserve">hence we are asking you to apply the logp1 transformation on your predictions  before making any submission.  </w:t>
      </w:r>
    </w:p>
    <w:p w:rsidR="00000000" w:rsidDel="00000000" w:rsidP="00000000" w:rsidRDefault="00000000" w:rsidRPr="00000000" w14:paraId="0000002C">
      <w:pPr>
        <w:pStyle w:val="Heading2"/>
        <w:spacing w:line="273.6" w:lineRule="auto"/>
        <w:rPr>
          <w:rFonts w:ascii="IBM Plex Sans" w:cs="IBM Plex Sans" w:eastAsia="IBM Plex Sans" w:hAnsi="IBM Plex Sans"/>
          <w:i w:val="1"/>
          <w:color w:val="434343"/>
        </w:rPr>
      </w:pPr>
      <w:bookmarkStart w:colFirst="0" w:colLast="0" w:name="_cxnacfmgy4b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line="273.6" w:lineRule="auto"/>
        <w:rPr>
          <w:rFonts w:ascii="IBM Plex Sans" w:cs="IBM Plex Sans" w:eastAsia="IBM Plex Sans" w:hAnsi="IBM Plex Sans"/>
        </w:rPr>
      </w:pPr>
      <w:bookmarkStart w:colFirst="0" w:colLast="0" w:name="_ydns4b3n4xau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5c61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