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png" ContentType="image/png"/>
  <Override PartName="/word/media/image2.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charts/chart1.xml" ContentType="application/vnd.openxmlformats-officedocument.drawingml.chart+xml"/>
  <Override PartName="/word/numbering.xml" ContentType="application/vnd.openxmlformats-officedocument.wordprocessingml.numbering+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smallCaps/>
          <w:spacing w:val="-10"/>
          <w:kern w:val="2"/>
          <w:sz w:val="52"/>
          <w:szCs w:val="56"/>
        </w:rPr>
      </w:pPr>
      <w:r>
        <w:rPr>
          <w:rFonts w:ascii="Calibri Light" w:hAnsi="Calibri Light"/>
          <w:smallCaps/>
          <w:spacing w:val="-10"/>
          <w:kern w:val="2"/>
          <w:sz w:val="52"/>
          <w:szCs w:val="56"/>
        </w:rPr>
        <w:t>Vysoká škola polytechnická Jihlava</w:t>
      </w:r>
    </w:p>
    <w:p>
      <w:pPr>
        <w:pStyle w:val="Normal"/>
        <w:jc w:val="center"/>
        <w:rPr>
          <w:rFonts w:eastAsia="Times New Roman" w:cs="Calibri"/>
          <w:sz w:val="36"/>
          <w:szCs w:val="36"/>
        </w:rPr>
      </w:pPr>
      <w:r>
        <w:rPr>
          <w:rFonts w:eastAsia="Times New Roman" w:cs="Calibri Light" w:ascii="Calibri Light" w:hAnsi="Calibri Light"/>
          <w:sz w:val="28"/>
          <w:szCs w:val="28"/>
        </w:rPr>
        <w:t>Aplikovaná informatika</w:t>
      </w:r>
      <w:r>
        <w:rPr>
          <w:rFonts w:eastAsia="Times New Roman" w:cs="Calibri"/>
          <w:sz w:val="36"/>
          <w:szCs w:val="36"/>
        </w:rPr>
        <w:t xml:space="preserve"> </w:t>
      </w:r>
    </w:p>
    <w:p>
      <w:pPr>
        <w:pStyle w:val="Normal"/>
        <w:jc w:val="center"/>
        <w:rPr>
          <w:sz w:val="28"/>
          <w:szCs w:val="28"/>
        </w:rPr>
      </w:pPr>
      <w:r>
        <w:rPr>
          <w:sz w:val="28"/>
          <w:szCs w:val="28"/>
        </w:rPr>
      </w:r>
    </w:p>
    <w:p>
      <w:pPr>
        <w:pStyle w:val="Normal"/>
        <w:jc w:val="center"/>
        <w:rPr/>
      </w:pPr>
      <w:r>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cs="Calibri"/>
        </w:rPr>
      </w:pPr>
      <w:r>
        <w:rPr>
          <w:rFonts w:cs="Calibri"/>
        </w:rPr>
      </w:r>
    </w:p>
    <w:p>
      <w:pPr>
        <w:pStyle w:val="Normal"/>
        <w:spacing w:before="0" w:after="0"/>
        <w:jc w:val="center"/>
        <w:rPr>
          <w:rFonts w:ascii="Calibri Light" w:hAnsi="Calibri Light" w:eastAsia="Times New Roman" w:cs="Calibri Light"/>
          <w:b/>
          <w:bCs/>
          <w:spacing w:val="40"/>
          <w:w w:val="99"/>
          <w:sz w:val="36"/>
          <w:szCs w:val="36"/>
        </w:rPr>
      </w:pPr>
      <w:r>
        <w:rPr>
          <w:rFonts w:eastAsia="Times New Roman" w:cs="Calibri Light" w:ascii="Calibri Light" w:hAnsi="Calibri Light"/>
          <w:b/>
          <w:bCs/>
          <w:spacing w:val="40"/>
          <w:w w:val="99"/>
          <w:sz w:val="36"/>
          <w:szCs w:val="36"/>
        </w:rPr>
        <w:t>Organizační cíle a typologie strategií</w:t>
      </w:r>
    </w:p>
    <w:p>
      <w:pPr>
        <w:pStyle w:val="Normal"/>
        <w:jc w:val="center"/>
        <w:rPr>
          <w:rFonts w:eastAsia="Times New Roman" w:cs="Calibri"/>
          <w:sz w:val="24"/>
          <w:szCs w:val="24"/>
        </w:rPr>
      </w:pPr>
      <w:r>
        <w:rPr>
          <w:rFonts w:eastAsia="Times New Roman" w:cs="Calibri"/>
          <w:sz w:val="24"/>
          <w:szCs w:val="24"/>
        </w:rPr>
      </w:r>
    </w:p>
    <w:p>
      <w:pPr>
        <w:pStyle w:val="Normal"/>
        <w:jc w:val="center"/>
        <w:rPr>
          <w:rFonts w:ascii="Calibri Light" w:hAnsi="Calibri Light" w:eastAsia="Times New Roman" w:cs="Calibri Light"/>
          <w:sz w:val="28"/>
          <w:szCs w:val="28"/>
        </w:rPr>
      </w:pPr>
      <w:r>
        <w:rPr>
          <w:rFonts w:eastAsia="Times New Roman" w:cs="Calibri Light" w:ascii="Calibri Light" w:hAnsi="Calibri Light"/>
          <w:sz w:val="28"/>
          <w:szCs w:val="28"/>
        </w:rPr>
        <w:t>Seminární práce</w:t>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jc w:val="center"/>
        <w:rPr>
          <w:rFonts w:eastAsia="Times New Roman" w:cs="Calibri"/>
          <w:sz w:val="24"/>
          <w:szCs w:val="24"/>
        </w:rPr>
      </w:pPr>
      <w:r>
        <w:rPr>
          <w:rFonts w:eastAsia="Times New Roman" w:cs="Calibri"/>
          <w:sz w:val="24"/>
          <w:szCs w:val="24"/>
        </w:rPr>
      </w:r>
    </w:p>
    <w:p>
      <w:pPr>
        <w:pStyle w:val="Normal"/>
        <w:tabs>
          <w:tab w:val="clear" w:pos="708"/>
          <w:tab w:val="left" w:pos="1843" w:leader="none"/>
        </w:tabs>
        <w:rPr>
          <w:rFonts w:eastAsia="Times New Roman" w:cs="Calibri"/>
          <w:sz w:val="28"/>
          <w:szCs w:val="28"/>
        </w:rPr>
      </w:pPr>
      <w:r>
        <w:rPr>
          <w:rFonts w:eastAsia="Times New Roman" w:cs="Calibri"/>
          <w:sz w:val="28"/>
          <w:szCs w:val="28"/>
        </w:rPr>
        <w:t xml:space="preserve">Autor práce: </w:t>
        <w:tab/>
        <w:t>Kryštof Malinda</w:t>
      </w:r>
    </w:p>
    <w:p>
      <w:pPr>
        <w:pStyle w:val="Normal"/>
        <w:tabs>
          <w:tab w:val="clear" w:pos="708"/>
          <w:tab w:val="left" w:pos="1843" w:leader="none"/>
        </w:tabs>
        <w:rPr>
          <w:rFonts w:cs="Calibri"/>
        </w:rPr>
      </w:pPr>
      <w:r>
        <w:rPr>
          <w:rFonts w:eastAsia="Times New Roman" w:cs="Calibri"/>
          <w:sz w:val="28"/>
          <w:szCs w:val="28"/>
        </w:rPr>
        <w:t>Předmět:</w:t>
        <w:tab/>
        <w:t>Podnikové informační systémy</w:t>
      </w:r>
    </w:p>
    <w:p>
      <w:pPr>
        <w:pStyle w:val="Normal"/>
        <w:tabs>
          <w:tab w:val="clear" w:pos="708"/>
          <w:tab w:val="left" w:pos="1843" w:leader="none"/>
        </w:tabs>
        <w:rPr>
          <w:rFonts w:eastAsia="Times New Roman" w:cs="Calibri"/>
          <w:sz w:val="28"/>
          <w:szCs w:val="28"/>
        </w:rPr>
      </w:pPr>
      <w:r>
        <w:rPr>
          <w:rFonts w:eastAsia="Times New Roman" w:cs="Calibri"/>
          <w:sz w:val="28"/>
          <w:szCs w:val="28"/>
        </w:rPr>
        <w:t xml:space="preserve">Vyučující: </w:t>
        <w:tab/>
        <w:t>Mgr. Hana Vojáčková, Ph.D.</w:t>
      </w:r>
    </w:p>
    <w:p>
      <w:pPr>
        <w:pStyle w:val="Normal"/>
        <w:tabs>
          <w:tab w:val="clear" w:pos="708"/>
          <w:tab w:val="left" w:pos="1843" w:leader="none"/>
        </w:tabs>
        <w:rPr>
          <w:rFonts w:cs="Calibri"/>
        </w:rPr>
      </w:pPr>
      <w:r>
        <w:rPr>
          <w:rFonts w:cs="Calibri"/>
        </w:rPr>
      </w:r>
    </w:p>
    <w:p>
      <w:pPr>
        <w:sectPr>
          <w:footerReference w:type="default" r:id="rId2"/>
          <w:type w:val="nextPage"/>
          <w:pgSz w:w="11906" w:h="16838"/>
          <w:pgMar w:left="1417" w:right="1417" w:gutter="0" w:header="0" w:top="1417" w:footer="708" w:bottom="1417"/>
          <w:pgNumType w:fmt="decimal"/>
          <w:formProt w:val="false"/>
          <w:textDirection w:val="lrTb"/>
          <w:docGrid w:type="default" w:linePitch="360" w:charSpace="4096"/>
        </w:sectPr>
        <w:pStyle w:val="Normal"/>
        <w:jc w:val="center"/>
        <w:rPr/>
      </w:pPr>
      <w:r>
        <w:rPr>
          <w:rFonts w:eastAsia="Times New Roman" w:cs="Calibri"/>
          <w:sz w:val="28"/>
          <w:szCs w:val="28"/>
        </w:rPr>
        <w:t xml:space="preserve">Jihlava </w:t>
      </w:r>
      <w:r>
        <w:rPr>
          <w:rFonts w:eastAsia="Times New Roman" w:cs="Calibri"/>
          <w:sz w:val="28"/>
          <w:szCs w:val="28"/>
        </w:rPr>
        <w:fldChar w:fldCharType="begin"/>
      </w:r>
      <w:r>
        <w:rPr>
          <w:sz w:val="28"/>
          <w:szCs w:val="28"/>
          <w:rFonts w:eastAsia="Times New Roman" w:cs="Calibri"/>
        </w:rPr>
        <w:instrText xml:space="preserve"> DATE \@"dd'. 'MM'. 'yyyy" </w:instrText>
      </w:r>
      <w:r>
        <w:rPr>
          <w:sz w:val="28"/>
          <w:szCs w:val="28"/>
          <w:rFonts w:eastAsia="Times New Roman" w:cs="Calibri"/>
        </w:rPr>
        <w:fldChar w:fldCharType="separate"/>
      </w:r>
      <w:r>
        <w:rPr>
          <w:sz w:val="28"/>
          <w:szCs w:val="28"/>
          <w:rFonts w:eastAsia="Times New Roman" w:cs="Calibri"/>
        </w:rPr>
        <w:t>21. 03. 2024</w:t>
      </w:r>
      <w:r>
        <w:rPr>
          <w:sz w:val="28"/>
          <w:szCs w:val="28"/>
          <w:rFonts w:eastAsia="Times New Roman" w:cs="Calibri"/>
        </w:rPr>
        <w:fldChar w:fldCharType="end"/>
      </w:r>
    </w:p>
    <w:p>
      <w:pPr>
        <w:pStyle w:val="Title"/>
        <w:rPr/>
      </w:pPr>
      <w:r>
        <w:rPr/>
        <w:t>Obsah</w:t>
      </w:r>
    </w:p>
    <w:sdt>
      <w:sdtPr>
        <w:docPartObj>
          <w:docPartGallery w:val="Table of Contents"/>
          <w:docPartUnique w:val="true"/>
        </w:docPartObj>
      </w:sdtPr>
      <w:sdtContent>
        <w:p>
          <w:pPr>
            <w:pStyle w:val="TOC1"/>
            <w:tabs>
              <w:tab w:val="clear" w:pos="708"/>
              <w:tab w:val="left" w:pos="440" w:leader="none"/>
              <w:tab w:val="right" w:pos="9072" w:leader="dot"/>
            </w:tabs>
            <w:rPr/>
          </w:pPr>
          <w:r>
            <w:fldChar w:fldCharType="begin"/>
          </w:r>
          <w:r>
            <w:rPr>
              <w:rStyle w:val="IndexLink"/>
              <w:vanish w:val="false"/>
            </w:rPr>
            <w:instrText xml:space="preserve"> TOC \o "1-2" \h</w:instrText>
          </w:r>
          <w:r>
            <w:rPr>
              <w:rStyle w:val="IndexLink"/>
              <w:vanish w:val="false"/>
            </w:rPr>
            <w:fldChar w:fldCharType="separate"/>
          </w:r>
          <w:hyperlink w:anchor="__RefHeading___Toc578_697121857">
            <w:r>
              <w:rPr>
                <w:rStyle w:val="IndexLink"/>
                <w:vanish w:val="false"/>
              </w:rPr>
              <w:tab/>
            </w:r>
            <w:r>
              <w:rPr>
                <w:rStyle w:val="IndexLink"/>
                <w:vanish w:val="false"/>
              </w:rPr>
              <w:t>Úvod</w:t>
              <w:tab/>
              <w:t>4</w:t>
            </w:r>
          </w:hyperlink>
        </w:p>
        <w:p>
          <w:pPr>
            <w:pStyle w:val="TOC1"/>
            <w:tabs>
              <w:tab w:val="clear" w:pos="708"/>
              <w:tab w:val="left" w:pos="440" w:leader="none"/>
              <w:tab w:val="right" w:pos="9072" w:leader="dot"/>
            </w:tabs>
            <w:rPr/>
          </w:pPr>
          <w:hyperlink w:anchor="__RefHeading___Toc580_697121857">
            <w:r>
              <w:rPr>
                <w:rStyle w:val="IndexLink"/>
                <w:vanish w:val="false"/>
              </w:rPr>
              <w:t>1</w:t>
              <w:tab/>
              <w:t>Organizační cíle</w:t>
              <w:tab/>
              <w:t>5</w:t>
            </w:r>
          </w:hyperlink>
        </w:p>
        <w:p>
          <w:pPr>
            <w:pStyle w:val="TOC2"/>
            <w:tabs>
              <w:tab w:val="clear" w:pos="708"/>
              <w:tab w:val="left" w:pos="880" w:leader="none"/>
              <w:tab w:val="right" w:pos="9072" w:leader="dot"/>
            </w:tabs>
            <w:rPr/>
          </w:pPr>
          <w:hyperlink w:anchor="__RefHeading___Toc582_697121857">
            <w:r>
              <w:rPr>
                <w:rStyle w:val="IndexLink"/>
                <w:vanish w:val="false"/>
              </w:rPr>
              <w:t>1.1</w:t>
              <w:tab/>
              <w:t>Finanční cíle</w:t>
              <w:tab/>
              <w:t>5</w:t>
            </w:r>
          </w:hyperlink>
        </w:p>
        <w:p>
          <w:pPr>
            <w:pStyle w:val="TOC2"/>
            <w:tabs>
              <w:tab w:val="clear" w:pos="708"/>
              <w:tab w:val="left" w:pos="880" w:leader="none"/>
              <w:tab w:val="right" w:pos="9072" w:leader="dot"/>
            </w:tabs>
            <w:rPr/>
          </w:pPr>
          <w:hyperlink w:anchor="__RefHeading___Toc584_697121857">
            <w:r>
              <w:rPr>
                <w:rStyle w:val="IndexLink"/>
                <w:vanish w:val="false"/>
              </w:rPr>
              <w:t>1.2</w:t>
              <w:tab/>
              <w:t>Strategické cíle</w:t>
              <w:tab/>
              <w:t>5</w:t>
            </w:r>
          </w:hyperlink>
        </w:p>
        <w:p>
          <w:pPr>
            <w:pStyle w:val="TOC2"/>
            <w:tabs>
              <w:tab w:val="clear" w:pos="708"/>
              <w:tab w:val="left" w:pos="880" w:leader="none"/>
              <w:tab w:val="right" w:pos="9072" w:leader="dot"/>
            </w:tabs>
            <w:rPr/>
          </w:pPr>
          <w:hyperlink w:anchor="__RefHeading___Toc586_697121857">
            <w:r>
              <w:rPr>
                <w:rStyle w:val="IndexLink"/>
                <w:vanish w:val="false"/>
              </w:rPr>
              <w:t>1.3</w:t>
              <w:tab/>
              <w:t>Operační cíle</w:t>
              <w:tab/>
              <w:t>5</w:t>
            </w:r>
          </w:hyperlink>
        </w:p>
        <w:p>
          <w:pPr>
            <w:pStyle w:val="TOC2"/>
            <w:tabs>
              <w:tab w:val="clear" w:pos="708"/>
              <w:tab w:val="left" w:pos="880" w:leader="none"/>
              <w:tab w:val="right" w:pos="9072" w:leader="dot"/>
            </w:tabs>
            <w:rPr/>
          </w:pPr>
          <w:hyperlink w:anchor="__RefHeading___Toc588_697121857">
            <w:r>
              <w:rPr>
                <w:rStyle w:val="IndexLink"/>
                <w:vanish w:val="false"/>
              </w:rPr>
              <w:t>1.4</w:t>
              <w:tab/>
              <w:t>Socialní cíle</w:t>
              <w:tab/>
              <w:t>5</w:t>
            </w:r>
          </w:hyperlink>
        </w:p>
        <w:p>
          <w:pPr>
            <w:pStyle w:val="TOC1"/>
            <w:tabs>
              <w:tab w:val="clear" w:pos="708"/>
              <w:tab w:val="left" w:pos="440" w:leader="none"/>
              <w:tab w:val="right" w:pos="9072" w:leader="dot"/>
            </w:tabs>
            <w:rPr/>
          </w:pPr>
          <w:hyperlink w:anchor="__RefHeading___Toc590_697121857">
            <w:r>
              <w:rPr>
                <w:rStyle w:val="IndexLink"/>
                <w:vanish w:val="false"/>
              </w:rPr>
              <w:t>2</w:t>
              <w:tab/>
              <w:t>Typologie strategií</w:t>
              <w:tab/>
              <w:t>5</w:t>
            </w:r>
          </w:hyperlink>
        </w:p>
        <w:p>
          <w:pPr>
            <w:pStyle w:val="TOC2"/>
            <w:tabs>
              <w:tab w:val="clear" w:pos="708"/>
              <w:tab w:val="left" w:pos="880" w:leader="none"/>
              <w:tab w:val="right" w:pos="9072" w:leader="dot"/>
            </w:tabs>
            <w:rPr/>
          </w:pPr>
          <w:hyperlink w:anchor="__RefHeading___Toc592_697121857">
            <w:r>
              <w:rPr>
                <w:rStyle w:val="IndexLink"/>
                <w:vanish w:val="false"/>
              </w:rPr>
              <w:t>2.1</w:t>
              <w:tab/>
              <w:t>Strategie Michaela Portera</w:t>
              <w:tab/>
              <w:t>5</w:t>
            </w:r>
          </w:hyperlink>
        </w:p>
        <w:p>
          <w:pPr>
            <w:pStyle w:val="TOC2"/>
            <w:tabs>
              <w:tab w:val="clear" w:pos="708"/>
              <w:tab w:val="left" w:pos="880" w:leader="none"/>
              <w:tab w:val="right" w:pos="9072" w:leader="dot"/>
            </w:tabs>
            <w:rPr/>
          </w:pPr>
          <w:hyperlink w:anchor="__RefHeading___Toc594_697121857">
            <w:r>
              <w:rPr>
                <w:rStyle w:val="IndexLink"/>
                <w:vanish w:val="false"/>
              </w:rPr>
              <w:t>2.2</w:t>
              <w:tab/>
              <w:t>Strategie Miles-Snowova</w:t>
              <w:tab/>
              <w:t>6</w:t>
            </w:r>
          </w:hyperlink>
        </w:p>
        <w:p>
          <w:pPr>
            <w:pStyle w:val="TOC2"/>
            <w:tabs>
              <w:tab w:val="clear" w:pos="708"/>
              <w:tab w:val="left" w:pos="880" w:leader="none"/>
              <w:tab w:val="right" w:pos="9072" w:leader="dot"/>
            </w:tabs>
            <w:rPr/>
          </w:pPr>
          <w:hyperlink w:anchor="__RefHeading___Toc596_697121857">
            <w:r>
              <w:rPr>
                <w:rStyle w:val="IndexLink"/>
                <w:vanish w:val="false"/>
              </w:rPr>
              <w:t>2.3</w:t>
              <w:tab/>
              <w:t>Ansoffova matice</w:t>
              <w:tab/>
              <w:t>6</w:t>
            </w:r>
          </w:hyperlink>
        </w:p>
        <w:p>
          <w:pPr>
            <w:pStyle w:val="TOC2"/>
            <w:tabs>
              <w:tab w:val="clear" w:pos="708"/>
              <w:tab w:val="left" w:pos="880" w:leader="none"/>
              <w:tab w:val="right" w:pos="9072" w:leader="dot"/>
            </w:tabs>
            <w:rPr/>
          </w:pPr>
          <w:hyperlink w:anchor="__RefHeading___Toc598_697121857">
            <w:r>
              <w:rPr>
                <w:rStyle w:val="IndexLink"/>
                <w:vanish w:val="false"/>
              </w:rPr>
              <w:t>2.4</w:t>
              <w:tab/>
              <w:t>BCG matice</w:t>
              <w:tab/>
              <w:t>7</w:t>
            </w:r>
          </w:hyperlink>
        </w:p>
        <w:p>
          <w:pPr>
            <w:pStyle w:val="TOC2"/>
            <w:tabs>
              <w:tab w:val="clear" w:pos="708"/>
              <w:tab w:val="left" w:pos="880" w:leader="none"/>
              <w:tab w:val="right" w:pos="9072" w:leader="dot"/>
            </w:tabs>
            <w:rPr/>
          </w:pPr>
          <w:hyperlink w:anchor="__RefHeading___Toc776_697121857">
            <w:r>
              <w:rPr>
                <w:rStyle w:val="IndexLink"/>
                <w:vanish w:val="false"/>
              </w:rPr>
              <w:t>2.5</w:t>
              <w:tab/>
              <w:t>SWOT Analýza</w:t>
              <w:tab/>
              <w:t>8</w:t>
            </w:r>
          </w:hyperlink>
        </w:p>
        <w:p>
          <w:pPr>
            <w:pStyle w:val="TOC2"/>
            <w:tabs>
              <w:tab w:val="clear" w:pos="708"/>
              <w:tab w:val="left" w:pos="880" w:leader="none"/>
              <w:tab w:val="right" w:pos="9072" w:leader="dot"/>
            </w:tabs>
            <w:rPr/>
          </w:pPr>
          <w:hyperlink w:anchor="__RefHeading___Toc600_697121857">
            <w:r>
              <w:rPr>
                <w:rStyle w:val="IndexLink"/>
                <w:vanish w:val="false"/>
              </w:rPr>
              <w:t>2.6</w:t>
              <w:tab/>
              <w:t>PEST Analýza</w:t>
              <w:tab/>
              <w:t>9</w:t>
            </w:r>
          </w:hyperlink>
        </w:p>
        <w:p>
          <w:pPr>
            <w:pStyle w:val="TOC2"/>
            <w:tabs>
              <w:tab w:val="clear" w:pos="708"/>
              <w:tab w:val="left" w:pos="880" w:leader="none"/>
              <w:tab w:val="right" w:pos="9072" w:leader="dot"/>
            </w:tabs>
            <w:rPr/>
          </w:pPr>
          <w:hyperlink w:anchor="__RefHeading___Toc602_697121857">
            <w:r>
              <w:rPr>
                <w:rStyle w:val="IndexLink"/>
                <w:vanish w:val="false"/>
              </w:rPr>
              <w:t>2.7</w:t>
              <w:tab/>
              <w:t>Agilní strategie</w:t>
              <w:tab/>
              <w:t>9</w:t>
            </w:r>
          </w:hyperlink>
        </w:p>
        <w:p>
          <w:pPr>
            <w:pStyle w:val="TOC2"/>
            <w:tabs>
              <w:tab w:val="clear" w:pos="708"/>
              <w:tab w:val="left" w:pos="880" w:leader="none"/>
              <w:tab w:val="right" w:pos="9072" w:leader="dot"/>
            </w:tabs>
            <w:rPr/>
          </w:pPr>
          <w:hyperlink w:anchor="__RefHeading___Toc604_697121857">
            <w:r>
              <w:rPr>
                <w:rStyle w:val="IndexLink"/>
                <w:vanish w:val="false"/>
              </w:rPr>
              <w:t>2.8</w:t>
              <w:tab/>
              <w:t>Digitalizace a digitalní strategie</w:t>
              <w:tab/>
              <w:t>10</w:t>
            </w:r>
          </w:hyperlink>
        </w:p>
        <w:p>
          <w:pPr>
            <w:pStyle w:val="TOC1"/>
            <w:tabs>
              <w:tab w:val="clear" w:pos="708"/>
              <w:tab w:val="left" w:pos="440" w:leader="none"/>
              <w:tab w:val="right" w:pos="9072" w:leader="dot"/>
            </w:tabs>
            <w:rPr/>
          </w:pPr>
          <w:hyperlink w:anchor="__RefHeading___Toc606_697121857">
            <w:r>
              <w:rPr>
                <w:rStyle w:val="IndexLink"/>
                <w:vanish w:val="false"/>
              </w:rPr>
              <w:tab/>
              <w:t>Závěr</w:t>
              <w:tab/>
              <w:t>11</w:t>
            </w:r>
          </w:hyperlink>
        </w:p>
        <w:p>
          <w:pPr>
            <w:pStyle w:val="TOC1"/>
            <w:tabs>
              <w:tab w:val="clear" w:pos="708"/>
              <w:tab w:val="left" w:pos="440" w:leader="none"/>
              <w:tab w:val="right" w:pos="9072" w:leader="dot"/>
            </w:tabs>
            <w:rPr/>
          </w:pPr>
          <w:hyperlink w:anchor="__RefHeading___Toc608_697121857">
            <w:r>
              <w:rPr>
                <w:rStyle w:val="IndexLink"/>
                <w:vanish w:val="false"/>
              </w:rPr>
              <w:tab/>
              <w:t>Seznam použité literatury</w:t>
              <w:tab/>
              <w:t>12</w:t>
            </w:r>
          </w:hyperlink>
        </w:p>
        <w:p>
          <w:pPr>
            <w:pStyle w:val="TOC1"/>
            <w:tabs>
              <w:tab w:val="clear" w:pos="708"/>
              <w:tab w:val="left" w:pos="440" w:leader="none"/>
              <w:tab w:val="right" w:pos="9072" w:leader="dot"/>
            </w:tabs>
            <w:rPr/>
          </w:pPr>
          <w:hyperlink w:anchor="__RefHeading___Toc610_697121857">
            <w:r>
              <w:rPr>
                <w:rStyle w:val="IndexLink"/>
                <w:vanish w:val="false"/>
              </w:rPr>
              <w:tab/>
              <w:t>Přílohy</w:t>
              <w:tab/>
              <w:t>14</w:t>
            </w:r>
          </w:hyperlink>
          <w:r>
            <w:rPr>
              <w:rStyle w:val="IndexLink"/>
              <w:vanish w:val="false"/>
            </w:rPr>
            <w:fldChar w:fldCharType="end"/>
          </w:r>
        </w:p>
        <w:p>
          <w:pPr>
            <w:sectPr>
              <w:headerReference w:type="default" r:id="rId3"/>
              <w:footerReference w:type="default" r:id="rId4"/>
              <w:footerReference w:type="first" r:id="rId5"/>
              <w:type w:val="nextPage"/>
              <w:pgSz w:w="11906" w:h="16838"/>
              <w:pgMar w:left="1417" w:right="1417" w:gutter="0" w:header="708" w:top="1417" w:footer="708" w:bottom="1417"/>
              <w:pgNumType w:fmt="decimal"/>
              <w:formProt w:val="false"/>
              <w:textDirection w:val="lrTb"/>
              <w:docGrid w:type="default" w:linePitch="360" w:charSpace="4096"/>
            </w:sectPr>
          </w:pPr>
        </w:p>
      </w:sdtContent>
    </w:sdt>
    <w:p>
      <w:pPr>
        <w:pStyle w:val="Normal"/>
        <w:spacing w:before="0" w:after="160"/>
        <w:rPr/>
      </w:pPr>
      <w:r>
        <w:rPr/>
      </w:r>
    </w:p>
    <w:p>
      <w:pPr>
        <w:pStyle w:val="Heading1"/>
        <w:numPr>
          <w:ilvl w:val="0"/>
          <w:numId w:val="0"/>
        </w:numPr>
        <w:ind w:hanging="431" w:left="431"/>
        <w:rPr/>
      </w:pPr>
      <w:bookmarkStart w:id="0" w:name="__RefHeading___Toc578_697121857"/>
      <w:bookmarkStart w:id="1" w:name="_Toc161379162"/>
      <w:bookmarkEnd w:id="0"/>
      <w:r>
        <w:rPr/>
        <w:t>Úvod</w:t>
      </w:r>
      <w:bookmarkEnd w:id="1"/>
    </w:p>
    <w:p>
      <w:pPr>
        <w:pStyle w:val="BodyText"/>
        <w:rPr/>
      </w:pPr>
      <w:r>
        <w:rPr/>
        <w:t>V této seminární práci budu rozebírat způsoby a různé typy strategii jak z pohledu manažerského tak i ekonomického, vést podnik. U každé strategie jsem uvedl vysvětlení jak funguje. Toto je jen teoretická část. Neuvádím, zde žádné konkrétní postupy či společnosti.</w:t>
      </w:r>
    </w:p>
    <w:p>
      <w:pPr>
        <w:pStyle w:val="Normal"/>
        <w:rPr/>
      </w:pPr>
      <w:r>
        <w:rPr/>
      </w:r>
    </w:p>
    <w:p>
      <w:pPr>
        <w:pStyle w:val="Normal"/>
        <w:rPr/>
      </w:pPr>
      <w:r>
        <w:rPr/>
      </w:r>
      <w:bookmarkStart w:id="2" w:name="_GoBack"/>
      <w:bookmarkStart w:id="3" w:name="_GoBack"/>
      <w:bookmarkEnd w:id="3"/>
      <w:r>
        <w:br w:type="page"/>
      </w:r>
    </w:p>
    <w:p>
      <w:pPr>
        <w:pStyle w:val="Heading1"/>
        <w:spacing w:before="0" w:after="120"/>
        <w:ind w:hanging="431" w:left="431"/>
        <w:rPr/>
      </w:pPr>
      <w:bookmarkStart w:id="4" w:name="__RefHeading___Toc580_697121857"/>
      <w:bookmarkStart w:id="5" w:name="_Toc161379163"/>
      <w:bookmarkEnd w:id="4"/>
      <w:r>
        <w:rPr/>
        <w:t>Organizační cíle</w:t>
      </w:r>
      <w:bookmarkEnd w:id="5"/>
    </w:p>
    <w:p>
      <w:pPr>
        <w:pStyle w:val="Normal"/>
        <w:rPr/>
      </w:pPr>
      <w:r>
        <w:rPr/>
        <w:t>Cíle jsou specifické úkoly, které podnik musí splnit v určeném časovém rámci, aby dosáhl požadovaného stavu. Organizační cíle lze rozdělit do několika kategorii.</w:t>
      </w:r>
    </w:p>
    <w:p>
      <w:pPr>
        <w:pStyle w:val="Heading2"/>
        <w:ind w:hanging="0" w:left="0"/>
        <w:rPr/>
      </w:pPr>
      <w:bookmarkStart w:id="6" w:name="__RefHeading___Toc582_697121857"/>
      <w:bookmarkStart w:id="7" w:name="_Toc161379164"/>
      <w:bookmarkEnd w:id="6"/>
      <w:r>
        <w:rPr/>
        <w:t>Finanční cíle</w:t>
      </w:r>
      <w:bookmarkEnd w:id="7"/>
    </w:p>
    <w:p>
      <w:pPr>
        <w:pStyle w:val="Normal"/>
        <w:rPr/>
      </w:pPr>
      <w:r>
        <w:rPr/>
        <w:t>Tyto cíle si stanovíme v oblasti financí, ku příkladu k dosažení nějaké finanční částky nebo získání finanční nezávislosti. Můžou být krátkodobé nebo dlouhodobé. Nejdůležitější věc ve finančním plánováním je stanovení tzv. deadlinu. Musíme brát v potaz aby bylo možné do našeho určeného deadlinu bylo možné náš stanovený cíl mohl být realisticky splněn. K splnění cíle je rozumné si udělat finanční plán kde si rozebereme naše výdaje a příjmy</w:t>
      </w:r>
    </w:p>
    <w:p>
      <w:pPr>
        <w:pStyle w:val="Heading2"/>
        <w:ind w:hanging="0" w:left="0"/>
        <w:rPr/>
      </w:pPr>
      <w:bookmarkStart w:id="8" w:name="__RefHeading___Toc584_697121857"/>
      <w:bookmarkStart w:id="9" w:name="_Toc161379165"/>
      <w:bookmarkEnd w:id="8"/>
      <w:r>
        <w:rPr/>
        <w:t>Strategické cíle</w:t>
      </w:r>
      <w:bookmarkEnd w:id="9"/>
    </w:p>
    <w:p>
      <w:pPr>
        <w:pStyle w:val="Normal"/>
        <w:rPr/>
      </w:pPr>
      <w:r>
        <w:rPr/>
        <w:t>Strategické cíle lze definovat jako nejvyšší cíle organizace či jednotlivce. Tyto cíle nejsou nastavený pouze na jeden cíl, měl by být zaměřen na více cílu které by se měli vyrovnávat navzájem. Každá firma by měla mít určené nějaké strategické cíle, měli být věci jako. Co produkovat? Jak se odlišit od konkurence? Jak a kam dodávat</w:t>
      </w:r>
    </w:p>
    <w:p>
      <w:pPr>
        <w:pStyle w:val="Heading2"/>
        <w:ind w:hanging="0" w:left="0"/>
        <w:rPr/>
      </w:pPr>
      <w:bookmarkStart w:id="10" w:name="__RefHeading___Toc586_697121857"/>
      <w:bookmarkStart w:id="11" w:name="_Toc161379166"/>
      <w:bookmarkEnd w:id="10"/>
      <w:r>
        <w:rPr/>
        <w:t>Operační cíle</w:t>
      </w:r>
      <w:bookmarkEnd w:id="11"/>
    </w:p>
    <w:p>
      <w:pPr>
        <w:pStyle w:val="Normal"/>
        <w:rPr/>
      </w:pPr>
      <w:r>
        <w:rPr/>
        <w:t>Operační cíle v podniku jsou krátkodobé cíle které se určují na základě strategických plánu firmy. Tyto cíle jsou zaměřeny na každodenní provoz společnosti za účelem dlouhodobé efektivity. Zabývá se detailním plánováním a organizování a kontrolou procesům většinou se to týká krátkého časového období, např. dny, týdne nebo měsíce</w:t>
      </w:r>
    </w:p>
    <w:p>
      <w:pPr>
        <w:pStyle w:val="Heading2"/>
        <w:ind w:hanging="0" w:left="0"/>
        <w:rPr/>
      </w:pPr>
      <w:bookmarkStart w:id="12" w:name="__RefHeading___Toc588_697121857"/>
      <w:bookmarkStart w:id="13" w:name="_Toc161379167"/>
      <w:bookmarkEnd w:id="12"/>
      <w:r>
        <w:rPr/>
        <w:t>Sociální cíle</w:t>
      </w:r>
      <w:bookmarkEnd w:id="13"/>
    </w:p>
    <w:p>
      <w:pPr>
        <w:pStyle w:val="Normal"/>
        <w:rPr/>
      </w:pPr>
      <w:r>
        <w:rPr/>
        <w:t>Sociální cíle se zaměřují na vliv podniku na společnost a jeho okolí. Například podpora zaměstnanosti v regionu, odpovědnost za ochranu životního prostředí nebo podporování místních komunitní</w:t>
      </w:r>
    </w:p>
    <w:p>
      <w:pPr>
        <w:pStyle w:val="Heading1"/>
        <w:ind w:hanging="431" w:left="431"/>
        <w:rPr/>
      </w:pPr>
      <w:bookmarkStart w:id="14" w:name="__RefHeading___Toc590_697121857"/>
      <w:bookmarkStart w:id="15" w:name="_Toc161379168"/>
      <w:bookmarkEnd w:id="14"/>
      <w:r>
        <w:rPr/>
        <w:t>Typologie strategií</w:t>
      </w:r>
      <w:bookmarkEnd w:id="15"/>
    </w:p>
    <w:p>
      <w:pPr>
        <w:pStyle w:val="Normal"/>
        <w:rPr/>
      </w:pPr>
      <w:r>
        <w:rPr/>
        <w:t>V této části se zaměří na typologii strategií a jejich vztah k podnikovým informačním systémům. Prozkoumáme různé přístupy k definici a kategorizaci strategií, jako jsou Porterovy generické strategie, Miles-Snowova typologie, Ansoffova matice a další.</w:t>
      </w:r>
    </w:p>
    <w:p>
      <w:pPr>
        <w:pStyle w:val="Heading2"/>
        <w:ind w:hanging="0" w:left="0"/>
        <w:rPr/>
      </w:pPr>
      <w:bookmarkStart w:id="16" w:name="__RefHeading___Toc592_697121857"/>
      <w:bookmarkEnd w:id="16"/>
      <w:r>
        <w:rPr/>
        <w:t>Strategie Michaela Portera</w:t>
      </w:r>
    </w:p>
    <w:p>
      <w:pPr>
        <w:pStyle w:val="BodyText"/>
        <w:rPr/>
      </w:pPr>
      <w:r>
        <w:rPr/>
        <w:t>Porterova analýza by se dal přirovnat jako k tvoření mapy, kde se snažíme najít nebezpečí a příležitosti v okolí (u konkurenčních firem). Tedy pokud přijdou nový konkurenti tak se nám tato pomyslná mapa snaží říct, jak moc mají silné dodavatele a odběratele a jaké výrobky nebo služby můžou být hrozbou. Problém nastává v tom že tato strategie nebere v potaz schopnosti firmy nebo proměnlivost trhu. Také nebere ohled na spolupráci mezi firmami.</w:t>
      </w:r>
    </w:p>
    <w:p>
      <w:pPr>
        <w:pStyle w:val="Heading2"/>
        <w:ind w:hanging="0" w:left="0"/>
        <w:rPr/>
      </w:pPr>
      <w:bookmarkStart w:id="17" w:name="__RefHeading___Toc594_697121857"/>
      <w:bookmarkEnd w:id="17"/>
      <w:r>
        <w:rPr/>
        <w:t>Strategie Miles-Snowova</w:t>
      </w:r>
    </w:p>
    <w:p>
      <w:pPr>
        <w:pStyle w:val="Normal"/>
        <w:rPr/>
      </w:pPr>
      <w:r>
        <w:rPr/>
        <w:t>Miles-Snowova strategická typologie je jako mapa různých způsobů, jak firmy mohou přistupovat k budování prostředí kolem sebe. Tato strategie uvádí čtyři typy.</w:t>
      </w:r>
    </w:p>
    <w:p>
      <w:pPr>
        <w:pStyle w:val="Heading3"/>
        <w:ind w:hanging="0" w:left="0"/>
        <w:rPr/>
      </w:pPr>
      <w:r>
        <w:rPr/>
        <w:t>Obránci (Defenders)</w:t>
      </w:r>
    </w:p>
    <w:p>
      <w:pPr>
        <w:pStyle w:val="Normal"/>
        <w:numPr>
          <w:ilvl w:val="0"/>
          <w:numId w:val="4"/>
        </w:numPr>
        <w:rPr/>
      </w:pPr>
      <w:r>
        <w:rPr/>
        <w:t>Preferují stabilitu a efektivitu</w:t>
      </w:r>
    </w:p>
    <w:p>
      <w:pPr>
        <w:pStyle w:val="Normal"/>
        <w:numPr>
          <w:ilvl w:val="0"/>
          <w:numId w:val="4"/>
        </w:numPr>
        <w:rPr/>
      </w:pPr>
      <w:r>
        <w:rPr/>
        <w:t>Chrání svůj existující tržní podíl</w:t>
      </w:r>
    </w:p>
    <w:p>
      <w:pPr>
        <w:pStyle w:val="Normal"/>
        <w:numPr>
          <w:ilvl w:val="0"/>
          <w:numId w:val="4"/>
        </w:numPr>
        <w:rPr/>
      </w:pPr>
      <w:r>
        <w:rPr/>
        <w:t>Jsou konzervativní a snaží se neriskovat</w:t>
      </w:r>
    </w:p>
    <w:p>
      <w:pPr>
        <w:pStyle w:val="Heading3"/>
        <w:ind w:hanging="0" w:left="0"/>
        <w:rPr/>
      </w:pPr>
      <w:r>
        <w:rPr/>
        <w:t>Zlato kopové (Prospectors)</w:t>
      </w:r>
    </w:p>
    <w:p>
      <w:pPr>
        <w:pStyle w:val="Normal"/>
        <w:numPr>
          <w:ilvl w:val="0"/>
          <w:numId w:val="3"/>
        </w:numPr>
        <w:rPr/>
      </w:pPr>
      <w:r>
        <w:rPr/>
        <w:t>Hledají způsob jak využít nový příležitostí</w:t>
      </w:r>
    </w:p>
    <w:p>
      <w:pPr>
        <w:pStyle w:val="Normal"/>
        <w:numPr>
          <w:ilvl w:val="0"/>
          <w:numId w:val="3"/>
        </w:numPr>
        <w:rPr/>
      </w:pPr>
      <w:r>
        <w:rPr/>
        <w:t>Jsou inovativní a ochotní riskovat</w:t>
      </w:r>
    </w:p>
    <w:p>
      <w:pPr>
        <w:pStyle w:val="Normal"/>
        <w:numPr>
          <w:ilvl w:val="0"/>
          <w:numId w:val="3"/>
        </w:numPr>
        <w:rPr/>
      </w:pPr>
      <w:r>
        <w:rPr/>
        <w:t>Zaměřující se na růst a expanzi</w:t>
      </w:r>
    </w:p>
    <w:p>
      <w:pPr>
        <w:pStyle w:val="Heading3"/>
        <w:ind w:hanging="0" w:left="0"/>
        <w:rPr/>
      </w:pPr>
      <w:r>
        <w:rPr/>
        <w:t>Analyzátoři (Analyzers)</w:t>
      </w:r>
    </w:p>
    <w:p>
      <w:pPr>
        <w:pStyle w:val="Normal"/>
        <w:numPr>
          <w:ilvl w:val="0"/>
          <w:numId w:val="2"/>
        </w:numPr>
        <w:rPr/>
      </w:pPr>
      <w:r>
        <w:rPr/>
        <w:t>Sledují trendy a změny v prostředí</w:t>
      </w:r>
    </w:p>
    <w:p>
      <w:pPr>
        <w:pStyle w:val="Normal"/>
        <w:numPr>
          <w:ilvl w:val="0"/>
          <w:numId w:val="2"/>
        </w:numPr>
        <w:rPr/>
      </w:pPr>
      <w:r>
        <w:rPr/>
        <w:t>Snaží se nají balancovat mezi inovací a efektivitou</w:t>
      </w:r>
    </w:p>
    <w:p>
      <w:pPr>
        <w:pStyle w:val="Normal"/>
        <w:numPr>
          <w:ilvl w:val="0"/>
          <w:numId w:val="2"/>
        </w:numPr>
        <w:rPr/>
      </w:pPr>
      <w:r>
        <w:rPr/>
        <w:t>Jsou flexibilní a dokáží se rychle přizpůsobit novým podmínkám</w:t>
      </w:r>
    </w:p>
    <w:p>
      <w:pPr>
        <w:pStyle w:val="Heading3"/>
        <w:ind w:hanging="0" w:left="0"/>
        <w:rPr/>
      </w:pPr>
      <w:r>
        <w:rPr/>
        <w:t>Regujicí (Reactors)</w:t>
      </w:r>
    </w:p>
    <w:p>
      <w:pPr>
        <w:pStyle w:val="Normal"/>
        <w:numPr>
          <w:ilvl w:val="0"/>
          <w:numId w:val="5"/>
        </w:numPr>
        <w:rPr/>
      </w:pPr>
      <w:r>
        <w:rPr/>
        <w:t>Nemají jasně definovanou strategii a reagují podle situace</w:t>
      </w:r>
    </w:p>
    <w:p>
      <w:pPr>
        <w:pStyle w:val="Normal"/>
        <w:numPr>
          <w:ilvl w:val="0"/>
          <w:numId w:val="5"/>
        </w:numPr>
        <w:rPr/>
      </w:pPr>
      <w:r>
        <w:rPr/>
        <w:t>Jsou nekonzistentní a nepředvídatelní</w:t>
      </w:r>
    </w:p>
    <w:p>
      <w:pPr>
        <w:pStyle w:val="Normal"/>
        <w:numPr>
          <w:ilvl w:val="0"/>
          <w:numId w:val="5"/>
        </w:numPr>
        <w:rPr/>
      </w:pPr>
      <w:r>
        <w:rPr/>
        <w:t>Bývají často problémový</w:t>
      </w:r>
    </w:p>
    <w:p>
      <w:pPr>
        <w:pStyle w:val="Heading2"/>
        <w:ind w:hanging="0" w:left="0"/>
        <w:rPr/>
      </w:pPr>
      <w:bookmarkStart w:id="18" w:name="__RefHeading___Toc596_697121857"/>
      <w:bookmarkEnd w:id="18"/>
      <w:r>
        <w:rPr/>
        <w:t>Ansoffova matice</w:t>
      </w:r>
    </w:p>
    <w:p>
      <w:pPr>
        <w:pStyle w:val="Normal"/>
        <w:rPr/>
      </w:pPr>
      <w:r>
        <w:rPr/>
        <w:t>Ansoffova matice je nástroj pro strategické plánování, který pomáhá firmám s růstem a rozvojem a nebo také ohledně rozhodování o produktu který je na konci životní cyklu. Tato matice se zaměřuje na dvě hlavní proměnné.</w:t>
      </w:r>
    </w:p>
    <w:p>
      <w:pPr>
        <w:pStyle w:val="Normal"/>
        <w:numPr>
          <w:ilvl w:val="0"/>
          <w:numId w:val="6"/>
        </w:numPr>
        <w:rPr/>
      </w:pPr>
      <w:r>
        <w:rPr>
          <w:b/>
          <w:bCs/>
        </w:rPr>
        <w:t>Produkty</w:t>
      </w:r>
      <w:r>
        <w:rPr/>
        <w:t>: Existující vs. Nové</w:t>
      </w:r>
    </w:p>
    <w:p>
      <w:pPr>
        <w:pStyle w:val="Normal"/>
        <w:numPr>
          <w:ilvl w:val="0"/>
          <w:numId w:val="6"/>
        </w:numPr>
        <w:rPr/>
      </w:pPr>
      <w:r>
        <w:rPr>
          <w:b/>
          <w:bCs/>
        </w:rPr>
        <w:t>Trhy</w:t>
      </w:r>
      <w:r>
        <w:rPr/>
        <w:t>: Existující vs. Nové</w:t>
      </w:r>
    </w:p>
    <w:p>
      <w:pPr>
        <w:pStyle w:val="Normal"/>
        <w:rPr/>
      </w:pPr>
      <w:r>
        <w:rPr/>
        <w:t>Tímto se nám vytvoří čtyři kvadranty, která nám reprezentují čtyři strategie trhu.</w:t>
      </w:r>
    </w:p>
    <w:p>
      <w:pPr>
        <w:pStyle w:val="Heading3"/>
        <w:ind w:hanging="0" w:left="0"/>
        <w:rPr/>
      </w:pPr>
      <w:r>
        <w:rPr/>
        <w:t>Penetrace trhu</w:t>
      </w:r>
    </w:p>
    <w:p>
      <w:pPr>
        <w:pStyle w:val="Normal"/>
        <w:rPr/>
      </w:pPr>
      <w:r>
        <w:rPr/>
        <w:t>Snaží se proniknout s existujícím produktem na již existující trh, jde o způsob zvýšit svůj podíl. Pomocí agresivní marketingu, zlepšování služeb nebo snižování cen.</w:t>
      </w:r>
    </w:p>
    <w:p>
      <w:pPr>
        <w:pStyle w:val="Heading3"/>
        <w:ind w:hanging="0" w:left="0"/>
        <w:rPr/>
      </w:pPr>
      <w:r>
        <w:rPr/>
        <w:t>Rozvoj produktu</w:t>
      </w:r>
    </w:p>
    <w:p>
      <w:pPr>
        <w:pStyle w:val="BodyText"/>
        <w:rPr/>
      </w:pPr>
      <w:r>
        <w:rPr/>
        <w:t>Firma zůstává na existujícím trhu ale investuje do tvorby a výzkumů produktů, kdy pak představí vylepšený či zcela nový produkt. Tuto strategii jde nejlépe vidět v automobilovém průmyslu, při představení nového modelu auta.</w:t>
      </w:r>
    </w:p>
    <w:p>
      <w:pPr>
        <w:pStyle w:val="Heading3"/>
        <w:ind w:hanging="0" w:left="0"/>
        <w:rPr/>
      </w:pPr>
      <w:r>
        <w:rPr/>
        <w:t>Rozvoj trhu</w:t>
      </w:r>
    </w:p>
    <w:p>
      <w:pPr>
        <w:pStyle w:val="BodyText"/>
        <w:rPr/>
      </w:pPr>
      <w:r>
        <w:rPr/>
        <w:t>Firma se snaží proniknout na nové trh se svými stávajícím produkty. Tato strategie se většinou používá, když firma má potíže s přechodem na nové produkty. Ku příkladu expanze do nových zemí.</w:t>
      </w:r>
    </w:p>
    <w:p>
      <w:pPr>
        <w:pStyle w:val="Heading3"/>
        <w:ind w:hanging="0" w:left="0"/>
        <w:rPr/>
      </w:pPr>
      <w:r>
        <w:rPr/>
        <w:t>Diverzifikace</w:t>
      </w:r>
    </w:p>
    <w:p>
      <w:pPr>
        <w:pStyle w:val="Normal"/>
        <w:rPr/>
      </w:pPr>
      <w:r>
        <w:rPr/>
        <w:t>Firma se snaží proniknout na nové trh s novými produkty. Toto je nejvíce riziková strategie jelikož firma operuje v oblastech která nezná.</w:t>
      </w:r>
    </w:p>
    <w:p>
      <w:pPr>
        <w:pStyle w:val="Heading2"/>
        <w:ind w:hanging="0" w:left="0"/>
        <w:rPr/>
      </w:pPr>
      <w:bookmarkStart w:id="19" w:name="__RefHeading___Toc598_697121857"/>
      <w:bookmarkEnd w:id="19"/>
      <w:r>
        <w:rPr/>
        <w:t>BCG matice</w:t>
      </w:r>
    </w:p>
    <w:p>
      <w:pPr>
        <w:pStyle w:val="Normal"/>
        <w:rPr/>
      </w:pPr>
      <w:r>
        <w:rPr/>
        <w:t xml:space="preserve">BCG </w:t>
      </w:r>
      <w:r>
        <w:rPr>
          <w:i/>
          <w:iCs/>
        </w:rPr>
        <w:t xml:space="preserve">(Boston Consulting Group), </w:t>
      </w:r>
      <w:r>
        <w:rPr>
          <w:i w:val="false"/>
          <w:iCs w:val="false"/>
        </w:rPr>
        <w:t>také nazývaná Bostonská matice. Je strategie na analýzu portfolia produktů či podniků. Cílem teto strategie je pomoci manažerům lépe rozdělit finanční prostředky na vývoj produktů, která by mohla firma využít. Matice rozděluje produkty nebo podnikové jednotky do čtyř kategorií.</w:t>
      </w:r>
    </w:p>
    <w:p>
      <w:pPr>
        <w:pStyle w:val="Heading3"/>
        <w:ind w:hanging="0" w:left="0"/>
        <w:rPr/>
      </w:pPr>
      <w:r>
        <w:rPr/>
        <w:t>Hvězdy</w:t>
      </w:r>
    </w:p>
    <w:p>
      <w:pPr>
        <w:pStyle w:val="Normal"/>
        <w:rPr/>
      </w:pPr>
      <w:r>
        <w:rPr/>
        <w:t>Produkty nebo podnikové jednotky, které mají vysoký podíl na rychle rostoucím trhu. Obvykle vyžadují velké investice. Pokud se jím podaří udržet svoje postavení na trh můžou se stát budoucími tahouny firmy.</w:t>
      </w:r>
    </w:p>
    <w:p>
      <w:pPr>
        <w:pStyle w:val="Heading3"/>
        <w:ind w:hanging="0" w:left="0"/>
        <w:rPr/>
      </w:pPr>
      <w:r>
        <w:rPr/>
        <w:t>Dojné krávy</w:t>
      </w:r>
    </w:p>
    <w:p>
      <w:pPr>
        <w:pStyle w:val="Normal"/>
        <w:rPr/>
      </w:pPr>
      <w:r>
        <w:rPr/>
        <w:t>Produkty nebo jednotky s nízkým podílem na trhu v pomalém rostoucím trhu. Tyto produkty většinou generují vysoké příjmy a požadují nižší investice. Protože je na méně rostoucím trhu tak je to stabilní příjem pro firmu.</w:t>
      </w:r>
    </w:p>
    <w:p>
      <w:pPr>
        <w:pStyle w:val="Heading3"/>
        <w:ind w:hanging="0" w:left="0"/>
        <w:rPr/>
      </w:pPr>
      <w:r>
        <w:rPr/>
        <w:t>Prašiví psi</w:t>
      </w:r>
    </w:p>
    <w:p>
      <w:pPr>
        <w:pStyle w:val="Normal"/>
        <w:rPr/>
      </w:pPr>
      <w:r>
        <w:rPr/>
        <w:t>Produkty nebo jednotky s nízkým podílem na trhu v pomalém rostoucím trhu. Jednotky mají většinou nízký příjme a může se stát, že jsou ztrátové. Většinou firma stojí u rozhodnutí jestli produkt nebo jednotku dále podporovat nebo ukončit její životní cyklus.</w:t>
      </w:r>
    </w:p>
    <w:p>
      <w:pPr>
        <w:pStyle w:val="Heading3"/>
        <w:ind w:hanging="0" w:left="0"/>
        <w:rPr/>
      </w:pPr>
      <w:r>
        <w:rPr/>
        <w:t>Otazníky</w:t>
      </w:r>
    </w:p>
    <w:p>
      <w:pPr>
        <w:pStyle w:val="Normal"/>
        <w:rPr/>
      </w:pPr>
      <w:r>
        <w:rPr/>
        <w:t>Produkt nebo jednotky s nízkým podílem na rychle rostoucím trhu. Bývá zde velký potenciál na růst ale vyžaduje další investice pro získání tržního podílu a pak případné transformace do hvězd. Otazníky mohou být v budoucnu hvězdami ale také je tu prostor pro selhání.</w:t>
      </w:r>
    </w:p>
    <w:p>
      <w:pPr>
        <w:pStyle w:val="Normal"/>
        <w:rPr/>
      </w:pPr>
      <w:r>
        <w:rPr/>
        <w:drawing>
          <wp:anchor behindDoc="0" distT="0" distB="0" distL="0" distR="0" simplePos="0" locked="0" layoutInCell="0" allowOverlap="1" relativeHeight="3">
            <wp:simplePos x="0" y="0"/>
            <wp:positionH relativeFrom="column">
              <wp:posOffset>190500</wp:posOffset>
            </wp:positionH>
            <wp:positionV relativeFrom="paragraph">
              <wp:posOffset>635</wp:posOffset>
            </wp:positionV>
            <wp:extent cx="5760720" cy="576072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5760720" cy="5760720"/>
                    </a:xfrm>
                    <a:prstGeom prst="rect">
                      <a:avLst/>
                    </a:prstGeom>
                  </pic:spPr>
                </pic:pic>
              </a:graphicData>
            </a:graphic>
          </wp:anchor>
        </w:drawing>
      </w:r>
      <w:bookmarkStart w:id="20" w:name="__RefHeading___Toc598_697121857_Copy_1"/>
      <w:bookmarkStart w:id="21" w:name="__RefHeading___Toc598_697121857_Copy_1"/>
      <w:bookmarkEnd w:id="21"/>
    </w:p>
    <w:p>
      <w:pPr>
        <w:pStyle w:val="Heading2"/>
        <w:ind w:hanging="0" w:left="0"/>
        <w:rPr/>
      </w:pPr>
      <w:bookmarkStart w:id="22" w:name="__RefHeading___Toc776_697121857"/>
      <w:bookmarkEnd w:id="22"/>
      <w:r>
        <w:rPr/>
        <w:t>SWOT Analýza</w:t>
      </w:r>
    </w:p>
    <w:p>
      <w:pPr>
        <w:pStyle w:val="Normal"/>
        <w:rPr/>
      </w:pPr>
      <w:r>
        <w:rPr/>
        <w:t>SWOT analýza je nástroj pro plánování a posuzovaní silných, slabých stránek a také příležitostí a hrozeb co mohou nastat a případně ovlivnit projekt, firmu, produkt nebo strategii. Název je složen z anglických slov</w:t>
      </w:r>
    </w:p>
    <w:p>
      <w:pPr>
        <w:pStyle w:val="Heading3"/>
        <w:ind w:hanging="0" w:left="0"/>
        <w:rPr/>
      </w:pPr>
      <w:r>
        <w:rPr/>
        <w:t>Silné stránky</w:t>
      </w:r>
    </w:p>
    <w:p>
      <w:pPr>
        <w:pStyle w:val="Normal"/>
        <w:rPr/>
      </w:pPr>
      <w:r>
        <w:rPr/>
        <w:t xml:space="preserve">Silné stránky nám jsou výhody nad konkurencí pomáhá nám poznat v čím je firma před konkurencí. Většinou je cílem firmy maximalizovat počet silný stránek. Můžeme sem zařadit jen to co vybočuje z průměru. </w:t>
      </w:r>
      <w:r>
        <w:rPr>
          <w:i/>
          <w:iCs/>
        </w:rPr>
        <w:t>(Strengths, Weaknesses, Opportunities, Threats)</w:t>
      </w:r>
    </w:p>
    <w:p>
      <w:pPr>
        <w:pStyle w:val="Normal"/>
        <w:rPr/>
      </w:pPr>
      <w:r>
        <w:rPr/>
      </w:r>
    </w:p>
    <w:p>
      <w:pPr>
        <w:pStyle w:val="Heading3"/>
        <w:ind w:hanging="0" w:left="0"/>
        <w:rPr/>
      </w:pPr>
      <w:r>
        <w:rPr/>
        <w:t>Slabé stránky</w:t>
      </w:r>
    </w:p>
    <w:p>
      <w:pPr>
        <w:pStyle w:val="Normal"/>
        <w:rPr/>
      </w:pPr>
      <w:r>
        <w:rPr/>
        <w:t xml:space="preserve">Jedná se o interní analýzu firmy. Většinou se měří interním hodnotícím systémem, benchmarkingem nebo porovnáním s konkurencí. Jsou to slabé stránky a cíl je minimalizace těchto stránek. </w:t>
      </w:r>
    </w:p>
    <w:p>
      <w:pPr>
        <w:pStyle w:val="Heading3"/>
        <w:ind w:hanging="0" w:left="0"/>
        <w:rPr/>
      </w:pPr>
      <w:r>
        <w:rPr/>
        <w:t>Příležitosti</w:t>
      </w:r>
    </w:p>
    <w:p>
      <w:pPr>
        <w:pStyle w:val="Normal"/>
        <w:rPr/>
      </w:pPr>
      <w:r>
        <w:rPr/>
        <w:t>Jde o poznání příležitostí o rozvoj podniku a posílení pozice na trhu. Podnik se snaží o maximální využití svých zdrojů. Tyto skutečnosti můžou podniku přinést úspěch ku příkladu větší tržby, lepší zákaznická spokojenost nebo zvýšení povědomí o podniku</w:t>
      </w:r>
    </w:p>
    <w:p>
      <w:pPr>
        <w:pStyle w:val="Heading3"/>
        <w:ind w:hanging="0" w:left="0"/>
        <w:rPr/>
      </w:pPr>
      <w:r>
        <w:rPr/>
        <w:t>Hrozby</w:t>
      </w:r>
    </w:p>
    <w:p>
      <w:pPr>
        <w:pStyle w:val="Normal"/>
        <w:rPr/>
      </w:pPr>
      <w:r>
        <w:rPr/>
        <w:t>Tato stránka se zabývá analýze hrozeb mimo společnost. Hrozby představují rizika která mohou ohrozit společnost v dosažení jejich cílů a nebo samostatné existence podniku. Cíl je nají, analyzovat a v nejlepší případě eliminovat hrozby.</w:t>
      </w:r>
    </w:p>
    <w:p>
      <w:pPr>
        <w:pStyle w:val="Normal"/>
        <w:rPr/>
      </w:pPr>
      <w:r>
        <w:rPr/>
        <w:drawing>
          <wp:anchor behindDoc="0" distT="0" distB="0" distL="0" distR="0" simplePos="0" locked="0" layoutInCell="0" allowOverlap="1" relativeHeight="2">
            <wp:simplePos x="0" y="0"/>
            <wp:positionH relativeFrom="column">
              <wp:posOffset>1221105</wp:posOffset>
            </wp:positionH>
            <wp:positionV relativeFrom="paragraph">
              <wp:posOffset>198120</wp:posOffset>
            </wp:positionV>
            <wp:extent cx="3048000" cy="35528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048000" cy="3552825"/>
                    </a:xfrm>
                    <a:prstGeom prst="rect">
                      <a:avLst/>
                    </a:prstGeom>
                  </pic:spPr>
                </pic:pic>
              </a:graphicData>
            </a:graphic>
          </wp:anchor>
        </w:drawing>
      </w:r>
    </w:p>
    <w:p>
      <w:pPr>
        <w:pStyle w:val="Heading2"/>
        <w:ind w:hanging="0" w:left="0"/>
        <w:rPr/>
      </w:pPr>
      <w:bookmarkStart w:id="23" w:name="__RefHeading___Toc600_697121857"/>
      <w:bookmarkEnd w:id="23"/>
      <w:r>
        <w:rPr/>
        <w:t>PEST Analýza</w:t>
      </w:r>
    </w:p>
    <w:p>
      <w:pPr>
        <w:pStyle w:val="Normal"/>
        <w:rPr/>
      </w:pPr>
      <w:r>
        <w:rPr/>
        <w:t>PEST analýza stejně jako předchozí SWOT je složena z anglický slov. Political, Economical, Social a Technological. Tato analýza je používaná pro vyhodnocování faktorů v politickém, ekonomickém, sociálním a technologickém prostředí které mohou mít vliv na činnost podniku nebo trhu.</w:t>
      </w:r>
    </w:p>
    <w:p>
      <w:pPr>
        <w:pStyle w:val="Heading3"/>
        <w:ind w:hanging="0" w:left="0"/>
        <w:rPr/>
      </w:pPr>
      <w:r>
        <w:rPr/>
        <w:t>Politiko-legislativní vlivy</w:t>
      </w:r>
    </w:p>
    <w:p>
      <w:pPr>
        <w:pStyle w:val="Normal"/>
        <w:rPr/>
      </w:pPr>
      <w:r>
        <w:rPr/>
        <w:t>Zde pojednává o politických faktorech a regulací které bych mohli mít vliv na chod podniku. Můžeme sem zahrnout obchodní dohody, legislativní změny, daňové polity, pracovní právo atd.</w:t>
      </w:r>
    </w:p>
    <w:p>
      <w:pPr>
        <w:pStyle w:val="Heading3"/>
        <w:ind w:hanging="0" w:left="0"/>
        <w:rPr/>
      </w:pPr>
      <w:r>
        <w:rPr/>
        <w:t>Ekonomické faktory</w:t>
      </w:r>
    </w:p>
    <w:p>
      <w:pPr>
        <w:pStyle w:val="Normal"/>
        <w:rPr/>
      </w:pPr>
      <w:r>
        <w:rPr/>
        <w:t>Ekonomické faktory, které můžou ovlivnit podnik. To může zahrnovat HDP, inflaci a vývoj cen energií atd.</w:t>
      </w:r>
    </w:p>
    <w:p>
      <w:pPr>
        <w:pStyle w:val="Heading3"/>
        <w:ind w:hanging="0" w:left="0"/>
        <w:rPr/>
      </w:pPr>
      <w:r>
        <w:rPr/>
        <w:t>Sociálně-kulturní faktory</w:t>
      </w:r>
    </w:p>
    <w:p>
      <w:pPr>
        <w:pStyle w:val="Normal"/>
        <w:rPr/>
      </w:pPr>
      <w:r>
        <w:rPr/>
        <w:t>Může zahrnout aktuální trendy ve společnosti, které můžou mít vliv na trh, chování zákazníku a kulturní změny atd.</w:t>
      </w:r>
    </w:p>
    <w:p>
      <w:pPr>
        <w:pStyle w:val="Heading3"/>
        <w:ind w:hanging="0" w:left="0"/>
        <w:rPr/>
      </w:pPr>
      <w:r>
        <w:rPr/>
        <w:t>Technologické vlivy</w:t>
      </w:r>
    </w:p>
    <w:p>
      <w:pPr>
        <w:pStyle w:val="Normal"/>
        <w:rPr/>
      </w:pPr>
      <w:r>
        <w:rPr/>
        <w:t>Zde se zahrnují technologické inovace a trendy které mohu ovlivnit organizaci. Můžeme sem zahrnout pokrok v technologii, digitalizaci, změny v standartách atd.</w:t>
      </w:r>
    </w:p>
    <w:p>
      <w:pPr>
        <w:pStyle w:val="Heading2"/>
        <w:ind w:hanging="0" w:left="0"/>
        <w:rPr/>
      </w:pPr>
      <w:bookmarkStart w:id="24" w:name="__RefHeading___Toc602_697121857"/>
      <w:bookmarkEnd w:id="24"/>
      <w:r>
        <w:rPr/>
        <w:t>Agilní strategie</w:t>
      </w:r>
    </w:p>
    <w:p>
      <w:pPr>
        <w:pStyle w:val="Normal"/>
        <w:rPr/>
      </w:pPr>
      <w:r>
        <w:rPr/>
        <w:t>Značnou charakteristikou agilních projektů je vývoj produktů v krátkých intervalech s důrazem na business priority a dodávanou hodnotou. Nejvíce se to dá vidět ve vývoji softwaru. Klade se velký důraz na spolupráci, transparentnost a iterativní přístup. Můžeme si představit nějaké kličkové rysy agilní strategie:</w:t>
      </w:r>
    </w:p>
    <w:p>
      <w:pPr>
        <w:pStyle w:val="Heading3"/>
        <w:ind w:hanging="0" w:left="0"/>
        <w:rPr/>
      </w:pPr>
      <w:r>
        <w:rPr/>
        <w:t>Zaměření na hodnotu</w:t>
      </w:r>
    </w:p>
    <w:p>
      <w:pPr>
        <w:pStyle w:val="Normal"/>
        <w:rPr/>
      </w:pPr>
      <w:r>
        <w:rPr/>
        <w:t>Zaměřuje se na poskytování hodnoty pro zákazníka a stakeholdery pomocí rychlého dodání služeb a výsledků které splňují očekávání</w:t>
      </w:r>
    </w:p>
    <w:p>
      <w:pPr>
        <w:pStyle w:val="Heading3"/>
        <w:ind w:hanging="0" w:left="0"/>
        <w:rPr/>
      </w:pPr>
      <w:r>
        <w:rPr/>
        <w:t>Iterativní přístup</w:t>
      </w:r>
    </w:p>
    <w:p>
      <w:pPr>
        <w:pStyle w:val="Normal"/>
        <w:rPr/>
      </w:pPr>
      <w:r>
        <w:rPr/>
        <w:t>Strategie se neustále vyvíjí a upravuje se na základě zpětné vazby, technologické inovace. Místo pevně stanovených a dlouhodobých plánů se spíše podnik soustředí na změny.</w:t>
      </w:r>
    </w:p>
    <w:p>
      <w:pPr>
        <w:pStyle w:val="Heading3"/>
        <w:ind w:hanging="0" w:left="0"/>
        <w:rPr/>
      </w:pPr>
      <w:r>
        <w:rPr/>
        <w:t>Transparentnost</w:t>
      </w:r>
    </w:p>
    <w:p>
      <w:pPr>
        <w:pStyle w:val="Normal"/>
        <w:rPr/>
      </w:pPr>
      <w:r>
        <w:rPr/>
        <w:t>Na tvorbě a implementaci se podílí široký okruh stakeholders nebo zákazníků. V průběhu projektu je to kritické aby podnik mohl reagovat na připadnout zpětnou vazbu.</w:t>
      </w:r>
    </w:p>
    <w:p>
      <w:pPr>
        <w:pStyle w:val="Normal"/>
        <w:rPr/>
      </w:pPr>
      <w:r>
        <w:rPr/>
      </w:r>
    </w:p>
    <w:p>
      <w:pPr>
        <w:pStyle w:val="Normal"/>
        <w:rPr/>
      </w:pPr>
      <w:r>
        <w:rPr/>
      </w:r>
    </w:p>
    <w:p>
      <w:pPr>
        <w:pStyle w:val="Heading2"/>
        <w:ind w:hanging="0" w:left="0"/>
        <w:rPr/>
      </w:pPr>
      <w:bookmarkStart w:id="25" w:name="__RefHeading___Toc604_697121857"/>
      <w:bookmarkEnd w:id="25"/>
      <w:r>
        <w:rPr/>
        <w:t>Digitalizace a digitální strategie</w:t>
      </w:r>
    </w:p>
    <w:p>
      <w:pPr>
        <w:pStyle w:val="Normal"/>
        <w:rPr/>
      </w:pPr>
      <w:r>
        <w:rPr/>
        <w:t xml:space="preserve">Digitalizace se zaměřuje na převod fyzických informací do digitálního formátu. Můžeme zde zahrnout digitalizaci dokumentů pro lepší skladování, automatizace procesů pro manuální úkoly jako filtrování, exportování a hašení reportů ohledně dat. Využívání cloudových technologií pro zálohování mimo podnik pro případ výpadku systému nebo náhle ztráty dat atd. Ale celý tento proces je nový a náchylný na chyby. </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59450" cy="3239770"/>
            <wp:effectExtent l="0" t="0" r="0" b="0"/>
            <wp:wrapSquare wrapText="largest"/>
            <wp:docPr id="3"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br w:type="page"/>
      </w:r>
    </w:p>
    <w:p>
      <w:pPr>
        <w:pStyle w:val="Heading1"/>
        <w:numPr>
          <w:ilvl w:val="0"/>
          <w:numId w:val="0"/>
        </w:numPr>
        <w:spacing w:before="0" w:after="120"/>
        <w:ind w:hanging="431" w:left="431"/>
        <w:rPr/>
      </w:pPr>
      <w:bookmarkStart w:id="26" w:name="__RefHeading___Toc606_697121857"/>
      <w:bookmarkStart w:id="27" w:name="_Toc161379169"/>
      <w:bookmarkStart w:id="28" w:name="_Toc60053869"/>
      <w:bookmarkEnd w:id="26"/>
      <w:r>
        <w:rPr/>
        <w:t>Závěr</w:t>
      </w:r>
      <w:bookmarkEnd w:id="27"/>
      <w:bookmarkEnd w:id="28"/>
    </w:p>
    <w:p>
      <w:pPr>
        <w:pStyle w:val="BodyText"/>
        <w:rPr/>
      </w:pPr>
      <w:r>
        <w:rPr/>
        <w:t>Po přečtení této seminární práce by mohl čtenář zhruba určit jaká strategie by mohl být ideální pro jeho/její podnik. A však je to velmi všeobecně zpracované, a pro reálné využití jakékoliv v</w:t>
      </w:r>
      <w:r>
        <w:rPr/>
        <w:t>ý</w:t>
      </w:r>
      <w:r>
        <w:rPr/>
        <w:t>še zmíněné práce silně doporučuji důkladnější prostudování určité strategie pro detailní zjištění výhod či nevýhod. Ale i tak by čtenář měl pochopit okrajově jak každá strategie funguje.</w:t>
      </w:r>
    </w:p>
    <w:p>
      <w:pPr>
        <w:pStyle w:val="Normal"/>
        <w:spacing w:lineRule="auto" w:line="259" w:before="0" w:after="160"/>
        <w:jc w:val="left"/>
        <w:rPr>
          <w:rFonts w:ascii="Calibri Light" w:hAnsi="Calibri Light"/>
          <w:b/>
          <w:sz w:val="36"/>
          <w:szCs w:val="32"/>
        </w:rPr>
      </w:pPr>
      <w:r>
        <w:rPr>
          <w:rFonts w:ascii="Calibri Light" w:hAnsi="Calibri Light"/>
          <w:b/>
          <w:sz w:val="36"/>
          <w:szCs w:val="32"/>
        </w:rPr>
      </w:r>
      <w:r>
        <w:br w:type="page"/>
      </w:r>
    </w:p>
    <w:p>
      <w:pPr>
        <w:pStyle w:val="Heading1"/>
        <w:numPr>
          <w:ilvl w:val="0"/>
          <w:numId w:val="0"/>
        </w:numPr>
        <w:spacing w:before="0" w:after="120"/>
        <w:ind w:hanging="431" w:left="431"/>
        <w:rPr/>
      </w:pPr>
      <w:bookmarkStart w:id="29" w:name="__RefHeading___Toc608_697121857"/>
      <w:bookmarkStart w:id="30" w:name="_Toc161379170"/>
      <w:bookmarkEnd w:id="29"/>
      <w:r>
        <w:rPr/>
        <w:t>Seznam použité literatury</w:t>
      </w:r>
      <w:bookmarkEnd w:id="30"/>
    </w:p>
    <w:p>
      <w:pPr>
        <w:pStyle w:val="Seznamliteratury"/>
        <w:rPr/>
      </w:pPr>
      <w:r>
        <w:rPr>
          <w:rStyle w:val="Hyperlink"/>
          <w:color w:val="auto"/>
          <w:u w:val="none"/>
        </w:rPr>
        <w:t xml:space="preserve">Jak si správně nastavit finanční cíle [online]. [cit. 2024-03-15]. Dostupné z: </w:t>
      </w:r>
      <w:r>
        <w:fldChar w:fldCharType="begin"/>
      </w:r>
      <w:r>
        <w:rPr>
          <w:rStyle w:val="Hyperlink"/>
        </w:rPr>
        <w:instrText xml:space="preserve"> HYPERLINK "https://www.namotivuj.se/l/jak-si-spravne-nastavit-financni-cile-a-dosahnout-jejich-splneni/" \l ":~:text=Finan%C4%8Dn%C3%AD%20c%C3%ADle%20jsou%20ve%20zkratce,konkr%C3%A9tn%C3%ADch%20finan%C4%8Dn%C3%ADch%20pot%C5%99eb%20v%20p%C5%99%C3%ADtomnosti"</w:instrText>
      </w:r>
      <w:r>
        <w:rPr>
          <w:rStyle w:val="Hyperlink"/>
        </w:rPr>
        <w:fldChar w:fldCharType="separate"/>
      </w:r>
      <w:r>
        <w:rPr>
          <w:rStyle w:val="Hyperlink"/>
        </w:rPr>
        <w:t>https://www.namotivuj.se/l/jak-si-spravne-nastavit-financni-cile-a-dosahnout-jejich-splneni/#:~:text=Finan%C4%8Dn%C3%AD%20c%C3%ADle%20jsou%20ve%20zkratce,konkr%C3%A9tn%C3%ADch%20finan%C4%8Dn%C3%ADch%20pot%C5%99eb%20v%20p%C5%99%C3%ADtomnosti</w:t>
      </w:r>
      <w:r>
        <w:rPr>
          <w:rStyle w:val="Hyperlink"/>
        </w:rPr>
        <w:fldChar w:fldCharType="end"/>
      </w:r>
      <w:r>
        <w:rPr>
          <w:rStyle w:val="Hyperlink"/>
        </w:rPr>
        <w:br/>
      </w:r>
    </w:p>
    <w:p>
      <w:pPr>
        <w:pStyle w:val="Seznamliteratury"/>
        <w:rPr/>
      </w:pPr>
      <w:r>
        <w:rPr>
          <w:rStyle w:val="Hyperlink"/>
          <w:color w:val="000000"/>
          <w:u w:val="none"/>
          <w:shd w:fill="auto" w:val="clear"/>
        </w:rPr>
        <w:t>Strategické cíle (Strategic goals) [online]. [cit. 2024-03-15]. Dostupné z:</w:t>
      </w:r>
      <w:r>
        <w:rPr>
          <w:rStyle w:val="Hyperlink"/>
          <w:color w:val="auto"/>
          <w:u w:val="none"/>
        </w:rPr>
        <w:t xml:space="preserve"> </w:t>
      </w:r>
      <w:hyperlink r:id="rId9">
        <w:r>
          <w:rPr>
            <w:rStyle w:val="Hyperlink"/>
          </w:rPr>
          <w:t>https://managementmania.com/cs/strategicke-cile</w:t>
        </w:r>
      </w:hyperlink>
    </w:p>
    <w:p>
      <w:pPr>
        <w:pStyle w:val="Seznamliteratury"/>
        <w:rPr>
          <w:rStyle w:val="Hyperlink"/>
        </w:rPr>
      </w:pPr>
      <w:r>
        <w:rPr/>
      </w:r>
    </w:p>
    <w:p>
      <w:pPr>
        <w:pStyle w:val="Normal"/>
        <w:ind w:hanging="357" w:left="357"/>
        <w:jc w:val="left"/>
        <w:rPr/>
      </w:pPr>
      <w:r>
        <w:rPr/>
        <w:t xml:space="preserve">Základní rozdíly mezi taktickým, operativním a strategickým řízením [online]. [cit. 2024-03-15]. Dostupné z: </w:t>
      </w:r>
      <w:r>
        <w:rPr>
          <w:rStyle w:val="Hyperlink"/>
        </w:rPr>
        <w:t>https://www.altaxo.cz/provoz-firmy/management/rizeni-podniku/zakladni-rozdily-mezi-taktickym-operativnim-a-strategickym-rizenim</w:t>
      </w:r>
    </w:p>
    <w:p>
      <w:pPr>
        <w:pStyle w:val="Normal"/>
        <w:ind w:hanging="357" w:left="357"/>
        <w:jc w:val="left"/>
        <w:rPr/>
      </w:pPr>
      <w:r>
        <w:rPr/>
      </w:r>
    </w:p>
    <w:p>
      <w:pPr>
        <w:pStyle w:val="Normal"/>
        <w:ind w:hanging="357" w:left="357"/>
        <w:jc w:val="left"/>
        <w:rPr/>
      </w:pPr>
      <w:r>
        <w:rPr/>
        <w:t xml:space="preserve">Jak nastavit SMART cíle podniku [online]. [cit. 2024-03-15]. Dostupné z: </w:t>
      </w:r>
      <w:r>
        <w:rPr>
          <w:rStyle w:val="Hyperlink"/>
        </w:rPr>
        <w:t>https://www.mytimi.cz/smart-cile-podniku/</w:t>
      </w:r>
    </w:p>
    <w:p>
      <w:pPr>
        <w:pStyle w:val="Normal"/>
        <w:ind w:hanging="357" w:left="357"/>
        <w:jc w:val="left"/>
        <w:rPr/>
      </w:pPr>
      <w:r>
        <w:rPr/>
      </w:r>
    </w:p>
    <w:p>
      <w:pPr>
        <w:pStyle w:val="Normal"/>
        <w:ind w:hanging="357" w:left="357"/>
        <w:jc w:val="left"/>
        <w:rPr/>
      </w:pPr>
      <w:r>
        <w:rPr/>
        <w:t>LUKÁŠOVÁ, Jitka. Co jsou cíle podnikání a jak na ně? Online. Dostupné z: </w:t>
      </w:r>
      <w:hyperlink r:id="rId10">
        <w:r>
          <w:rPr>
            <w:rStyle w:val="Hyperlink"/>
            <w:shd w:fill="auto" w:val="clear"/>
          </w:rPr>
          <w:t>https://www.podnikatel.cz/clanky/co-jsou-cile-podnikani-a-jak-na-ne/</w:t>
        </w:r>
      </w:hyperlink>
      <w:r>
        <w:rPr/>
        <w:t>. [cit. 2024-03-15].</w:t>
        <w:br/>
      </w:r>
    </w:p>
    <w:p>
      <w:pPr>
        <w:pStyle w:val="Normal"/>
        <w:ind w:hanging="357" w:left="357"/>
        <w:jc w:val="left"/>
        <w:rPr/>
      </w:pPr>
      <w:r>
        <w:rPr/>
        <w:t xml:space="preserve">Michael Porter [online]. [cit. 2024-03-15]. Dostupné z: </w:t>
      </w:r>
      <w:r>
        <w:fldChar w:fldCharType="begin"/>
      </w:r>
      <w:r>
        <w:rPr>
          <w:rStyle w:val="Hyperlink"/>
        </w:rPr>
        <w:instrText xml:space="preserve"> HYPERLINK "https://cs.wikipedia.org/wiki/Michael_Porter" \l "Porterova_anal%C3%BDza_p%C4%9Bti_sil"</w:instrText>
      </w:r>
      <w:r>
        <w:rPr>
          <w:rStyle w:val="Hyperlink"/>
        </w:rPr>
        <w:fldChar w:fldCharType="separate"/>
      </w:r>
      <w:r>
        <w:rPr>
          <w:rStyle w:val="Hyperlink"/>
        </w:rPr>
        <w:t>https://cs.wikipedia.org/wiki/Michael_Porter#Porterova_anal%C3%BDza_p%C4%9Bti_sil</w:t>
      </w:r>
      <w:r>
        <w:rPr>
          <w:rStyle w:val="Hyperlink"/>
        </w:rPr>
        <w:fldChar w:fldCharType="end"/>
      </w:r>
    </w:p>
    <w:p>
      <w:pPr>
        <w:pStyle w:val="Normal"/>
        <w:ind w:hanging="357" w:left="357"/>
        <w:jc w:val="left"/>
        <w:rPr/>
      </w:pPr>
      <w:r>
        <w:rPr/>
      </w:r>
    </w:p>
    <w:p>
      <w:pPr>
        <w:pStyle w:val="Normal"/>
        <w:ind w:hanging="357" w:left="357"/>
        <w:jc w:val="left"/>
        <w:rPr/>
      </w:pPr>
      <w:r>
        <w:rPr/>
        <w:t xml:space="preserve">UHŘÍK, Bc. David. Strategická analýza podniku [online]. Brno, 2014 [cit. 2024-03-15]. Dostupné z: </w:t>
      </w:r>
      <w:hyperlink r:id="rId11">
        <w:r>
          <w:rPr>
            <w:rStyle w:val="Hyperlink"/>
          </w:rPr>
          <w:t>https://is.muni.cz/th/c5p20/teorieVerejna.pdf</w:t>
        </w:r>
      </w:hyperlink>
      <w:r>
        <w:rPr/>
        <w:t>. Diplomová práce. Masarykova univerzita, Ekonomicko-správní fakulta, Podniková ekonomika a management. Vedoucí práce Ing. Viliam ZÁTHURECKÝ, MBA., Ph.D.</w:t>
      </w:r>
    </w:p>
    <w:p>
      <w:pPr>
        <w:pStyle w:val="Normal"/>
        <w:ind w:hanging="357" w:left="357"/>
        <w:jc w:val="left"/>
        <w:rPr/>
      </w:pPr>
      <w:r>
        <w:rPr/>
      </w:r>
    </w:p>
    <w:p>
      <w:pPr>
        <w:pStyle w:val="Normal"/>
        <w:ind w:hanging="357" w:left="357"/>
        <w:jc w:val="left"/>
        <w:rPr/>
      </w:pPr>
      <w:r>
        <w:rPr/>
        <w:t xml:space="preserve">SWOT [online]. [cit. 2024-03-15]. Dostupné z: </w:t>
      </w:r>
      <w:hyperlink r:id="rId12">
        <w:r>
          <w:rPr>
            <w:rStyle w:val="Hyperlink"/>
          </w:rPr>
          <w:t>https://cs.wikipedia.org/wiki/SWOT</w:t>
        </w:r>
      </w:hyperlink>
    </w:p>
    <w:p>
      <w:pPr>
        <w:pStyle w:val="Normal"/>
        <w:ind w:hanging="357" w:left="357"/>
        <w:jc w:val="left"/>
        <w:rPr/>
      </w:pPr>
      <w:r>
        <w:rPr/>
      </w:r>
    </w:p>
    <w:p>
      <w:pPr>
        <w:pStyle w:val="Normal"/>
        <w:spacing w:before="0" w:after="120"/>
        <w:ind w:hanging="357" w:left="357"/>
        <w:jc w:val="left"/>
        <w:rPr/>
      </w:pPr>
      <w:r>
        <w:rPr/>
        <w:t xml:space="preserve">PEST analýza [online]. [cit. 2024-03-15]. Dostupné z: </w:t>
      </w:r>
      <w:hyperlink r:id="rId13">
        <w:r>
          <w:rPr>
            <w:rStyle w:val="Hyperlink"/>
          </w:rPr>
          <w:t>https://cs.wikipedia.org/wiki/PEST_anal%C3%BDza</w:t>
        </w:r>
      </w:hyperlink>
    </w:p>
    <w:sectPr>
      <w:headerReference w:type="default" r:id="rId14"/>
      <w:headerReference w:type="first" r:id="rId15"/>
      <w:footerReference w:type="default" r:id="rId16"/>
      <w:footerReference w:type="first" r:id="rId17"/>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r>
      <w:rPr/>
      <w:t xml:space="preserve"> </w:t>
    </w:r>
    <w:r>
      <w:rPr/>
      <w:t xml:space="preserve">(Celkem </w:t>
    </w:r>
    <w:r>
      <w:rPr/>
      <w:fldChar w:fldCharType="begin"/>
    </w:r>
    <w:r>
      <w:rPr/>
      <w:instrText xml:space="preserve"> NUMPAGES </w:instrText>
    </w:r>
    <w:r>
      <w:rPr/>
      <w:fldChar w:fldCharType="separate"/>
    </w:r>
    <w:r>
      <w:rPr/>
      <w:t>14</w:t>
    </w:r>
    <w:r>
      <w:rPr/>
      <w:fldChar w:fldCharType="end"/>
    </w:r>
    <w:r>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w:t>
    </w:r>
    <w:r>
      <w:rPr/>
      <w:fldChar w:fldCharType="end"/>
    </w:r>
    <w:r>
      <w:rPr/>
      <w:t xml:space="preserve"> </w:t>
    </w:r>
    <w:r>
      <w:rPr/>
      <w:t xml:space="preserve">(Celkem </w:t>
    </w:r>
    <w:r>
      <w:rPr/>
      <w:fldChar w:fldCharType="begin"/>
    </w:r>
    <w:r>
      <w:rPr/>
      <w:instrText xml:space="preserve"> NUMPAGES </w:instrText>
    </w:r>
    <w:r>
      <w:rPr/>
      <w:fldChar w:fldCharType="separate"/>
    </w:r>
    <w:r>
      <w:rPr/>
      <w:t>14</w:t>
    </w:r>
    <w:r>
      <w:rPr/>
      <w:fldChar w:fldCharType="end"/>
    </w:r>
    <w:r>
      <w:rPr/>
      <w:t>)</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tab/>
    </w:r>
    <w:r>
      <w:rPr>
        <w:i/>
        <w:color w:themeColor="light1" w:themeShade="80" w:val="808080"/>
      </w:rPr>
      <w:t>Vysoká škola polytechnická Jihlava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tab/>
    </w:r>
    <w:r>
      <w:rPr>
        <w:i/>
        <w:color w:themeColor="light1" w:themeShade="80" w:val="808080"/>
      </w:rPr>
      <w:t>Vysoká škola polytechnická Jihlava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cs-CZ"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120"/>
      <w:jc w:val="both"/>
    </w:pPr>
    <w:rPr>
      <w:rFonts w:ascii="Calibri" w:hAnsi="Calibri" w:eastAsia="Calibri" w:cs="DejaVu Sans"/>
      <w:color w:val="auto"/>
      <w:kern w:val="0"/>
      <w:sz w:val="22"/>
      <w:szCs w:val="22"/>
      <w:lang w:val="cs-CZ" w:eastAsia="en-US" w:bidi="ar-SA"/>
    </w:rPr>
  </w:style>
  <w:style w:type="paragraph" w:styleId="Heading1">
    <w:name w:val="Heading 1"/>
    <w:basedOn w:val="Normal"/>
    <w:next w:val="Normal"/>
    <w:link w:val="Heading1Char"/>
    <w:qFormat/>
    <w:pPr>
      <w:keepNext w:val="true"/>
      <w:keepLines/>
      <w:numPr>
        <w:ilvl w:val="0"/>
        <w:numId w:val="1"/>
      </w:numPr>
      <w:suppressAutoHyphens w:val="true"/>
      <w:spacing w:before="360" w:after="120"/>
      <w:ind w:hanging="431" w:left="431"/>
      <w:outlineLvl w:val="0"/>
    </w:pPr>
    <w:rPr>
      <w:rFonts w:ascii="Calibri Light" w:hAnsi="Calibri Light" w:eastAsia="Calibri" w:cs="DejaVu Sans"/>
      <w:b/>
      <w:sz w:val="36"/>
      <w:szCs w:val="32"/>
    </w:rPr>
  </w:style>
  <w:style w:type="paragraph" w:styleId="Heading2">
    <w:name w:val="Heading 2"/>
    <w:basedOn w:val="Normal"/>
    <w:next w:val="Normal"/>
    <w:link w:val="Heading2Char"/>
    <w:qFormat/>
    <w:pPr>
      <w:keepNext w:val="true"/>
      <w:keepLines/>
      <w:numPr>
        <w:ilvl w:val="1"/>
        <w:numId w:val="1"/>
      </w:numPr>
      <w:suppressAutoHyphens w:val="true"/>
      <w:spacing w:before="360" w:after="120"/>
      <w:outlineLvl w:val="1"/>
    </w:pPr>
    <w:rPr>
      <w:rFonts w:ascii="Calibri Light" w:hAnsi="Calibri Light" w:eastAsia="Calibri" w:cs="DejaVu Sans"/>
      <w:b/>
      <w:sz w:val="30"/>
      <w:szCs w:val="26"/>
    </w:rPr>
  </w:style>
  <w:style w:type="paragraph" w:styleId="Heading3">
    <w:name w:val="Heading 3"/>
    <w:basedOn w:val="Normal"/>
    <w:next w:val="Normal"/>
    <w:link w:val="Heading3Char"/>
    <w:qFormat/>
    <w:pPr>
      <w:keepNext w:val="true"/>
      <w:keepLines/>
      <w:numPr>
        <w:ilvl w:val="2"/>
        <w:numId w:val="1"/>
      </w:numPr>
      <w:suppressAutoHyphens w:val="true"/>
      <w:spacing w:before="360" w:after="120"/>
      <w:outlineLvl w:val="2"/>
    </w:pPr>
    <w:rPr>
      <w:rFonts w:ascii="Calibri Light" w:hAnsi="Calibri Light" w:eastAsia="Calibri" w:cs="DejaVu Sans"/>
      <w:b/>
      <w:sz w:val="24"/>
      <w:szCs w:val="24"/>
    </w:rPr>
  </w:style>
  <w:style w:type="paragraph" w:styleId="Heading4">
    <w:name w:val="Heading 4"/>
    <w:basedOn w:val="Normal"/>
    <w:next w:val="Normal"/>
    <w:link w:val="Heading4Char"/>
    <w:qFormat/>
    <w:pPr>
      <w:keepNext w:val="true"/>
      <w:keepLines/>
      <w:numPr>
        <w:ilvl w:val="3"/>
        <w:numId w:val="1"/>
      </w:numPr>
      <w:spacing w:before="40" w:after="0"/>
      <w:outlineLvl w:val="3"/>
    </w:pPr>
    <w:rPr>
      <w:rFonts w:ascii="Calibri Light" w:hAnsi="Calibri Light" w:eastAsia="Calibri" w:cs="DejaVu Sans"/>
      <w:i/>
      <w:iCs/>
      <w:color w:themeColor="accent1" w:themeShade="bf" w:val="2E74B5"/>
    </w:rPr>
  </w:style>
  <w:style w:type="paragraph" w:styleId="Heading5">
    <w:name w:val="Heading 5"/>
    <w:basedOn w:val="Normal"/>
    <w:next w:val="Normal"/>
    <w:link w:val="Heading5Char"/>
    <w:qFormat/>
    <w:pPr>
      <w:keepNext w:val="true"/>
      <w:keepLines/>
      <w:numPr>
        <w:ilvl w:val="4"/>
        <w:numId w:val="1"/>
      </w:numPr>
      <w:spacing w:before="40" w:after="0"/>
      <w:outlineLvl w:val="4"/>
    </w:pPr>
    <w:rPr>
      <w:rFonts w:ascii="Calibri Light" w:hAnsi="Calibri Light" w:eastAsia="Calibri" w:cs="DejaVu Sans"/>
      <w:color w:themeColor="accent1" w:themeShade="bf" w:val="2E74B5"/>
    </w:rPr>
  </w:style>
  <w:style w:type="paragraph" w:styleId="Heading6">
    <w:name w:val="Heading 6"/>
    <w:basedOn w:val="Normal"/>
    <w:next w:val="Normal"/>
    <w:link w:val="Heading6Char"/>
    <w:qFormat/>
    <w:pPr>
      <w:keepNext w:val="true"/>
      <w:keepLines/>
      <w:numPr>
        <w:ilvl w:val="5"/>
        <w:numId w:val="1"/>
      </w:numPr>
      <w:spacing w:before="40" w:after="0"/>
      <w:outlineLvl w:val="5"/>
    </w:pPr>
    <w:rPr>
      <w:rFonts w:ascii="Calibri Light" w:hAnsi="Calibri Light" w:eastAsia="Calibri" w:cs="DejaVu Sans"/>
      <w:color w:themeColor="accent1" w:themeShade="7f" w:val="1F4D78"/>
    </w:rPr>
  </w:style>
  <w:style w:type="paragraph" w:styleId="Heading7">
    <w:name w:val="Heading 7"/>
    <w:basedOn w:val="Normal"/>
    <w:next w:val="Normal"/>
    <w:link w:val="Heading7Char"/>
    <w:qFormat/>
    <w:pPr>
      <w:keepNext w:val="true"/>
      <w:keepLines/>
      <w:numPr>
        <w:ilvl w:val="6"/>
        <w:numId w:val="1"/>
      </w:numPr>
      <w:spacing w:before="40" w:after="0"/>
      <w:outlineLvl w:val="6"/>
    </w:pPr>
    <w:rPr>
      <w:rFonts w:ascii="Calibri Light" w:hAnsi="Calibri Light" w:eastAsia="Calibri" w:cs="DejaVu Sans"/>
      <w:i/>
      <w:iCs/>
      <w:color w:themeColor="accent1" w:themeShade="7f" w:val="1F4D78"/>
    </w:rPr>
  </w:style>
  <w:style w:type="paragraph" w:styleId="Heading8">
    <w:name w:val="Heading 8"/>
    <w:basedOn w:val="Normal"/>
    <w:next w:val="Normal"/>
    <w:link w:val="Heading8Char"/>
    <w:qFormat/>
    <w:pPr>
      <w:keepNext w:val="true"/>
      <w:keepLines/>
      <w:numPr>
        <w:ilvl w:val="7"/>
        <w:numId w:val="1"/>
      </w:numPr>
      <w:spacing w:before="40" w:after="0"/>
      <w:outlineLvl w:val="7"/>
    </w:pPr>
    <w:rPr>
      <w:rFonts w:ascii="Calibri Light" w:hAnsi="Calibri Light" w:eastAsia="Calibri" w:cs="DejaVu Sans"/>
      <w:color w:themeColor="dark1" w:themeTint="d8" w:val="272727"/>
      <w:sz w:val="21"/>
      <w:szCs w:val="21"/>
    </w:rPr>
  </w:style>
  <w:style w:type="paragraph" w:styleId="Heading9">
    <w:name w:val="Heading 9"/>
    <w:basedOn w:val="Normal"/>
    <w:next w:val="Normal"/>
    <w:link w:val="Heading9Char"/>
    <w:qFormat/>
    <w:pPr>
      <w:keepNext w:val="true"/>
      <w:keepLines/>
      <w:numPr>
        <w:ilvl w:val="8"/>
        <w:numId w:val="1"/>
      </w:numPr>
      <w:spacing w:before="40" w:after="0"/>
      <w:outlineLvl w:val="8"/>
    </w:pPr>
    <w:rPr>
      <w:rFonts w:ascii="Calibri Light" w:hAnsi="Calibri Light" w:eastAsia="Calibri" w:cs="DejaVu Sans"/>
      <w:i/>
      <w:iCs/>
      <w:color w:themeColor="dark1" w:themeTint="d8" w:val="272727"/>
      <w:sz w:val="21"/>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b/>
      <w:sz w:val="36"/>
      <w:szCs w:val="32"/>
    </w:rPr>
  </w:style>
  <w:style w:type="character" w:styleId="Heading2Char">
    <w:name w:val="Heading 2 Char"/>
    <w:basedOn w:val="DefaultParagraphFont"/>
    <w:link w:val="Heading2"/>
    <w:qFormat/>
    <w:rPr>
      <w:rFonts w:ascii="Calibri Light" w:hAnsi="Calibri Light" w:eastAsia="Calibri" w:cs="DejaVu Sans"/>
      <w:b/>
      <w:sz w:val="30"/>
      <w:szCs w:val="26"/>
    </w:rPr>
  </w:style>
  <w:style w:type="character" w:styleId="Heading3Char">
    <w:name w:val="Heading 3 Char"/>
    <w:basedOn w:val="DefaultParagraphFont"/>
    <w:link w:val="Heading3"/>
    <w:qFormat/>
    <w:rPr>
      <w:rFonts w:ascii="Calibri Light" w:hAnsi="Calibri Light" w:eastAsia="Calibri" w:cs="DejaVu Sans"/>
      <w:b/>
      <w:sz w:val="24"/>
      <w:szCs w:val="24"/>
    </w:rPr>
  </w:style>
  <w:style w:type="character" w:styleId="TitleChar">
    <w:name w:val="Title Char"/>
    <w:basedOn w:val="DefaultParagraphFont"/>
    <w:link w:val="Title"/>
    <w:qFormat/>
    <w:rPr>
      <w:rFonts w:ascii="Calibri Light" w:hAnsi="Calibri Light" w:eastAsia="Calibri" w:cs="DejaVu Sans"/>
      <w:b/>
      <w:spacing w:val="-10"/>
      <w:kern w:val="2"/>
      <w:sz w:val="36"/>
      <w:szCs w:val="56"/>
    </w:rPr>
  </w:style>
  <w:style w:type="character" w:styleId="SeznamliteraturyChar">
    <w:name w:val="Seznam  literatury Char"/>
    <w:basedOn w:val="DefaultParagraphFont"/>
    <w:link w:val="Seznamliteratury"/>
    <w:qFormat/>
    <w:rPr/>
  </w:style>
  <w:style w:type="character" w:styleId="ZdrojChar">
    <w:name w:val="Zdroj Char"/>
    <w:basedOn w:val="DefaultParagraphFont"/>
    <w:link w:val="Zdroj"/>
    <w:qFormat/>
    <w:rPr>
      <w:i/>
      <w:sz w:val="20"/>
    </w:rPr>
  </w:style>
  <w:style w:type="character" w:styleId="Heading4Char">
    <w:name w:val="Heading 4 Char"/>
    <w:basedOn w:val="DefaultParagraphFont"/>
    <w:link w:val="Heading4"/>
    <w:qFormat/>
    <w:rPr>
      <w:rFonts w:ascii="Calibri Light" w:hAnsi="Calibri Light" w:eastAsia="Calibri" w:cs="DejaVu Sans"/>
      <w:i/>
      <w:iCs/>
      <w:color w:themeColor="accent1" w:themeShade="bf" w:val="2E74B5"/>
    </w:rPr>
  </w:style>
  <w:style w:type="character" w:styleId="Heading5Char">
    <w:name w:val="Heading 5 Char"/>
    <w:basedOn w:val="DefaultParagraphFont"/>
    <w:link w:val="Heading5"/>
    <w:qFormat/>
    <w:rPr>
      <w:rFonts w:ascii="Calibri Light" w:hAnsi="Calibri Light" w:eastAsia="Calibri" w:cs="DejaVu Sans"/>
      <w:color w:themeColor="accent1" w:themeShade="bf" w:val="2E74B5"/>
    </w:rPr>
  </w:style>
  <w:style w:type="character" w:styleId="Heading6Char">
    <w:name w:val="Heading 6 Char"/>
    <w:basedOn w:val="DefaultParagraphFont"/>
    <w:link w:val="Heading6"/>
    <w:qFormat/>
    <w:rPr>
      <w:rFonts w:ascii="Calibri Light" w:hAnsi="Calibri Light" w:eastAsia="Calibri" w:cs="DejaVu Sans"/>
      <w:color w:themeColor="accent1" w:themeShade="7f" w:val="1F4D78"/>
    </w:rPr>
  </w:style>
  <w:style w:type="character" w:styleId="Heading7Char">
    <w:name w:val="Heading 7 Char"/>
    <w:basedOn w:val="DefaultParagraphFont"/>
    <w:link w:val="Heading7"/>
    <w:qFormat/>
    <w:rPr>
      <w:rFonts w:ascii="Calibri Light" w:hAnsi="Calibri Light" w:eastAsia="Calibri" w:cs="DejaVu Sans"/>
      <w:i/>
      <w:iCs/>
      <w:color w:themeColor="accent1" w:themeShade="7f" w:val="1F4D78"/>
    </w:rPr>
  </w:style>
  <w:style w:type="character" w:styleId="Heading8Char">
    <w:name w:val="Heading 8 Char"/>
    <w:basedOn w:val="DefaultParagraphFont"/>
    <w:link w:val="Heading8"/>
    <w:qFormat/>
    <w:rPr>
      <w:rFonts w:ascii="Calibri Light" w:hAnsi="Calibri Light" w:eastAsia="Calibri" w:cs="DejaVu Sans"/>
      <w:color w:themeColor="dark1" w:themeTint="d8" w:val="272727"/>
      <w:sz w:val="21"/>
      <w:szCs w:val="21"/>
    </w:rPr>
  </w:style>
  <w:style w:type="character" w:styleId="Heading9Char">
    <w:name w:val="Heading 9 Char"/>
    <w:basedOn w:val="DefaultParagraphFont"/>
    <w:link w:val="Heading9"/>
    <w:qFormat/>
    <w:rPr>
      <w:rFonts w:ascii="Calibri Light" w:hAnsi="Calibri Light" w:eastAsia="Calibri" w:cs="DejaVu Sans"/>
      <w:i/>
      <w:iCs/>
      <w:color w:themeColor="dark1" w:themeTint="d8"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BalloonTextChar">
    <w:name w:val="Balloon Text Char"/>
    <w:basedOn w:val="DefaultParagraphFont"/>
    <w:link w:val="BalloonText"/>
    <w:qFormat/>
    <w:rPr>
      <w:rFonts w:ascii="Segoe UI" w:hAnsi="Segoe UI" w:cs="Segoe UI"/>
      <w:sz w:val="18"/>
      <w:szCs w:val="18"/>
    </w:rPr>
  </w:style>
  <w:style w:type="character" w:styleId="TabulkaChar">
    <w:name w:val="Tabulka Char"/>
    <w:basedOn w:val="DefaultParagraphFont"/>
    <w:link w:val="Tabulka"/>
    <w:qFormat/>
    <w:rPr>
      <w:sz w:val="20"/>
      <w:szCs w:val="20"/>
    </w:rPr>
  </w:style>
  <w:style w:type="character" w:styleId="FootnoteTextChar">
    <w:name w:val="Footnote Text Char"/>
    <w:basedOn w:val="DefaultParagraphFont"/>
    <w:link w:val="FootnoteText"/>
    <w:qFormat/>
    <w:rPr>
      <w:sz w:val="20"/>
      <w:szCs w:val="20"/>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odyTextChar">
    <w:name w:val="Body Text Char"/>
    <w:basedOn w:val="DefaultParagraphFont"/>
    <w:qFormat/>
    <w:rPr/>
  </w:style>
  <w:style w:type="character" w:styleId="Nevyeenzmnka1">
    <w:name w:val="Nevyřešená zmínka1"/>
    <w:basedOn w:val="DefaultParagraphFont"/>
    <w:qFormat/>
    <w:rPr>
      <w:color w:val="605E5C"/>
      <w:shd w:fill="E1DFDD" w:val="clear"/>
    </w:rPr>
  </w:style>
  <w:style w:type="character" w:styleId="SeznamliteraturyChar1">
    <w:name w:val="seznam literatury Char"/>
    <w:basedOn w:val="BodyTextChar"/>
    <w:link w:val="Seznamliteratury1"/>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1"/>
    <w:basedOn w:val="Normal"/>
    <w:next w:val="Normal"/>
    <w:qFormat/>
    <w:pPr>
      <w:spacing w:before="0" w:after="0"/>
      <w:jc w:val="center"/>
    </w:pPr>
    <w:rPr>
      <w:b/>
      <w:iCs/>
      <w:sz w:val="20"/>
      <w:szCs w:val="18"/>
    </w:rPr>
  </w:style>
  <w:style w:type="paragraph" w:styleId="Title">
    <w:name w:val="Title"/>
    <w:basedOn w:val="Normal"/>
    <w:next w:val="Normal"/>
    <w:link w:val="TitleChar"/>
    <w:qFormat/>
    <w:pPr>
      <w:spacing w:before="360" w:after="120"/>
      <w:contextualSpacing/>
      <w:jc w:val="left"/>
    </w:pPr>
    <w:rPr>
      <w:rFonts w:ascii="Calibri Light" w:hAnsi="Calibri Light" w:eastAsia="Calibri" w:cs="DejaVu Sans"/>
      <w:b/>
      <w:spacing w:val="-10"/>
      <w:kern w:val="2"/>
      <w:sz w:val="36"/>
      <w:szCs w:val="56"/>
    </w:rPr>
  </w:style>
  <w:style w:type="paragraph" w:styleId="Seznamliteratury">
    <w:name w:val="Seznam  literatury"/>
    <w:basedOn w:val="Normal"/>
    <w:link w:val="SeznamliteraturyChar"/>
    <w:qFormat/>
    <w:pPr>
      <w:ind w:hanging="357" w:left="357"/>
      <w:jc w:val="left"/>
    </w:pPr>
    <w:rPr/>
  </w:style>
  <w:style w:type="paragraph" w:styleId="Zdroj">
    <w:name w:val="Zdroj"/>
    <w:basedOn w:val="Normal"/>
    <w:next w:val="Normal"/>
    <w:link w:val="ZdrojChar"/>
    <w:qFormat/>
    <w:pPr>
      <w:jc w:val="center"/>
    </w:pPr>
    <w:rPr>
      <w:i/>
      <w:sz w:val="20"/>
    </w:rPr>
  </w:style>
  <w:style w:type="paragraph" w:styleId="ListParagraph">
    <w:name w:val="List Paragraph"/>
    <w:basedOn w:val="Normal"/>
    <w:qFormat/>
    <w:pPr>
      <w:spacing w:before="0" w:after="120"/>
      <w:ind w:left="720"/>
      <w:contextualSpacing/>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Tabulka">
    <w:name w:val="Tabulka"/>
    <w:basedOn w:val="Normal"/>
    <w:link w:val="TabulkaChar"/>
    <w:qFormat/>
    <w:pPr>
      <w:spacing w:lineRule="auto" w:line="240" w:before="0" w:after="0"/>
      <w:jc w:val="left"/>
    </w:pPr>
    <w:rPr>
      <w:sz w:val="20"/>
      <w:szCs w:val="20"/>
    </w:rPr>
  </w:style>
  <w:style w:type="paragraph" w:styleId="FootnoteText">
    <w:name w:val="Footnote Text"/>
    <w:basedOn w:val="Normal"/>
    <w:link w:val="FootnoteTextChar"/>
    <w:pPr>
      <w:spacing w:lineRule="auto" w:line="240" w:before="0" w:after="0"/>
    </w:pPr>
    <w:rPr>
      <w:sz w:val="20"/>
      <w:szCs w:val="20"/>
    </w:rPr>
  </w:style>
  <w:style w:type="paragraph" w:styleId="TableofFigures">
    <w:name w:val="Table of Figures"/>
    <w:basedOn w:val="Normal"/>
    <w:next w:val="Normal"/>
    <w:pPr>
      <w:spacing w:before="0" w:after="0"/>
    </w:pPr>
    <w:rPr/>
  </w:style>
  <w:style w:type="paragraph" w:styleId="IndexHeading">
    <w:name w:val="Index Heading"/>
    <w:basedOn w:val="Heading"/>
    <w:pPr/>
    <w:rPr/>
  </w:style>
  <w:style w:type="paragraph" w:styleId="TOCHeading">
    <w:name w:val="TOC Heading"/>
    <w:basedOn w:val="Heading1"/>
    <w:next w:val="Normal"/>
    <w:qFormat/>
    <w:pPr>
      <w:numPr>
        <w:ilvl w:val="0"/>
        <w:numId w:val="0"/>
      </w:numPr>
      <w:suppressAutoHyphens w:val="false"/>
      <w:spacing w:lineRule="auto" w:line="259" w:before="240" w:after="0"/>
      <w:ind w:hanging="431" w:left="431"/>
      <w:jc w:val="left"/>
      <w:outlineLvl w:val="9"/>
    </w:pPr>
    <w:rPr>
      <w:b w:val="false"/>
      <w:color w:themeColor="accent1" w:themeShade="bf" w:val="2E74B5"/>
      <w:sz w:val="32"/>
      <w:lang w:eastAsia="cs-CZ"/>
    </w:rPr>
  </w:style>
  <w:style w:type="paragraph" w:styleId="TOC1">
    <w:name w:val="TOC 1"/>
    <w:basedOn w:val="Normal"/>
    <w:next w:val="Normal"/>
    <w:autoRedefine/>
    <w:pPr>
      <w:spacing w:before="0" w:after="0"/>
    </w:pPr>
    <w:rPr>
      <w:b/>
    </w:rPr>
  </w:style>
  <w:style w:type="paragraph" w:styleId="TOC2">
    <w:name w:val="TOC 2"/>
    <w:basedOn w:val="Normal"/>
    <w:next w:val="Normal"/>
    <w:autoRedefine/>
    <w:pPr>
      <w:spacing w:before="0" w:after="0"/>
      <w:ind w:left="221"/>
    </w:pPr>
    <w:rPr/>
  </w:style>
  <w:style w:type="paragraph" w:styleId="TOC3">
    <w:name w:val="TOC 3"/>
    <w:basedOn w:val="Normal"/>
    <w:next w:val="Normal"/>
    <w:autoRedefine/>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pPr>
      <w:tabs>
        <w:tab w:val="clear" w:pos="708"/>
        <w:tab w:val="center" w:pos="4536" w:leader="none"/>
        <w:tab w:val="right" w:pos="9072" w:leader="none"/>
      </w:tabs>
      <w:spacing w:lineRule="auto" w:line="240" w:before="0" w:after="0"/>
    </w:pPr>
    <w:rPr/>
  </w:style>
  <w:style w:type="paragraph" w:styleId="Footer">
    <w:name w:val="Footer"/>
    <w:basedOn w:val="Normal"/>
    <w:link w:val="FooterChar"/>
    <w:pPr>
      <w:tabs>
        <w:tab w:val="clear" w:pos="708"/>
        <w:tab w:val="center" w:pos="4536" w:leader="none"/>
        <w:tab w:val="right" w:pos="9072" w:leader="none"/>
      </w:tabs>
      <w:spacing w:lineRule="auto" w:line="240" w:before="0" w:after="0"/>
    </w:pPr>
    <w:rPr/>
  </w:style>
  <w:style w:type="paragraph" w:styleId="Default">
    <w:name w:val="Default"/>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000000"/>
      <w:kern w:val="0"/>
      <w:sz w:val="24"/>
      <w:szCs w:val="24"/>
      <w:lang w:val="cs-CZ" w:eastAsia="en-US" w:bidi="ar-SA"/>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 w:val="24"/>
      <w:szCs w:val="24"/>
      <w:lang w:eastAsia="cs-CZ"/>
    </w:rPr>
  </w:style>
  <w:style w:type="paragraph" w:styleId="Seznamliteratury1">
    <w:name w:val="seznam literatury"/>
    <w:basedOn w:val="BodyText"/>
    <w:link w:val="SeznamliteraturyChar1"/>
    <w:qFormat/>
    <w:pPr>
      <w:ind w:hanging="142" w:left="142"/>
      <w:jc w:val="lef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hyperlink" Target="https://managementmania.com/cs/strategicke-cile" TargetMode="External"/><Relationship Id="rId10" Type="http://schemas.openxmlformats.org/officeDocument/2006/relationships/hyperlink" Target="https://www.podnikatel.cz/clanky/co-jsou-cile-podnikani-a-jak-na-ne/" TargetMode="External"/><Relationship Id="rId11" Type="http://schemas.openxmlformats.org/officeDocument/2006/relationships/hyperlink" Target="https://is.muni.cz/th/c5p20/teorieVerejna.pdf" TargetMode="External"/><Relationship Id="rId12" Type="http://schemas.openxmlformats.org/officeDocument/2006/relationships/hyperlink" Target="https://cs.wikipedia.org/wiki/SWOT" TargetMode="External"/><Relationship Id="rId13" Type="http://schemas.openxmlformats.org/officeDocument/2006/relationships/hyperlink" Target="https://cs.wikipedia.org/wiki/PEST_anal&#253;za"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66755254"/>
        <c:axId val="3820769"/>
      </c:barChart>
      <c:catAx>
        <c:axId val="66755254"/>
        <c:scaling>
          <c:orientation val="minMax"/>
        </c:scaling>
        <c:delete val="0"/>
        <c:axPos val="b"/>
        <c:numFmt formatCode="[$-405]dd/mm/yyyy" sourceLinked="1"/>
        <c:majorTickMark val="out"/>
        <c:minorTickMark val="none"/>
        <c:tickLblPos val="nextTo"/>
        <c:spPr>
          <a:ln w="0">
            <a:solidFill>
              <a:srgbClr val="b3b3b3"/>
            </a:solidFill>
          </a:ln>
        </c:spPr>
        <c:txPr>
          <a:bodyPr/>
          <a:lstStyle/>
          <a:p>
            <a:pPr>
              <a:defRPr b="0" sz="1000" spc="-1" strike="noStrike">
                <a:latin typeface="Arial"/>
              </a:defRPr>
            </a:pPr>
          </a:p>
        </c:txPr>
        <c:crossAx val="3820769"/>
        <c:crosses val="autoZero"/>
        <c:auto val="1"/>
        <c:lblAlgn val="ctr"/>
        <c:lblOffset val="100"/>
        <c:noMultiLvlLbl val="0"/>
      </c:catAx>
      <c:valAx>
        <c:axId val="3820769"/>
        <c:scaling>
          <c:orientation val="minMax"/>
        </c:scaling>
        <c:delete val="0"/>
        <c:axPos val="l"/>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66755254"/>
        <c:crosses val="autoZero"/>
        <c:crossBetween val="between"/>
      </c:valAx>
      <c:spPr>
        <a:noFill/>
        <a:ln w="0">
          <a:solidFill>
            <a:srgbClr val="b3b3b3"/>
          </a:solidFill>
        </a:ln>
      </c:spPr>
    </c:plotArea>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Motiv Office">
  <a:themeElements>
    <a:clrScheme name="Kancelář">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LibreOffice/24.2.1.2$Linux_X86_64 LibreOffice_project/420$Build-2</Application>
  <AppVersion>15.0000</AppVersion>
  <Pages>14</Pages>
  <Words>1693</Words>
  <Characters>10475</Characters>
  <CharactersWithSpaces>12000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2021-01-08T09:24:00Z</dcterms:created>
  <dc:creator>Ing. Stanislava Dvořáková, Ph.D.</dc:creator>
  <dc:description/>
  <dc:language>en-US</dc:language>
  <cp:lastModifiedBy/>
  <cp:lastPrinted>2021-01-11T20:11:00Z</cp:lastPrinted>
  <dcterms:modified xsi:type="dcterms:W3CDTF">2024-03-21T20:17:41Z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