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375BD2" w:sz="24"/>
        </w:pBdr>
        <w:spacing w:before="0" w:after="0"/>
      </w:pP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spacing w:before="0" w:after="160"/>
        <w:jc w:val="center"/>
      </w:pPr>
      <w:r>
        <w:rPr>
          <w:rFonts w:ascii="Arial" w:cs="Arial" w:eastAsia="Arial" w:hAnsi="Arial"/>
          <w:b/>
          <w:bCs/>
          <w:color w:val="1A2F6B"/>
          <w:sz w:val="72"/>
          <w:szCs w:val="72"/>
        </w:rPr>
        <w:t xml:space="preserve">Agent Attestation Service</w:t>
      </w:r>
    </w:p>
    <w:p>
      <w:pPr>
        <w:spacing w:before="0" w:after="80"/>
        <w:jc w:val="center"/>
      </w:pPr>
      <w:r>
        <w:rPr>
          <w:rFonts w:ascii="Arial" w:cs="Arial" w:eastAsia="Arial" w:hAnsi="Arial"/>
          <w:color w:val="2E4DA0"/>
          <w:sz w:val="40"/>
          <w:szCs w:val="40"/>
        </w:rPr>
        <w:t xml:space="preserve">Technical Specification</w:t>
      </w:r>
    </w:p>
    <w:p>
      <w:pPr>
        <w:spacing w:before="200" w:after="600"/>
        <w:jc w:val="center"/>
      </w:pPr>
      <w:r>
        <w:rPr>
          <w:rFonts w:ascii="Arial" w:cs="Arial" w:eastAsia="Arial" w:hAnsi="Arial"/>
          <w:i/>
          <w:iCs/>
          <w:color w:val="4A5568"/>
          <w:sz w:val="26"/>
          <w:szCs w:val="26"/>
        </w:rPr>
        <w:t xml:space="preserve">A Verifiable Reputation &amp; Trust Layer for Autonomous AI Agents</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E2E8F0" w:sz="1"/>
              <w:left w:val="single" w:color="E2E8F0" w:sz="1"/>
              <w:bottom w:val="single" w:color="E2E8F0" w:sz="1"/>
              <w:right w:val="single" w:color="E2E8F0" w:sz="1"/>
            </w:tcBorders>
            <w:shd w:fill="EEF2FB" w:val="clear"/>
            <w:tcMar>
              <w:top w:type="dxa" w:w="80"/>
              <w:left w:type="dxa" w:w="140"/>
              <w:bottom w:type="dxa" w:w="80"/>
              <w:right w:type="dxa" w:w="140"/>
            </w:tcMar>
          </w:tcPr>
          <w:p>
            <w:pPr>
              <w:spacing w:before="0" w:after="0"/>
            </w:pPr>
            <w:r>
              <w:rPr>
                <w:rFonts w:ascii="Arial" w:cs="Arial" w:eastAsia="Arial" w:hAnsi="Arial"/>
                <w:b/>
                <w:bCs/>
                <w:color w:val="2E4DA0"/>
                <w:sz w:val="20"/>
                <w:szCs w:val="20"/>
              </w:rPr>
              <w:t xml:space="preserve">Hackathon</w:t>
            </w:r>
          </w:p>
        </w:tc>
        <w:tc>
          <w:tcPr>
            <w:tcW w:type="dxa" w:w="3600"/>
            <w:tcBorders>
              <w:top w:val="single" w:color="E2E8F0" w:sz="1"/>
              <w:left w:val="single" w:color="E2E8F0" w:sz="1"/>
              <w:bottom w:val="single" w:color="E2E8F0" w:sz="1"/>
              <w:right w:val="single" w:color="E2E8F0" w:sz="1"/>
            </w:tcBorders>
            <w:shd w:fill="EEF2FB"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Convergence: A Chainlink Hackathon 2026</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b/>
                <w:bCs/>
                <w:color w:val="2E4DA0"/>
                <w:sz w:val="20"/>
                <w:szCs w:val="20"/>
              </w:rPr>
              <w:t xml:space="preserve">Submission Deadline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March 1, 2026</w:t>
            </w:r>
          </w:p>
        </w:tc>
      </w:tr>
      <w:tr>
        <w:tc>
          <w:tcPr>
            <w:tcW w:type="dxa" w:w="2400"/>
            <w:tcBorders>
              <w:top w:val="single" w:color="E2E8F0" w:sz="1"/>
              <w:left w:val="single" w:color="E2E8F0" w:sz="1"/>
              <w:bottom w:val="single" w:color="E2E8F0" w:sz="1"/>
              <w:right w:val="single" w:color="E2E8F0" w:sz="1"/>
            </w:tcBorders>
            <w:shd w:fill="EEF2FB" w:val="clear"/>
            <w:tcMar>
              <w:top w:type="dxa" w:w="80"/>
              <w:left w:type="dxa" w:w="140"/>
              <w:bottom w:type="dxa" w:w="80"/>
              <w:right w:type="dxa" w:w="140"/>
            </w:tcMar>
          </w:tcPr>
          <w:p>
            <w:pPr>
              <w:spacing w:before="0" w:after="0"/>
            </w:pPr>
            <w:r>
              <w:rPr>
                <w:rFonts w:ascii="Arial" w:cs="Arial" w:eastAsia="Arial" w:hAnsi="Arial"/>
                <w:b/>
                <w:bCs/>
                <w:color w:val="2E4DA0"/>
                <w:sz w:val="20"/>
                <w:szCs w:val="20"/>
              </w:rPr>
              <w:t xml:space="preserve">Primary Track</w:t>
            </w:r>
          </w:p>
        </w:tc>
        <w:tc>
          <w:tcPr>
            <w:tcW w:type="dxa" w:w="3600"/>
            <w:tcBorders>
              <w:top w:val="single" w:color="E2E8F0" w:sz="1"/>
              <w:left w:val="single" w:color="E2E8F0" w:sz="1"/>
              <w:bottom w:val="single" w:color="E2E8F0" w:sz="1"/>
              <w:right w:val="single" w:color="E2E8F0" w:sz="1"/>
            </w:tcBorders>
            <w:shd w:fill="EEF2FB"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CRE &amp; AI Agents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b/>
                <w:bCs/>
                <w:color w:val="2E4DA0"/>
                <w:sz w:val="20"/>
                <w:szCs w:val="20"/>
              </w:rPr>
              <w:t xml:space="preserve">Secondary Track</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Privacy / Confidential Compute</w:t>
            </w:r>
          </w:p>
        </w:tc>
      </w:tr>
      <w:tr>
        <w:tc>
          <w:tcPr>
            <w:tcW w:type="dxa" w:w="2400"/>
            <w:tcBorders>
              <w:top w:val="single" w:color="E2E8F0" w:sz="1"/>
              <w:left w:val="single" w:color="E2E8F0" w:sz="1"/>
              <w:bottom w:val="single" w:color="E2E8F0" w:sz="1"/>
              <w:right w:val="single" w:color="E2E8F0" w:sz="1"/>
            </w:tcBorders>
            <w:shd w:fill="EEF2FB" w:val="clear"/>
            <w:tcMar>
              <w:top w:type="dxa" w:w="80"/>
              <w:left w:type="dxa" w:w="140"/>
              <w:bottom w:type="dxa" w:w="80"/>
              <w:right w:type="dxa" w:w="140"/>
            </w:tcMar>
          </w:tcPr>
          <w:p>
            <w:pPr>
              <w:spacing w:before="0" w:after="0"/>
            </w:pPr>
            <w:r>
              <w:rPr>
                <w:rFonts w:ascii="Arial" w:cs="Arial" w:eastAsia="Arial" w:hAnsi="Arial"/>
                <w:b/>
                <w:bCs/>
                <w:color w:val="2E4DA0"/>
                <w:sz w:val="20"/>
                <w:szCs w:val="20"/>
              </w:rPr>
              <w:t xml:space="preserve">Core Technologies</w:t>
            </w:r>
          </w:p>
        </w:tc>
        <w:tc>
          <w:tcPr>
            <w:tcW w:type="dxa" w:w="3600"/>
            <w:tcBorders>
              <w:top w:val="single" w:color="E2E8F0" w:sz="1"/>
              <w:left w:val="single" w:color="E2E8F0" w:sz="1"/>
              <w:bottom w:val="single" w:color="E2E8F0" w:sz="1"/>
              <w:right w:val="single" w:color="E2E8F0" w:sz="1"/>
            </w:tcBorders>
            <w:shd w:fill="EEF2FB"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CRE · EAS · ZK Proofs (UltraHonk) · Confidential HTTP</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b/>
                <w:bCs/>
                <w:color w:val="2E4DA0"/>
                <w:sz w:val="20"/>
                <w:szCs w:val="20"/>
              </w:rPr>
              <w:t xml:space="preserve">Document Version</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2.0</w:t>
            </w:r>
          </w:p>
        </w:tc>
      </w:tr>
    </w:tbl>
    <w:p>
      <w:pPr>
        <w:spacing w:before="0" w:after="80"/>
      </w:pP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pBdr>
          <w:bottom w:val="single" w:color="375BD2" w:sz="12"/>
        </w:pBdr>
        <w:spacing w:before="0" w:after="80"/>
        <w:jc w:val="center"/>
      </w:pPr>
      <w:r>
        <w:rPr>
          <w:rFonts w:ascii="Arial" w:cs="Arial" w:eastAsia="Arial" w:hAnsi="Arial"/>
          <w:i/>
          <w:iCs/>
          <w:color w:val="4A5568"/>
          <w:sz w:val="18"/>
          <w:szCs w:val="18"/>
        </w:rPr>
        <w:t xml:space="preserve">CONFIDENTIAL — HACKATHON SUBMISSION DRAFT</w:t>
      </w:r>
    </w:p>
    <w:p>
      <w:r>
        <w:br w:type="page"/>
      </w:r>
    </w:p>
    <w:p>
      <w:pPr>
        <w:pStyle w:val="Heading1"/>
        <w:pBdr>
          <w:bottom w:val="single" w:color="375BD2" w:sz="8" w:space="4"/>
        </w:pBdr>
        <w:spacing w:before="480" w:after="160"/>
      </w:pPr>
      <w:r>
        <w:rPr>
          <w:rFonts w:ascii="Arial" w:cs="Arial" w:eastAsia="Arial" w:hAnsi="Arial"/>
          <w:b/>
          <w:bCs/>
          <w:color w:val="1A2F6B"/>
          <w:sz w:val="36"/>
          <w:szCs w:val="36"/>
        </w:rPr>
        <w:t xml:space="preserve">1. Executive Summary</w:t>
      </w:r>
    </w:p>
    <w:p>
      <w:pPr>
        <w:spacing w:before="0" w:after="160"/>
      </w:pPr>
      <w:r>
        <w:rPr>
          <w:rFonts w:ascii="Arial" w:cs="Arial" w:eastAsia="Arial" w:hAnsi="Arial"/>
          <w:color w:val="2D3748"/>
          <w:sz w:val="22"/>
          <w:szCs w:val="22"/>
        </w:rPr>
        <w:t xml:space="preserve">Agent Attestation Service (AAS) is a CRE-native infrastructure primitive that solves a foundational problem in multi-agent AI systems: how do autonomous agents establish trust with each other without exposing sensitive performance data?</w:t>
      </w:r>
    </w:p>
    <w:p>
      <w:pPr>
        <w:spacing w:before="0" w:after="160"/>
      </w:pPr>
      <w:r>
        <w:rPr>
          <w:rFonts w:ascii="Arial" w:cs="Arial" w:eastAsia="Arial" w:hAnsi="Arial"/>
          <w:color w:val="2D3748"/>
          <w:sz w:val="22"/>
          <w:szCs w:val="22"/>
        </w:rPr>
        <w:t xml:space="preserve">AAS enables AI agents to earn verifiable, privacy-preserving credentials attesting to their capabilities and track records. These credentials are generated through Chainlink Runtime Environment (CRE) workflows, protected using zero-knowledge proofs, and anchored permanently on-chain via the Ethereum Attestation Service (EAS). Any agent — or smart contract — can verify another agent's trustworthiness in seconds, without ever seeing the underlying raw data.</w:t>
      </w:r>
    </w:p>
    <w:p>
      <w:pPr>
        <w:spacing w:before="0" w:after="80"/>
      </w:pPr>
      <w:r>
        <w:rPr>
          <w:rFonts w:ascii="Arial" w:cs="Arial" w:eastAsia="Arial" w:hAnsi="Arial"/>
          <w:sz w:val="22"/>
          <w:szCs w:val="22"/>
        </w:rPr>
        <w:t xml:space="preserve"/>
      </w:r>
    </w:p>
    <w:tbl>
      <w:tblPr>
        <w:tblW w:type="dxa" w:w="9360"/>
        <w:tblBorders>
          <w:top w:val="single" w:color="375BD2" w:sz="6"/>
          <w:left w:val="single" w:color="375BD2" w:sz="6"/>
          <w:bottom w:val="single" w:color="375BD2" w:sz="2"/>
          <w:right w:val="single" w:color="375BD2" w:sz="2"/>
          <w:insideH w:val="single" w:color="auto" w:sz="4"/>
          <w:insideV w:val="single" w:color="auto" w:sz="4"/>
        </w:tblBorders>
      </w:tblPr>
      <w:tblGrid>
        <w:gridCol w:w="9360"/>
      </w:tblGrid>
      <w:tr>
        <w:tc>
          <w:tcPr>
            <w:tcW w:type="dxa" w:w="9360"/>
            <w:shd w:fill="EEF2FB" w:val="clear"/>
            <w:tcMar>
              <w:top w:type="dxa" w:w="120"/>
              <w:left w:type="dxa" w:w="180"/>
              <w:bottom w:type="dxa" w:w="120"/>
              <w:right w:type="dxa" w:w="180"/>
            </w:tcMar>
          </w:tcPr>
          <w:p>
            <w:pPr>
              <w:spacing w:before="0" w:after="0"/>
            </w:pPr>
            <w:r>
              <w:rPr>
                <w:rFonts w:ascii="Arial" w:cs="Arial" w:eastAsia="Arial" w:hAnsi="Arial"/>
                <w:b/>
                <w:bCs/>
                <w:color w:val="375BD2"/>
                <w:sz w:val="20"/>
                <w:szCs w:val="20"/>
              </w:rPr>
              <w:t xml:space="preserve">Core Value Proposition:  </w:t>
            </w:r>
            <w:r>
              <w:rPr>
                <w:rFonts w:ascii="Arial" w:cs="Arial" w:eastAsia="Arial" w:hAnsi="Arial"/>
                <w:color w:val="2D3748"/>
                <w:sz w:val="20"/>
                <w:szCs w:val="20"/>
              </w:rPr>
              <w:t xml:space="preserve">AAS is the trust handshake layer that multi-agent AI systems are missing. It makes agent reputation verifiable, private, portable, and interoperable — across chains, across teams, and across enterprise boundaries.</w:t>
            </w:r>
          </w:p>
        </w:tc>
      </w:tr>
    </w:tbl>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Key Capabilities</w:t>
      </w:r>
    </w:p>
    <w:p>
      <w:pPr>
        <w:pStyle w:val="ListParagraph"/>
        <w:numPr>
          <w:ilvl w:val="0"/>
          <w:numId w:val="2"/>
        </w:numPr>
        <w:spacing w:before="0" w:after="100"/>
      </w:pPr>
      <w:r>
        <w:rPr>
          <w:rFonts w:ascii="Arial" w:cs="Arial" w:eastAsia="Arial" w:hAnsi="Arial"/>
          <w:color w:val="2D3748"/>
          <w:sz w:val="22"/>
          <w:szCs w:val="22"/>
        </w:rPr>
        <w:t xml:space="preserve">Two-tier attestation system solves the cold start problem: STANDARD tier (10+ tasks, 70%+ success) for new agents, VERIFIED tier (100+ tasks, 95%+ success) for production-grade trust</w:t>
      </w:r>
    </w:p>
    <w:p>
      <w:pPr>
        <w:pStyle w:val="ListParagraph"/>
        <w:numPr>
          <w:ilvl w:val="0"/>
          <w:numId w:val="2"/>
        </w:numPr>
        <w:spacing w:before="0" w:after="100"/>
      </w:pPr>
      <w:r>
        <w:rPr>
          <w:rFonts w:ascii="Arial" w:cs="Arial" w:eastAsia="Arial" w:hAnsi="Arial"/>
          <w:color w:val="2D3748"/>
          <w:sz w:val="22"/>
          <w:szCs w:val="22"/>
        </w:rPr>
        <w:t xml:space="preserve">Agents self-attest capabilities via CRE-orchestrated workflows with automatic tier progression</w:t>
      </w:r>
    </w:p>
    <w:p>
      <w:pPr>
        <w:pStyle w:val="ListParagraph"/>
        <w:numPr>
          <w:ilvl w:val="0"/>
          <w:numId w:val="2"/>
        </w:numPr>
        <w:spacing w:before="0" w:after="100"/>
      </w:pPr>
      <w:r>
        <w:rPr>
          <w:rFonts w:ascii="Arial" w:cs="Arial" w:eastAsia="Arial" w:hAnsi="Arial"/>
          <w:color w:val="2D3748"/>
          <w:sz w:val="22"/>
          <w:szCs w:val="22"/>
        </w:rPr>
        <w:t xml:space="preserve">Zero-knowledge proofs (UltraHonk) allow threshold claims without revealing raw task history</w:t>
      </w:r>
    </w:p>
    <w:p>
      <w:pPr>
        <w:pStyle w:val="ListParagraph"/>
        <w:numPr>
          <w:ilvl w:val="0"/>
          <w:numId w:val="2"/>
        </w:numPr>
        <w:spacing w:before="0" w:after="100"/>
      </w:pPr>
      <w:r>
        <w:rPr>
          <w:rFonts w:ascii="Arial" w:cs="Arial" w:eastAsia="Arial" w:hAnsi="Arial"/>
          <w:color w:val="2D3748"/>
          <w:sz w:val="22"/>
          <w:szCs w:val="22"/>
        </w:rPr>
        <w:t xml:space="preserve">EAS anchors all attestations permanently and verifiably on-chain with expiry management</w:t>
      </w:r>
    </w:p>
    <w:p>
      <w:pPr>
        <w:pStyle w:val="ListParagraph"/>
        <w:numPr>
          <w:ilvl w:val="0"/>
          <w:numId w:val="2"/>
        </w:numPr>
        <w:spacing w:before="0" w:after="100"/>
      </w:pPr>
      <w:r>
        <w:rPr>
          <w:rFonts w:ascii="Arial" w:cs="Arial" w:eastAsia="Arial" w:hAnsi="Arial"/>
          <w:color w:val="2D3748"/>
          <w:sz w:val="22"/>
          <w:szCs w:val="22"/>
        </w:rPr>
        <w:t xml:space="preserve">CRE Confidential HTTP fetches private performance data without exposing credentials or raw responses</w:t>
      </w:r>
    </w:p>
    <w:p>
      <w:pPr>
        <w:pStyle w:val="ListParagraph"/>
        <w:numPr>
          <w:ilvl w:val="0"/>
          <w:numId w:val="2"/>
        </w:numPr>
        <w:spacing w:before="0" w:after="100"/>
      </w:pPr>
      <w:r>
        <w:rPr>
          <w:rFonts w:ascii="Arial" w:cs="Arial" w:eastAsia="Arial" w:hAnsi="Arial"/>
          <w:color w:val="2D3748"/>
          <w:sz w:val="22"/>
          <w:szCs w:val="22"/>
        </w:rPr>
        <w:t xml:space="preserve">Agent-to-agent verification with tier filtering and recency requirements</w:t>
      </w:r>
    </w:p>
    <w:p>
      <w:pPr>
        <w:pStyle w:val="ListParagraph"/>
        <w:numPr>
          <w:ilvl w:val="0"/>
          <w:numId w:val="2"/>
        </w:numPr>
        <w:spacing w:before="0" w:after="100"/>
      </w:pPr>
      <w:r>
        <w:rPr>
          <w:rFonts w:ascii="Arial" w:cs="Arial" w:eastAsia="Arial" w:hAnsi="Arial"/>
          <w:color w:val="2D3748"/>
          <w:sz w:val="22"/>
          <w:szCs w:val="22"/>
        </w:rPr>
        <w:t xml:space="preserve">Revocation mechanism for compromised agents with immediate trust invalidation</w:t>
      </w:r>
    </w:p>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Hackathon Track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Track</w:t>
            </w:r>
          </w:p>
        </w:tc>
        <w:tc>
          <w:tcPr>
            <w:tcW w:type="dxa" w:w="616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How AAS Qualifies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CRE &amp; AI Agents (Primary)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CRE orchestrates the full attestation lifecycle — task completion triggers, confidential data fetch, ZK proof generation, and EAS submission</w:t>
            </w:r>
          </w:p>
        </w:tc>
      </w:tr>
      <w:tr>
        <w:tc>
          <w:tcPr>
            <w:tcW w:type="dxa" w:w="3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Privacy / Confidential Compute (Secondary)</w:t>
            </w:r>
          </w:p>
        </w:tc>
        <w:tc>
          <w:tcPr>
            <w:tcW w:type="dxa" w:w="6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Confidential HTTP in CRE keeps raw agent performance data private; ZK proofs expose only threshold-level claims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Thirdweb + CRE (Tertiary)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Frontend dashboard built with Thirdweb SDK for browsing, verifying, and requesting agent attestations</w:t>
            </w:r>
          </w:p>
        </w:tc>
      </w:tr>
    </w:tbl>
    <w:p>
      <w:pPr>
        <w:spacing w:before="0" w:after="80"/>
      </w:pPr>
      <w:r>
        <w:rPr>
          <w:rFonts w:ascii="Arial" w:cs="Arial" w:eastAsia="Arial" w:hAnsi="Arial"/>
          <w:sz w:val="22"/>
          <w:szCs w:val="22"/>
        </w:rPr>
        <w:t xml:space="preserve"/>
      </w:r>
    </w:p>
    <w:p>
      <w:r>
        <w:br w:type="page"/>
      </w:r>
    </w:p>
    <w:p>
      <w:pPr>
        <w:pStyle w:val="Heading1"/>
        <w:pBdr>
          <w:bottom w:val="single" w:color="375BD2" w:sz="8" w:space="4"/>
        </w:pBdr>
        <w:spacing w:before="480" w:after="160"/>
      </w:pPr>
      <w:r>
        <w:rPr>
          <w:rFonts w:ascii="Arial" w:cs="Arial" w:eastAsia="Arial" w:hAnsi="Arial"/>
          <w:b/>
          <w:bCs/>
          <w:color w:val="1A2F6B"/>
          <w:sz w:val="36"/>
          <w:szCs w:val="36"/>
        </w:rPr>
        <w:t xml:space="preserve">2. Problem Statement</w:t>
      </w:r>
    </w:p>
    <w:p>
      <w:pPr>
        <w:spacing w:before="0" w:after="160"/>
      </w:pPr>
      <w:r>
        <w:rPr>
          <w:rFonts w:ascii="Arial" w:cs="Arial" w:eastAsia="Arial" w:hAnsi="Arial"/>
          <w:color w:val="2D3748"/>
          <w:sz w:val="22"/>
          <w:szCs w:val="22"/>
        </w:rPr>
        <w:t xml:space="preserve">As AI agent frameworks mature — LangChain, AutoGPT, CrewAI, and emerging Web3-native agent platforms — a critical infrastructure gap has emerged: agents cannot trust each other.</w:t>
      </w:r>
    </w:p>
    <w:p>
      <w:pPr>
        <w:spacing w:before="0" w:after="160"/>
      </w:pPr>
      <w:r>
        <w:rPr>
          <w:rFonts w:ascii="Arial" w:cs="Arial" w:eastAsia="Arial" w:hAnsi="Arial"/>
          <w:color w:val="2D3748"/>
          <w:sz w:val="22"/>
          <w:szCs w:val="22"/>
        </w:rPr>
        <w:t xml:space="preserve">When Agent A wants to delegate a subtask to Agent B, or when a smart contract wants to release payment to an agent upon task completion, there is no standard, verifiable, privacy-preserving mechanism to answer the question: 'Is this agent capable and trustworthy?'</w:t>
      </w:r>
    </w:p>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Current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Problem</w:t>
            </w:r>
          </w:p>
        </w:tc>
        <w:tc>
          <w:tcPr>
            <w:tcW w:type="dxa" w:w="636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Description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No verifiable agent credentials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Agent capabilities are self-declared strings with no cryptographic backing — trivially spoofable</w:t>
            </w:r>
          </w:p>
        </w:tc>
      </w:tr>
      <w:tr>
        <w:tc>
          <w:tcPr>
            <w:tcW w:type="dxa" w:w="30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Centralized reputation silos</w:t>
            </w:r>
          </w:p>
        </w:tc>
        <w:tc>
          <w:tcPr>
            <w:tcW w:type="dxa" w:w="63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Each platform maintains its own agent rating system; credentials don't port across ecosystems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Privacy vs. transparency tradeoff</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Publishing raw task histories to prove performance violates data confidentiality and competitive privacy</w:t>
            </w:r>
          </w:p>
        </w:tc>
      </w:tr>
      <w:tr>
        <w:tc>
          <w:tcPr>
            <w:tcW w:type="dxa" w:w="30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No agent-to-agent trust protocol</w:t>
            </w:r>
          </w:p>
        </w:tc>
        <w:tc>
          <w:tcPr>
            <w:tcW w:type="dxa" w:w="63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Multi-agent orchestration lacks a standard handshake for capability verification before delegation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Cold start problem</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New agents with zero history cannot get work, but cannot build history without getting work</w:t>
            </w:r>
          </w:p>
        </w:tc>
      </w:tr>
      <w:tr>
        <w:tc>
          <w:tcPr>
            <w:tcW w:type="dxa" w:w="30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Enterprise adoption barrier</w:t>
            </w:r>
          </w:p>
        </w:tc>
        <w:tc>
          <w:tcPr>
            <w:tcW w:type="dxa" w:w="63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Enterprises cannot deploy agents into shared workflows without auditable, privacy-compliant trust mechanisms</w:t>
            </w:r>
          </w:p>
        </w:tc>
      </w:tr>
    </w:tbl>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Why Chainlink Is the Right Foundation</w:t>
      </w:r>
    </w:p>
    <w:p>
      <w:pPr>
        <w:spacing w:before="0" w:after="160"/>
      </w:pPr>
      <w:r>
        <w:rPr>
          <w:rFonts w:ascii="Arial" w:cs="Arial" w:eastAsia="Arial" w:hAnsi="Arial"/>
          <w:color w:val="2D3748"/>
          <w:sz w:val="22"/>
          <w:szCs w:val="22"/>
        </w:rPr>
        <w:t xml:space="preserve">Chainlink's infrastructure is uniquely positioned to solve this because CRE can orchestrate workflows that span off-chain data sources, ZK proof systems, and on-chain registries — all through a single, battle-tested runtime. No other platform combines confidential off-chain compute with verifiable on-chain anchoring at production grade.</w:t>
      </w:r>
    </w:p>
    <w:p>
      <w:pPr>
        <w:spacing w:before="0" w:after="80"/>
      </w:pPr>
      <w:r>
        <w:rPr>
          <w:rFonts w:ascii="Arial" w:cs="Arial" w:eastAsia="Arial" w:hAnsi="Arial"/>
          <w:sz w:val="22"/>
          <w:szCs w:val="22"/>
        </w:rPr>
        <w:t xml:space="preserve"/>
      </w:r>
    </w:p>
    <w:p>
      <w:r>
        <w:br w:type="page"/>
      </w:r>
    </w:p>
    <w:p>
      <w:pPr>
        <w:pStyle w:val="Heading1"/>
        <w:pBdr>
          <w:bottom w:val="single" w:color="375BD2" w:sz="8" w:space="4"/>
        </w:pBdr>
        <w:spacing w:before="480" w:after="160"/>
      </w:pPr>
      <w:r>
        <w:rPr>
          <w:rFonts w:ascii="Arial" w:cs="Arial" w:eastAsia="Arial" w:hAnsi="Arial"/>
          <w:b/>
          <w:bCs/>
          <w:color w:val="1A2F6B"/>
          <w:sz w:val="36"/>
          <w:szCs w:val="36"/>
        </w:rPr>
        <w:t xml:space="preserve">3. System Architecture</w:t>
      </w:r>
    </w:p>
    <w:p>
      <w:pPr>
        <w:spacing w:before="0" w:after="160"/>
      </w:pPr>
      <w:r>
        <w:rPr>
          <w:rFonts w:ascii="Arial" w:cs="Arial" w:eastAsia="Arial" w:hAnsi="Arial"/>
          <w:color w:val="2D3748"/>
          <w:sz w:val="22"/>
          <w:szCs w:val="22"/>
        </w:rPr>
        <w:t xml:space="preserve">AAS is composed of five tightly integrated layers. CRE acts as the central orchestration backbone — every data flow passes through it. The diagram below describes the full system from trigger to verification.</w:t>
      </w:r>
    </w:p>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3.1 Architecture Overview</w:t>
      </w:r>
    </w:p>
    <w:tbl>
      <w:tblPr>
        <w:tblW w:type="dxa" w:w="9360"/>
        <w:tblBorders>
          <w:top w:val="single" w:color="375BD2" w:sz="4"/>
          <w:left w:val="single" w:color="375BD2" w:sz="4"/>
          <w:bottom w:val="single" w:color="375BD2" w:sz="4"/>
          <w:right w:val="single" w:color="375BD2"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AGENT ATTESTATION SERVICE                        │</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CRE-Native Architecture                         │</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    Task Complete     ┌─────────────────────────────┐  </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  AI Agent │ ──────────────────▶  │    CRE Workflow Engine       │  </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 (OpenClaw)│                      │  (Orchestration Backbone)   │  </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                      └──────┬──────────────────────┘  </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                          </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  </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                             │                      │  </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                             ▼                      ▼  </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     ┌───────────────────┐    ┌────────────────┐</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  Confidential     │     │   ZK Proof        │    │  EAS Contract  │</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  HTTP (CRE)       │────▶│   Generator       │───▶│  (On-chain)    │</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  [Private API]    │     │   (UltraHonk)     │    │  Attestation   │</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     └───────────────────┘    └────────────────┘</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        </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        </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                           </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                  </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  Reputation     │                  </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  Graph (IPFS)   │                  </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                  </w:t>
            </w:r>
          </w:p>
        </w:tc>
      </w:tr>
    </w:tbl>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3.2 The Five Layers</w:t>
      </w:r>
    </w:p>
    <w:p>
      <w:pPr>
        <w:pStyle w:val="Heading3"/>
        <w:spacing w:before="240" w:after="80"/>
      </w:pPr>
      <w:r>
        <w:rPr>
          <w:rFonts w:ascii="Arial" w:cs="Arial" w:eastAsia="Arial" w:hAnsi="Arial"/>
          <w:b/>
          <w:bCs/>
          <w:color w:val="4A5568"/>
          <w:sz w:val="24"/>
          <w:szCs w:val="24"/>
        </w:rPr>
        <w:t xml:space="preserve">Layer 1 — Trigger &amp; Event Detection</w:t>
      </w:r>
    </w:p>
    <w:p>
      <w:pPr>
        <w:spacing w:before="0" w:after="160"/>
      </w:pPr>
      <w:r>
        <w:rPr>
          <w:rFonts w:ascii="Arial" w:cs="Arial" w:eastAsia="Arial" w:hAnsi="Arial"/>
          <w:color w:val="2D3748"/>
          <w:sz w:val="22"/>
          <w:szCs w:val="22"/>
        </w:rPr>
        <w:t xml:space="preserve">Every attestation flow begins when an agent signals task completion. In the hackathon MVP, this is a CRE workflow triggered by a signed HTTP callback from the agent runtime. The workflow validates the trigger, authenticates the agent identity (via Ethereum wallet signature), and kicks off the attestation pipeline.</w:t>
      </w:r>
    </w:p>
    <w:p>
      <w:pPr>
        <w:spacing w:before="0" w:after="80"/>
      </w:pPr>
      <w:r>
        <w:rPr>
          <w:rFonts w:ascii="Arial" w:cs="Arial" w:eastAsia="Arial" w:hAnsi="Arial"/>
          <w:sz w:val="22"/>
          <w:szCs w:val="22"/>
        </w:rPr>
        <w:t xml:space="preserve"/>
      </w:r>
    </w:p>
    <w:tbl>
      <w:tblPr>
        <w:tblW w:type="dxa" w:w="9360"/>
        <w:tblBorders>
          <w:top w:val="single" w:color="375BD2" w:sz="6"/>
          <w:left w:val="single" w:color="375BD2" w:sz="6"/>
          <w:bottom w:val="single" w:color="375BD2" w:sz="2"/>
          <w:right w:val="single" w:color="375BD2" w:sz="2"/>
          <w:insideH w:val="single" w:color="auto" w:sz="4"/>
          <w:insideV w:val="single" w:color="auto" w:sz="4"/>
        </w:tblBorders>
      </w:tblPr>
      <w:tblGrid>
        <w:gridCol w:w="9360"/>
      </w:tblGrid>
      <w:tr>
        <w:tc>
          <w:tcPr>
            <w:tcW w:type="dxa" w:w="9360"/>
            <w:shd w:fill="EEF2FB" w:val="clear"/>
            <w:tcMar>
              <w:top w:type="dxa" w:w="120"/>
              <w:left w:type="dxa" w:w="180"/>
              <w:bottom w:type="dxa" w:w="120"/>
              <w:right w:type="dxa" w:w="180"/>
            </w:tcMar>
          </w:tcPr>
          <w:p>
            <w:pPr>
              <w:spacing w:before="0" w:after="0"/>
            </w:pPr>
            <w:r>
              <w:rPr>
                <w:rFonts w:ascii="Arial" w:cs="Arial" w:eastAsia="Arial" w:hAnsi="Arial"/>
                <w:b/>
                <w:bCs/>
                <w:color w:val="375BD2"/>
                <w:sz w:val="20"/>
                <w:szCs w:val="20"/>
              </w:rPr>
              <w:t xml:space="preserve">CRE Integration Point:  </w:t>
            </w:r>
            <w:r>
              <w:rPr>
                <w:rFonts w:ascii="Arial" w:cs="Arial" w:eastAsia="Arial" w:hAnsi="Arial"/>
                <w:color w:val="2D3748"/>
                <w:sz w:val="20"/>
                <w:szCs w:val="20"/>
              </w:rPr>
              <w:t xml:space="preserve">The trigger listener is implemented as a CRE workflow step using the HTTP trigger capability. This is where CRE becomes the genuine orchestration backbone — not a wrapper, but the first point of entry.</w:t>
            </w:r>
          </w:p>
        </w:tc>
      </w:tr>
    </w:tbl>
    <w:p>
      <w:pPr>
        <w:spacing w:before="0" w:after="80"/>
      </w:pPr>
      <w:r>
        <w:rPr>
          <w:rFonts w:ascii="Arial" w:cs="Arial" w:eastAsia="Arial" w:hAnsi="Arial"/>
          <w:sz w:val="22"/>
          <w:szCs w:val="22"/>
        </w:rPr>
        <w:t xml:space="preserve"/>
      </w:r>
    </w:p>
    <w:p>
      <w:pPr>
        <w:pStyle w:val="Heading3"/>
        <w:spacing w:before="240" w:after="80"/>
      </w:pPr>
      <w:r>
        <w:rPr>
          <w:rFonts w:ascii="Arial" w:cs="Arial" w:eastAsia="Arial" w:hAnsi="Arial"/>
          <w:b/>
          <w:bCs/>
          <w:color w:val="4A5568"/>
          <w:sz w:val="24"/>
          <w:szCs w:val="24"/>
        </w:rPr>
        <w:t xml:space="preserve">Layer 2 — Confidential Performance Fetch</w:t>
      </w:r>
    </w:p>
    <w:p>
      <w:pPr>
        <w:spacing w:before="0" w:after="160"/>
      </w:pPr>
      <w:r>
        <w:rPr>
          <w:rFonts w:ascii="Arial" w:cs="Arial" w:eastAsia="Arial" w:hAnsi="Arial"/>
          <w:color w:val="2D3748"/>
          <w:sz w:val="22"/>
          <w:szCs w:val="22"/>
        </w:rPr>
        <w:t xml:space="preserve">CRE's Confidential HTTP capability fetches the agent's raw performance data from an off-chain API. The request parameters, API credentials, and full response are kept confidential — they never appear in any public log, transaction, or node broadcast. Only a cryptographic commitment to the result leaves the confidential enclave.</w:t>
      </w:r>
    </w:p>
    <w:p>
      <w:pPr>
        <w:spacing w:before="0" w:after="80"/>
      </w:pPr>
      <w:r>
        <w:rPr>
          <w:rFonts w:ascii="Arial" w:cs="Arial" w:eastAsia="Arial" w:hAnsi="Arial"/>
          <w:sz w:val="22"/>
          <w:szCs w:val="22"/>
        </w:rPr>
        <w:t xml:space="preserve"/>
      </w:r>
    </w:p>
    <w:tbl>
      <w:tblPr>
        <w:tblW w:type="dxa" w:w="9360"/>
        <w:tblBorders>
          <w:top w:val="single" w:color="375BD2" w:sz="4"/>
          <w:left w:val="single" w:color="375BD2" w:sz="4"/>
          <w:bottom w:val="single" w:color="375BD2" w:sz="4"/>
          <w:right w:val="single" w:color="375BD2"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CRE Confidential HTTP Workflow Step</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"type": "confidential_http",</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"url": "https://api.agent-platform.com/v1/performance",</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"method": "POST",</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"headers": {</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"Authorization": "Bearer {{secrets.AGENT_API_KEY}}"</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"body": {</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"agent_id": "{{trigger.agent_id}}",</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"period": "all_time"</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"output_commitment": true</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w:t>
            </w:r>
          </w:p>
        </w:tc>
      </w:tr>
    </w:tbl>
    <w:p>
      <w:pPr>
        <w:spacing w:before="0" w:after="80"/>
      </w:pPr>
      <w:r>
        <w:rPr>
          <w:rFonts w:ascii="Arial" w:cs="Arial" w:eastAsia="Arial" w:hAnsi="Arial"/>
          <w:sz w:val="22"/>
          <w:szCs w:val="22"/>
        </w:rPr>
        <w:t xml:space="preserve"/>
      </w:r>
    </w:p>
    <w:p>
      <w:pPr>
        <w:pStyle w:val="Heading3"/>
        <w:spacing w:before="240" w:after="80"/>
      </w:pPr>
      <w:r>
        <w:rPr>
          <w:rFonts w:ascii="Arial" w:cs="Arial" w:eastAsia="Arial" w:hAnsi="Arial"/>
          <w:b/>
          <w:bCs/>
          <w:color w:val="4A5568"/>
          <w:sz w:val="24"/>
          <w:szCs w:val="24"/>
        </w:rPr>
        <w:t xml:space="preserve">Layer 3 — ZK Proof Generation</w:t>
      </w:r>
    </w:p>
    <w:p>
      <w:pPr>
        <w:spacing w:before="0" w:after="160"/>
      </w:pPr>
      <w:r>
        <w:rPr>
          <w:rFonts w:ascii="Arial" w:cs="Arial" w:eastAsia="Arial" w:hAnsi="Arial"/>
          <w:color w:val="2D3748"/>
          <w:sz w:val="22"/>
          <w:szCs w:val="22"/>
        </w:rPr>
        <w:t xml:space="preserve">Using the privately fetched performance data, a ZK circuit proves a specific threshold claim without revealing the underlying numbers. For the MVP, we target one primary claim: 'This agent has completed more than N tasks with a success rate greater than P%.</w:t>
      </w:r>
    </w:p>
    <w:p>
      <w:pPr>
        <w:spacing w:before="0" w:after="160"/>
      </w:pPr>
      <w:r>
        <w:rPr>
          <w:rFonts w:ascii="Arial" w:cs="Arial" w:eastAsia="Arial" w:hAnsi="Arial"/>
          <w:color w:val="2D3748"/>
          <w:sz w:val="22"/>
          <w:szCs w:val="22"/>
        </w:rPr>
        <w:t xml:space="preserve">The circuit is implemented in Noir (Aztec's ZK language) and compiled to UltraHonk proofs via the Barretenberg backend. UltraHonk is Aztec's latest proof system, offering 5-50x faster proving times than Groth16 while maintaining reasonable verification costs. The prover runs inside the CRE workflow execution environment.</w:t>
      </w:r>
    </w:p>
    <w:p>
      <w:pPr>
        <w:spacing w:before="0" w:after="80"/>
      </w:pPr>
      <w:r>
        <w:rPr>
          <w:rFonts w:ascii="Arial" w:cs="Arial" w:eastAsia="Arial" w:hAnsi="Arial"/>
          <w:sz w:val="22"/>
          <w:szCs w:val="22"/>
        </w:rPr>
        <w:t xml:space="preserve"/>
      </w:r>
    </w:p>
    <w:tbl>
      <w:tblPr>
        <w:tblW w:type="dxa" w:w="9360"/>
        <w:tblBorders>
          <w:top w:val="single" w:color="375BD2" w:sz="4"/>
          <w:left w:val="single" w:color="375BD2" w:sz="4"/>
          <w:bottom w:val="single" w:color="375BD2" w:sz="4"/>
          <w:right w:val="single" w:color="375BD2"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Noir ZK Circuit — Capability Threshold Proof</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fn main(</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task_count: Field,       // private</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success_count: Field,    // private</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threshold_tasks: pub Field,</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threshold_rate_bps: pub Field   // e.g. 9500 = 95.00%</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 Prove task_count &gt;= threshold_tasks</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assert(task_count as u64 &gt;= threshold_tasks as u64);</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 Prove success_rate &gt;= threshold_rate_bps</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 success_rate = (success_count / task_count) * 10000</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let rate = (success_count * 10000) / task_count;</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assert(rate as u64 &gt;= threshold_rate_bps as u64);</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w:t>
            </w:r>
          </w:p>
        </w:tc>
      </w:tr>
    </w:tbl>
    <w:p>
      <w:pPr>
        <w:spacing w:before="0" w:after="80"/>
      </w:pPr>
      <w:r>
        <w:rPr>
          <w:rFonts w:ascii="Arial" w:cs="Arial" w:eastAsia="Arial" w:hAnsi="Arial"/>
          <w:sz w:val="22"/>
          <w:szCs w:val="22"/>
        </w:rPr>
        <w:t xml:space="preserve"/>
      </w:r>
    </w:p>
    <w:p>
      <w:pPr>
        <w:pStyle w:val="Heading3"/>
        <w:spacing w:before="240" w:after="80"/>
      </w:pPr>
      <w:r>
        <w:rPr>
          <w:rFonts w:ascii="Arial" w:cs="Arial" w:eastAsia="Arial" w:hAnsi="Arial"/>
          <w:b/>
          <w:bCs/>
          <w:color w:val="4A5568"/>
          <w:sz w:val="24"/>
          <w:szCs w:val="24"/>
        </w:rPr>
        <w:t xml:space="preserve">Layer 4 — EAS Attestation (On-chain Anchor)</w:t>
      </w:r>
    </w:p>
    <w:p>
      <w:pPr>
        <w:spacing w:before="0" w:after="160"/>
      </w:pPr>
      <w:r>
        <w:rPr>
          <w:rFonts w:ascii="Arial" w:cs="Arial" w:eastAsia="Arial" w:hAnsi="Arial"/>
          <w:color w:val="2D3748"/>
          <w:sz w:val="22"/>
          <w:szCs w:val="22"/>
        </w:rPr>
        <w:t xml:space="preserve">The ZK proof, along with the agent's identity and a metadata struct, is submitted to the Ethereum Attestation Service contract. EAS creates a permanent, indexed, chain-native record — a structured attestation that any wallet, contract, or agent can query in real time.</w:t>
      </w:r>
    </w:p>
    <w:p>
      <w:pPr>
        <w:spacing w:before="0" w:after="160"/>
      </w:pPr>
      <w:r>
        <w:rPr>
          <w:rFonts w:ascii="Arial" w:cs="Arial" w:eastAsia="Arial" w:hAnsi="Arial"/>
          <w:color w:val="2D3748"/>
          <w:sz w:val="22"/>
          <w:szCs w:val="22"/>
        </w:rPr>
        <w:t xml:space="preserve">AAS supports two attestation tiers to address the cold start problem: STANDARD tier (10+ tasks at 70%+ success rate) serves as a bootstrap credential for new agents, while VERIFIED tier (100+ tasks at 95%+ success rate) provides production-grade trust guarantees. STANDARD attestations never expire, establishing permanent proof that an agent completed the onboarding phase. VERIFIED attestations expire after 90 days and must be renewed, ensuring high-tier credentials reflect current performance rather than historical reputation.</w:t>
      </w:r>
    </w:p>
    <w:p>
      <w:pPr>
        <w:spacing w:before="0" w:after="80"/>
      </w:pPr>
      <w:r>
        <w:rPr>
          <w:rFonts w:ascii="Arial" w:cs="Arial" w:eastAsia="Arial" w:hAnsi="Arial"/>
          <w:sz w:val="22"/>
          <w:szCs w:val="22"/>
        </w:rPr>
        <w:t xml:space="preserve"/>
      </w:r>
    </w:p>
    <w:tbl>
      <w:tblPr>
        <w:tblW w:type="dxa" w:w="9360"/>
        <w:tblBorders>
          <w:top w:val="single" w:color="375BD2" w:sz="4"/>
          <w:left w:val="single" w:color="375BD2" w:sz="4"/>
          <w:bottom w:val="single" w:color="375BD2" w:sz="4"/>
          <w:right w:val="single" w:color="375BD2"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AAS EAS Schema Definition</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struct AgentAttestation {</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bytes32  agentId;         // keccak256 of agent wallet address</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bytes32  schemaId;        // AAS capability schema UID</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string   tier;            // 'STANDARD' or 'VERIFIED'</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uint64   taskThreshold;   // minimum tasks proven</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uint64   rateThresholdBps;// minimum success rate proven (bps)</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bytes    zkProof;         // UltraHonk proof bytes</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bytes32  publicInputsHash;// hash of public inputs</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uint64   issuedAt;        // block timestamp</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uint64   expiresAt;       // 0 for STANDARD, timestamp for VERIFIED</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address  attester;        // CRE workflow EOA</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bool     revoked;         // revocation flag</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w:t>
            </w:r>
          </w:p>
        </w:tc>
      </w:tr>
    </w:tbl>
    <w:p>
      <w:pPr>
        <w:spacing w:before="0" w:after="80"/>
      </w:pPr>
      <w:r>
        <w:rPr>
          <w:rFonts w:ascii="Arial" w:cs="Arial" w:eastAsia="Arial" w:hAnsi="Arial"/>
          <w:sz w:val="22"/>
          <w:szCs w:val="22"/>
        </w:rPr>
        <w:t xml:space="preserve"/>
      </w:r>
    </w:p>
    <w:p>
      <w:pPr>
        <w:pStyle w:val="Heading3"/>
        <w:spacing w:before="240" w:after="80"/>
      </w:pPr>
      <w:r>
        <w:rPr>
          <w:rFonts w:ascii="Arial" w:cs="Arial" w:eastAsia="Arial" w:hAnsi="Arial"/>
          <w:b/>
          <w:bCs/>
          <w:color w:val="4A5568"/>
          <w:sz w:val="24"/>
          <w:szCs w:val="24"/>
        </w:rPr>
        <w:t xml:space="preserve">Layer 5 — Agent-to-Agent Verification &amp; Reputation Graph</w:t>
      </w:r>
    </w:p>
    <w:p>
      <w:pPr>
        <w:spacing w:before="0" w:after="160"/>
      </w:pPr>
      <w:r>
        <w:rPr>
          <w:rFonts w:ascii="Arial" w:cs="Arial" w:eastAsia="Arial" w:hAnsi="Arial"/>
          <w:color w:val="2D3748"/>
          <w:sz w:val="22"/>
          <w:szCs w:val="22"/>
        </w:rPr>
        <w:t xml:space="preserve">Any requesting agent can initiate a CRE workflow that queries EAS for another agent's attestations, verifies the ZK proof on-chain, and returns a structured trust verdict with tier and recency information. This forms the basis of the reputation graph — a directed graph of endorsements and verified capability links stored in IPFS with on-chain commitment hashes.</w:t>
      </w:r>
    </w:p>
    <w:p>
      <w:pPr>
        <w:spacing w:before="0" w:after="80"/>
      </w:pPr>
      <w:r>
        <w:rPr>
          <w:rFonts w:ascii="Arial" w:cs="Arial" w:eastAsia="Arial" w:hAnsi="Arial"/>
          <w:sz w:val="22"/>
          <w:szCs w:val="22"/>
        </w:rPr>
        <w:t xml:space="preserve"/>
      </w:r>
    </w:p>
    <w:p>
      <w:r>
        <w:br w:type="page"/>
      </w:r>
    </w:p>
    <w:p>
      <w:pPr>
        <w:pStyle w:val="Heading1"/>
        <w:pBdr>
          <w:bottom w:val="single" w:color="375BD2" w:sz="8" w:space="4"/>
        </w:pBdr>
        <w:spacing w:before="480" w:after="160"/>
      </w:pPr>
      <w:r>
        <w:rPr>
          <w:rFonts w:ascii="Arial" w:cs="Arial" w:eastAsia="Arial" w:hAnsi="Arial"/>
          <w:b/>
          <w:bCs/>
          <w:color w:val="1A2F6B"/>
          <w:sz w:val="36"/>
          <w:szCs w:val="36"/>
        </w:rPr>
        <w:t xml:space="preserve">4. CRE Workflow Specifications</w:t>
      </w:r>
    </w:p>
    <w:p>
      <w:pPr>
        <w:spacing w:before="0" w:after="160"/>
      </w:pPr>
      <w:r>
        <w:rPr>
          <w:rFonts w:ascii="Arial" w:cs="Arial" w:eastAsia="Arial" w:hAnsi="Arial"/>
          <w:color w:val="2D3748"/>
          <w:sz w:val="22"/>
          <w:szCs w:val="22"/>
        </w:rPr>
        <w:t xml:space="preserve">Three distinct CRE workflows power the AAS lifecycle. Each workflow is independently deployable and composable — other teams can integrate individual workflows without adopting the full AAS stack.</w:t>
      </w:r>
    </w:p>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4.1 Workflow A — Attestation Issuance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Stage</w:t>
            </w:r>
          </w:p>
        </w:tc>
        <w:tc>
          <w:tcPr>
            <w:tcW w:type="dxa" w:w="716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Details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Trigger</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HTTP POST from agent runtime (signed by agent wallet) with requested tier</w:t>
            </w:r>
          </w:p>
        </w:tc>
      </w:tr>
      <w:tr>
        <w:tc>
          <w:tcPr>
            <w:tcW w:type="dxa" w:w="2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Step 1</w:t>
            </w:r>
          </w:p>
        </w:tc>
        <w:tc>
          <w:tcPr>
            <w:tcW w:type="dxa" w:w="7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Validate trigger signature and agent wallet ownership</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Step 2</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Confidential HTTP — fetch agent performance metrics from platform API</w:t>
            </w:r>
          </w:p>
        </w:tc>
      </w:tr>
      <w:tr>
        <w:tc>
          <w:tcPr>
            <w:tcW w:type="dxa" w:w="2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Step 3</w:t>
            </w:r>
          </w:p>
        </w:tc>
        <w:tc>
          <w:tcPr>
            <w:tcW w:type="dxa" w:w="7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Compute ZK proof inputs from confidential response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Step 4</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Generate UltraHonk proof using embedded Noir verifier</w:t>
            </w:r>
          </w:p>
        </w:tc>
      </w:tr>
      <w:tr>
        <w:tc>
          <w:tcPr>
            <w:tcW w:type="dxa" w:w="2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Step 5</w:t>
            </w:r>
          </w:p>
        </w:tc>
        <w:tc>
          <w:tcPr>
            <w:tcW w:type="dxa" w:w="7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Construct EAS attestation struct with tier metadata and submit on-chain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Step 6</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Emit event with attestation UID; update IPFS reputation index</w:t>
            </w:r>
          </w:p>
        </w:tc>
      </w:tr>
      <w:tr>
        <w:tc>
          <w:tcPr>
            <w:tcW w:type="dxa" w:w="2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Output</w:t>
            </w:r>
          </w:p>
        </w:tc>
        <w:tc>
          <w:tcPr>
            <w:tcW w:type="dxa" w:w="7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EAS Attestation UID (bytes32) with tier and expiry information</w:t>
            </w:r>
          </w:p>
        </w:tc>
      </w:tr>
    </w:tbl>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4.2 Workflow B — Attestation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Stage</w:t>
            </w:r>
          </w:p>
        </w:tc>
        <w:tc>
          <w:tcPr>
            <w:tcW w:type="dxa" w:w="716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Details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Trigger</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HTTP GET with agent_id and optional tier/recency filters</w:t>
            </w:r>
          </w:p>
        </w:tc>
      </w:tr>
      <w:tr>
        <w:tc>
          <w:tcPr>
            <w:tcW w:type="dxa" w:w="2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Step 1</w:t>
            </w:r>
          </w:p>
        </w:tc>
        <w:tc>
          <w:tcPr>
            <w:tcW w:type="dxa" w:w="7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Query EAS contract for all attestations by agent_id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Step 2</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Filter attestations matching requested tier and threshold requirements</w:t>
            </w:r>
          </w:p>
        </w:tc>
      </w:tr>
      <w:tr>
        <w:tc>
          <w:tcPr>
            <w:tcW w:type="dxa" w:w="2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Step 3</w:t>
            </w:r>
          </w:p>
        </w:tc>
        <w:tc>
          <w:tcPr>
            <w:tcW w:type="dxa" w:w="7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Check attestation expiry status (VERIFIED tier expires after 90 days)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Step 4</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Call on-chain ZK verifier contract to confirm proof validity</w:t>
            </w:r>
          </w:p>
        </w:tc>
      </w:tr>
      <w:tr>
        <w:tc>
          <w:tcPr>
            <w:tcW w:type="dxa" w:w="2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Step 5</w:t>
            </w:r>
          </w:p>
        </w:tc>
        <w:tc>
          <w:tcPr>
            <w:tcW w:type="dxa" w:w="7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Aggregate trust verdict with tier information and return structured JSON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Output</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 verified: bool, tier: string, attestation_uid: bytes32, expires_at: timestamp }</w:t>
            </w:r>
          </w:p>
        </w:tc>
      </w:tr>
    </w:tbl>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4.3 Workflow C — Reputation Graph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Stage</w:t>
            </w:r>
          </w:p>
        </w:tc>
        <w:tc>
          <w:tcPr>
            <w:tcW w:type="dxa" w:w="716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Details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Trigger</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On-chain EAS attestation event (log subscription)</w:t>
            </w:r>
          </w:p>
        </w:tc>
      </w:tr>
      <w:tr>
        <w:tc>
          <w:tcPr>
            <w:tcW w:type="dxa" w:w="2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Step 1</w:t>
            </w:r>
          </w:p>
        </w:tc>
        <w:tc>
          <w:tcPr>
            <w:tcW w:type="dxa" w:w="7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Fetch new attestation data from EAS indexer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Step 2</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Load current reputation graph from IPFS</w:t>
            </w:r>
          </w:p>
        </w:tc>
      </w:tr>
      <w:tr>
        <w:tc>
          <w:tcPr>
            <w:tcW w:type="dxa" w:w="2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Step 3</w:t>
            </w:r>
          </w:p>
        </w:tc>
        <w:tc>
          <w:tcPr>
            <w:tcW w:type="dxa" w:w="7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Add new node/edge to graph structure with tier information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Step 4</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Compute updated graph metrics (PageRank, centrality)</w:t>
            </w:r>
          </w:p>
        </w:tc>
      </w:tr>
      <w:tr>
        <w:tc>
          <w:tcPr>
            <w:tcW w:type="dxa" w:w="2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Step 5</w:t>
            </w:r>
          </w:p>
        </w:tc>
        <w:tc>
          <w:tcPr>
            <w:tcW w:type="dxa" w:w="7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Upload updated graph to IPFS; commit hash on-chain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Output</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Updated IPFS CID committed to AAS Registry contract</w:t>
            </w:r>
          </w:p>
        </w:tc>
      </w:tr>
    </w:tbl>
    <w:p>
      <w:pPr>
        <w:spacing w:before="0" w:after="80"/>
      </w:pPr>
      <w:r>
        <w:rPr>
          <w:rFonts w:ascii="Arial" w:cs="Arial" w:eastAsia="Arial" w:hAnsi="Arial"/>
          <w:sz w:val="22"/>
          <w:szCs w:val="22"/>
        </w:rPr>
        <w:t xml:space="preserve"/>
      </w:r>
    </w:p>
    <w:p>
      <w:r>
        <w:br w:type="page"/>
      </w:r>
    </w:p>
    <w:p>
      <w:pPr>
        <w:pStyle w:val="Heading1"/>
        <w:pBdr>
          <w:bottom w:val="single" w:color="375BD2" w:sz="8" w:space="4"/>
        </w:pBdr>
        <w:spacing w:before="480" w:after="160"/>
      </w:pPr>
      <w:r>
        <w:rPr>
          <w:rFonts w:ascii="Arial" w:cs="Arial" w:eastAsia="Arial" w:hAnsi="Arial"/>
          <w:b/>
          <w:bCs/>
          <w:color w:val="1A2F6B"/>
          <w:sz w:val="36"/>
          <w:szCs w:val="36"/>
        </w:rPr>
        <w:t xml:space="preserve">5. Smart Contract Specifications</w:t>
      </w:r>
    </w:p>
    <w:p>
      <w:pPr>
        <w:spacing w:before="0" w:after="160"/>
      </w:pPr>
      <w:r>
        <w:rPr>
          <w:rFonts w:ascii="Arial" w:cs="Arial" w:eastAsia="Arial" w:hAnsi="Arial"/>
          <w:color w:val="2D3748"/>
          <w:sz w:val="22"/>
          <w:szCs w:val="22"/>
        </w:rPr>
        <w:t xml:space="preserve">AAS requires three on-chain contracts. All contracts are designed to be minimal, auditable, and EVM-compatible. They are deployed to Sepolia testnet for the hackathon submission and are structured for production deployment post-hackathon.</w:t>
      </w:r>
    </w:p>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5.1 AASRegistry.sol — Core Registry</w:t>
      </w:r>
    </w:p>
    <w:tbl>
      <w:tblPr>
        <w:tblW w:type="dxa" w:w="9360"/>
        <w:tblBorders>
          <w:top w:val="single" w:color="375BD2" w:sz="4"/>
          <w:left w:val="single" w:color="375BD2" w:sz="4"/>
          <w:bottom w:val="single" w:color="375BD2" w:sz="4"/>
          <w:right w:val="single" w:color="375BD2"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SPDX-License-Identifier: MIT</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pragma solidity ^0.8.24;</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import { IEAS } from '@ethereum-attestation-service/eas-contracts/contracts/IEAS.sol';</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import { ISchemaRegistry } from '@ethereum-attestation-service/eas-contracts/contracts/ISchemaRegistry.sol';</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contract AASRegistry {</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IEAS public immutable eas;</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ISchemaRegistry public immutable schemaRegistry;</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bytes32 public immutable standardTierSchemaUID;</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bytes32 public immutable verifiedTierSchemaUID;</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address public immutable zkVerifier;</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 agentId =&gt; attestation UIDs</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mapping(bytes32 =&gt; bytes32[]) public agentAttestations;</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 IPFS CID of latest reputation graph</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bytes32 public reputationGraphCID;</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event AttestationRegistered(bytes32 indexed agentId, bytes32 uid, string tier);</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event AttestationRevoked(bytes32 indexed agentId, bytes32 uid);</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event ReputationGraphUpdated(bytes32 indexed newCID);</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function registerAttestation(bytes32 agentId, bytes32 uid, string memory tier) external;</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function getAttestations(bytes32 agentId) external view returns (bytes32[] memory);</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function revokeAttestation(bytes32 uid) external onlyAgentOwner;</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function updateReputationGraph(bytes32 newCID) external onlyCREOrchestrator;</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w:t>
            </w:r>
          </w:p>
        </w:tc>
      </w:tr>
    </w:tbl>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5.2 AASZKVerifier.sol — Proof Verification</w:t>
      </w:r>
    </w:p>
    <w:tbl>
      <w:tblPr>
        <w:tblW w:type="dxa" w:w="9360"/>
        <w:tblBorders>
          <w:top w:val="single" w:color="375BD2" w:sz="4"/>
          <w:left w:val="single" w:color="375BD2" w:sz="4"/>
          <w:bottom w:val="single" w:color="375BD2" w:sz="4"/>
          <w:right w:val="single" w:color="375BD2"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UltraHonk verifier generated from Noir circuit compilation</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Verifies the capability threshold ZK proof on-chain</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contract AASZKVerifier {</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 UltraHonk proof structure (generated by Barretenberg)</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struct ProofData {</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bytes proof;           // Full UltraHonk proof bytes</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bytes32 commitment;    // Public inputs commitment</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function verifyCapabilityProof(</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ProofData calldata proof,</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uint256 taskThreshold,      // public input</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uint256 rateThresholdBps,   // public input</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bytes32 publicInputsHash    // commitment</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 external view returns (bool);</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w:t>
            </w:r>
          </w:p>
        </w:tc>
      </w:tr>
    </w:tbl>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5.3 AASSchemas — EAS Schema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Schema Name</w:t>
            </w:r>
          </w:p>
        </w:tc>
        <w:tc>
          <w:tcPr>
            <w:tcW w:type="dxa" w:w="656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Fields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StandardTierAttestation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bytes32 agentId, uint64 taskThreshold (10), uint64 rateThresholdBps (7000), bytes zkProof, bytes32 publicInputsHash, uint64 issuedAt, uint64 expiresAt (0)</w:t>
            </w:r>
          </w:p>
        </w:tc>
      </w:tr>
      <w:tr>
        <w:tc>
          <w:tcPr>
            <w:tcW w:type="dxa" w:w="2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VerifiedTierAttestation</w:t>
            </w:r>
          </w:p>
        </w:tc>
        <w:tc>
          <w:tcPr>
            <w:tcW w:type="dxa" w:w="65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bytes32 agentId, uint64 taskThreshold (100), uint64 rateThresholdBps (9500), bytes zkProof, bytes32 publicInputsHash, uint64 issuedAt, uint64 expiresAt (timestamp)</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EndorsementAttestation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bytes32 endorserAgentId, bytes32 endorsedAgentId, string endorsementType, string context</w:t>
            </w:r>
          </w:p>
        </w:tc>
      </w:tr>
      <w:tr>
        <w:tc>
          <w:tcPr>
            <w:tcW w:type="dxa" w:w="2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TaskCompletionAttestation</w:t>
            </w:r>
          </w:p>
        </w:tc>
        <w:tc>
          <w:tcPr>
            <w:tcW w:type="dxa" w:w="65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bytes32 agentId, bytes32 taskId, bytes32 outcomeHash, bool success</w:t>
            </w:r>
          </w:p>
        </w:tc>
      </w:tr>
    </w:tbl>
    <w:p>
      <w:pPr>
        <w:spacing w:before="0" w:after="80"/>
      </w:pPr>
      <w:r>
        <w:rPr>
          <w:rFonts w:ascii="Arial" w:cs="Arial" w:eastAsia="Arial" w:hAnsi="Arial"/>
          <w:sz w:val="22"/>
          <w:szCs w:val="22"/>
        </w:rPr>
        <w:t xml:space="preserve"/>
      </w:r>
    </w:p>
    <w:p>
      <w:r>
        <w:br w:type="page"/>
      </w:r>
    </w:p>
    <w:p>
      <w:pPr>
        <w:pStyle w:val="Heading1"/>
        <w:pBdr>
          <w:bottom w:val="single" w:color="375BD2" w:sz="8" w:space="4"/>
        </w:pBdr>
        <w:spacing w:before="480" w:after="160"/>
      </w:pPr>
      <w:r>
        <w:rPr>
          <w:rFonts w:ascii="Arial" w:cs="Arial" w:eastAsia="Arial" w:hAnsi="Arial"/>
          <w:b/>
          <w:bCs/>
          <w:color w:val="1A2F6B"/>
          <w:sz w:val="36"/>
          <w:szCs w:val="36"/>
        </w:rPr>
        <w:t xml:space="preserve">6. Zero-Knowledge Proof Design</w:t>
      </w:r>
    </w:p>
    <w:p>
      <w:pPr>
        <w:spacing w:before="0" w:after="160"/>
      </w:pPr>
      <w:r>
        <w:rPr>
          <w:rFonts w:ascii="Arial" w:cs="Arial" w:eastAsia="Arial" w:hAnsi="Arial"/>
          <w:color w:val="2D3748"/>
          <w:sz w:val="22"/>
          <w:szCs w:val="22"/>
        </w:rPr>
        <w:t xml:space="preserve">The ZK proof subsystem is the privacy core of AAS. It enables agents to prove threshold-level claims about their performance history without revealing the actual data underlying those claims.</w:t>
      </w:r>
    </w:p>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6.1 Proof System Selection: UltraHonk</w:t>
      </w:r>
    </w:p>
    <w:p>
      <w:pPr>
        <w:spacing w:before="0" w:after="160"/>
      </w:pPr>
      <w:r>
        <w:rPr>
          <w:rFonts w:ascii="Arial" w:cs="Arial" w:eastAsia="Arial" w:hAnsi="Arial"/>
          <w:color w:val="2D3748"/>
          <w:sz w:val="22"/>
          <w:szCs w:val="22"/>
        </w:rPr>
        <w:t xml:space="preserve">AAS uses UltraHonk, Aztec's latest proof system implemented in the Barretenberg backend. UltraHonk represents a significant advancement over legacy systems like Groth16, offering dramatically faster proving times while maintaining acceptable verification costs.</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Property</w:t>
            </w:r>
          </w:p>
        </w:tc>
        <w:tc>
          <w:tcPr>
            <w:tcW w:type="dxa" w:w="636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Value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Proof System</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UltraHonk (via Noir/Barretenberg backend)</w:t>
            </w:r>
          </w:p>
        </w:tc>
      </w:tr>
      <w:tr>
        <w:tc>
          <w:tcPr>
            <w:tcW w:type="dxa" w:w="30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Circuit Language</w:t>
            </w:r>
          </w:p>
        </w:tc>
        <w:tc>
          <w:tcPr>
            <w:tcW w:type="dxa" w:w="63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Noir v1.0+ (Aztec ZK DSL)</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Proving Speed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5-50x faster than Groth16 on equivalent hardware (~1-2s for MVP circuit)</w:t>
            </w:r>
          </w:p>
        </w:tc>
      </w:tr>
      <w:tr>
        <w:tc>
          <w:tcPr>
            <w:tcW w:type="dxa" w:w="30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Proof Size</w:t>
            </w:r>
          </w:p>
        </w:tc>
        <w:tc>
          <w:tcPr>
            <w:tcW w:type="dxa" w:w="63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~800-1000 bytes (larger than Groth16's ~260 bytes, but still practical)</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Verification Cost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~450,000-550,000 gas on-chain (6-7x higher than Groth16, acceptable for L2/Sepolia)</w:t>
            </w:r>
          </w:p>
        </w:tc>
      </w:tr>
      <w:tr>
        <w:tc>
          <w:tcPr>
            <w:tcW w:type="dxa" w:w="30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Trusted Setup</w:t>
            </w:r>
          </w:p>
        </w:tc>
        <w:tc>
          <w:tcPr>
            <w:tcW w:type="dxa" w:w="63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Universal and updatable setup (no per-circuit ceremony required)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Key Advantage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No circuit-specific trusted setup; same parameters work for all AAS circuits</w:t>
            </w:r>
          </w:p>
        </w:tc>
      </w:tr>
    </w:tbl>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6.2 Why UltraHonk Over Groth16</w:t>
      </w:r>
    </w:p>
    <w:p>
      <w:pPr>
        <w:spacing w:before="0" w:after="160"/>
      </w:pPr>
      <w:r>
        <w:rPr>
          <w:rFonts w:ascii="Arial" w:cs="Arial" w:eastAsia="Arial" w:hAnsi="Arial"/>
          <w:color w:val="2D3748"/>
          <w:sz w:val="22"/>
          <w:szCs w:val="22"/>
        </w:rPr>
        <w:t xml:space="preserve">While Groth16 offers smaller proof sizes (~260 bytes) and lower verification costs (~270k gas), it requires a separate trusted setup ceremony for every circuit. This means any change to the attestation logic — adding new threshold parameters, supporting new tier types, or modifying the ZK circuit — would require a new trusted setup, which is operationally complex and introduces coordination overhead.</w:t>
      </w:r>
    </w:p>
    <w:p>
      <w:pPr>
        <w:spacing w:before="0" w:after="160"/>
      </w:pPr>
      <w:r>
        <w:rPr>
          <w:rFonts w:ascii="Arial" w:cs="Arial" w:eastAsia="Arial" w:hAnsi="Arial"/>
          <w:color w:val="2D3748"/>
          <w:sz w:val="22"/>
          <w:szCs w:val="22"/>
        </w:rPr>
        <w:t xml:space="preserve">UltraHonk uses a universal setup that works across all circuits below a certain size threshold. The same setup parameters can be reused as the AAS system evolves, enabling rapid iteration during development and seamless upgrades in production. For a hackathon MVP deploying to Sepolia (where gas costs are negligible) and targeting future L2 deployment (where gas efficiency matters less), the proving speed advantage of UltraHonk (5-50x faster) outweighs the higher verification cost.</w:t>
      </w:r>
    </w:p>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6.3 Circuit Design — MVP Scope</w:t>
      </w:r>
    </w:p>
    <w:p>
      <w:pPr>
        <w:spacing w:before="0" w:after="160"/>
      </w:pPr>
      <w:r>
        <w:rPr>
          <w:rFonts w:ascii="Arial" w:cs="Arial" w:eastAsia="Arial" w:hAnsi="Arial"/>
          <w:color w:val="2D3748"/>
          <w:sz w:val="22"/>
          <w:szCs w:val="22"/>
        </w:rPr>
        <w:t xml:space="preserve">The MVP circuit proves one compound claim: the agent's task completion count exceeds a minimum threshold AND their success rate exceeds a minimum rate. Both thresholds are public inputs; the actual counts are private witnesses. The same circuit handles both STANDARD tier (10 tasks, 70% rate) and VERIFIED tier (100 tasks, 95% rate) by accepting thresholds as parameters.</w:t>
      </w:r>
    </w:p>
    <w:p>
      <w:pPr>
        <w:spacing w:before="0" w:after="80"/>
      </w:pPr>
      <w:r>
        <w:rPr>
          <w:rFonts w:ascii="Arial" w:cs="Arial" w:eastAsia="Arial" w:hAnsi="Arial"/>
          <w:sz w:val="22"/>
          <w:szCs w:val="22"/>
        </w:rPr>
        <w:t xml:space="preserve"/>
      </w:r>
    </w:p>
    <w:tbl>
      <w:tblPr>
        <w:tblW w:type="dxa" w:w="9360"/>
        <w:tblBorders>
          <w:top w:val="single" w:color="375BD2" w:sz="4"/>
          <w:left w:val="single" w:color="375BD2" w:sz="4"/>
          <w:bottom w:val="single" w:color="375BD2" w:sz="4"/>
          <w:right w:val="single" w:color="375BD2"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Full Noir circuit specification — AAS MVP v2</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use dep::std;</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fn main(</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 Private witnesses (never leave the prover)</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task_count: Field,</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success_count: Field,</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data_commitment_preimage: [Field; 4],  // salted hash of raw data</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 Public inputs (embedded in on-chain proof)</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threshold_tasks: pub Field,</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threshold_rate_bps: pub Field,</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data_commitment: pub Field,    // keccak of preimage, checked by contract</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 1. Verify data commitment integrity</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let commitment = std::hash::keccak256(data_commitment_preimage, 4);</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assert(commitment[0] == data_commitment);</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 2. Prove task count meets minimum</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let tc = task_count as u64;</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let tt = threshold_tasks as u64;</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assert(tc &gt;= tt);</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 3. Prove success rate meets minimum (avoid division; use cross-multiply)</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let sc = success_count as u64;</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let tr = threshold_rate_bps as u64;</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 sc/tc &gt;= tr/10000  ⟺  sc * 10000 &gt;= tr * tc</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assert(sc * 10000 &gt;= tr * tc);</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 4. Sanity: success_count &lt;= task_count</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assert(sc &lt;= tc);</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w:t>
            </w:r>
          </w:p>
        </w:tc>
      </w:tr>
    </w:tbl>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6.4 Proof Generation Flow</w:t>
      </w:r>
    </w:p>
    <w:p>
      <w:pPr>
        <w:pStyle w:val="ListParagraph"/>
        <w:numPr>
          <w:ilvl w:val="0"/>
          <w:numId w:val="3"/>
        </w:numPr>
        <w:spacing w:before="0" w:after="100"/>
      </w:pPr>
      <w:r>
        <w:rPr>
          <w:rFonts w:ascii="Arial" w:cs="Arial" w:eastAsia="Arial" w:hAnsi="Arial"/>
          <w:color w:val="2D3748"/>
          <w:sz w:val="22"/>
          <w:szCs w:val="22"/>
        </w:rPr>
        <w:t xml:space="preserve">Agent runtime POSTs task completion event to CRE workflow endpoint with requested tier</w:t>
      </w:r>
    </w:p>
    <w:p>
      <w:pPr>
        <w:pStyle w:val="ListParagraph"/>
        <w:numPr>
          <w:ilvl w:val="0"/>
          <w:numId w:val="3"/>
        </w:numPr>
        <w:spacing w:before="0" w:after="100"/>
      </w:pPr>
      <w:r>
        <w:rPr>
          <w:rFonts w:ascii="Arial" w:cs="Arial" w:eastAsia="Arial" w:hAnsi="Arial"/>
          <w:color w:val="2D3748"/>
          <w:sz w:val="22"/>
          <w:szCs w:val="22"/>
        </w:rPr>
        <w:t xml:space="preserve">CRE Confidential HTTP fetches raw performance data (task_count, success_count) from platform API</w:t>
      </w:r>
    </w:p>
    <w:p>
      <w:pPr>
        <w:pStyle w:val="ListParagraph"/>
        <w:numPr>
          <w:ilvl w:val="0"/>
          <w:numId w:val="3"/>
        </w:numPr>
        <w:spacing w:before="0" w:after="100"/>
      </w:pPr>
      <w:r>
        <w:rPr>
          <w:rFonts w:ascii="Arial" w:cs="Arial" w:eastAsia="Arial" w:hAnsi="Arial"/>
          <w:color w:val="2D3748"/>
          <w:sz w:val="22"/>
          <w:szCs w:val="22"/>
        </w:rPr>
        <w:t xml:space="preserve">CRE workflow constructs Noir witness: private inputs are fetched values; public inputs are tier thresholds (10/7000 for STANDARD, 100/9500 for VERIFIED)</w:t>
      </w:r>
    </w:p>
    <w:p>
      <w:pPr>
        <w:pStyle w:val="ListParagraph"/>
        <w:numPr>
          <w:ilvl w:val="0"/>
          <w:numId w:val="3"/>
        </w:numPr>
        <w:spacing w:before="0" w:after="100"/>
      </w:pPr>
      <w:r>
        <w:rPr>
          <w:rFonts w:ascii="Arial" w:cs="Arial" w:eastAsia="Arial" w:hAnsi="Arial"/>
          <w:color w:val="2D3748"/>
          <w:sz w:val="22"/>
          <w:szCs w:val="22"/>
        </w:rPr>
        <w:t xml:space="preserve">Embedded prover (nargo prove with UltraHonk backend) generates proof inside CRE execution environment</w:t>
      </w:r>
    </w:p>
    <w:p>
      <w:pPr>
        <w:pStyle w:val="ListParagraph"/>
        <w:numPr>
          <w:ilvl w:val="0"/>
          <w:numId w:val="3"/>
        </w:numPr>
        <w:spacing w:before="0" w:after="100"/>
      </w:pPr>
      <w:r>
        <w:rPr>
          <w:rFonts w:ascii="Arial" w:cs="Arial" w:eastAsia="Arial" w:hAnsi="Arial"/>
          <w:color w:val="2D3748"/>
          <w:sz w:val="22"/>
          <w:szCs w:val="22"/>
        </w:rPr>
        <w:t xml:space="preserve">Proof bytes and public inputs are packed into EAS attestation struct with tier metadata</w:t>
      </w:r>
    </w:p>
    <w:p>
      <w:pPr>
        <w:pStyle w:val="ListParagraph"/>
        <w:numPr>
          <w:ilvl w:val="0"/>
          <w:numId w:val="3"/>
        </w:numPr>
        <w:spacing w:before="0" w:after="100"/>
      </w:pPr>
      <w:r>
        <w:rPr>
          <w:rFonts w:ascii="Arial" w:cs="Arial" w:eastAsia="Arial" w:hAnsi="Arial"/>
          <w:color w:val="2D3748"/>
          <w:sz w:val="22"/>
          <w:szCs w:val="22"/>
        </w:rPr>
        <w:t xml:space="preserve">AASRegistry.sol registers the attestation; AASZKVerifier.sol is referenced for future on-chain verification</w:t>
      </w:r>
    </w:p>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6.5 Roadmap Proof Extensions</w:t>
      </w:r>
    </w:p>
    <w:p>
      <w:pPr>
        <w:pStyle w:val="ListParagraph"/>
        <w:numPr>
          <w:ilvl w:val="0"/>
          <w:numId w:val="2"/>
        </w:numPr>
        <w:spacing w:before="0" w:after="100"/>
      </w:pPr>
      <w:r>
        <w:rPr>
          <w:rFonts w:ascii="Arial" w:cs="Arial" w:eastAsia="Arial" w:hAnsi="Arial"/>
          <w:color w:val="2D3748"/>
          <w:sz w:val="22"/>
          <w:szCs w:val="22"/>
        </w:rPr>
        <w:t xml:space="preserve">Multi-threshold proofs: prove multiple claims (task count, rating, domain specialization) in a single proof using Noir's composable function system</w:t>
      </w:r>
    </w:p>
    <w:p>
      <w:pPr>
        <w:pStyle w:val="ListParagraph"/>
        <w:numPr>
          <w:ilvl w:val="0"/>
          <w:numId w:val="2"/>
        </w:numPr>
        <w:spacing w:before="0" w:after="100"/>
      </w:pPr>
      <w:r>
        <w:rPr>
          <w:rFonts w:ascii="Arial" w:cs="Arial" w:eastAsia="Arial" w:hAnsi="Arial"/>
          <w:color w:val="2D3748"/>
          <w:sz w:val="22"/>
          <w:szCs w:val="22"/>
        </w:rPr>
        <w:t xml:space="preserve">Cross-agent endorsement proofs: prove that a qualifying agent has endorsed you, without revealing the endorsing agent's identity</w:t>
      </w:r>
    </w:p>
    <w:p>
      <w:pPr>
        <w:pStyle w:val="ListParagraph"/>
        <w:numPr>
          <w:ilvl w:val="0"/>
          <w:numId w:val="2"/>
        </w:numPr>
        <w:spacing w:before="0" w:after="100"/>
      </w:pPr>
      <w:r>
        <w:rPr>
          <w:rFonts w:ascii="Arial" w:cs="Arial" w:eastAsia="Arial" w:hAnsi="Arial"/>
          <w:color w:val="2D3748"/>
          <w:sz w:val="22"/>
          <w:szCs w:val="22"/>
        </w:rPr>
        <w:t xml:space="preserve">Time-windowed proofs: prove claims only over a specific time window (e.g., 'last 30 days') using timestamp range constraints</w:t>
      </w:r>
    </w:p>
    <w:p>
      <w:pPr>
        <w:pStyle w:val="ListParagraph"/>
        <w:numPr>
          <w:ilvl w:val="0"/>
          <w:numId w:val="2"/>
        </w:numPr>
        <w:spacing w:before="0" w:after="100"/>
      </w:pPr>
      <w:r>
        <w:rPr>
          <w:rFonts w:ascii="Arial" w:cs="Arial" w:eastAsia="Arial" w:hAnsi="Arial"/>
          <w:color w:val="2D3748"/>
          <w:sz w:val="22"/>
          <w:szCs w:val="22"/>
        </w:rPr>
        <w:t xml:space="preserve">Reputation score range proofs: prove a computed reputation score falls within a specified range</w:t>
      </w:r>
    </w:p>
    <w:p>
      <w:pPr>
        <w:pStyle w:val="ListParagraph"/>
        <w:numPr>
          <w:ilvl w:val="0"/>
          <w:numId w:val="2"/>
        </w:numPr>
        <w:spacing w:before="0" w:after="100"/>
      </w:pPr>
      <w:r>
        <w:rPr>
          <w:rFonts w:ascii="Arial" w:cs="Arial" w:eastAsia="Arial" w:hAnsi="Arial"/>
          <w:color w:val="2D3748"/>
          <w:sz w:val="22"/>
          <w:szCs w:val="22"/>
        </w:rPr>
        <w:t xml:space="preserve">Recursive proofs: aggregate multiple attestations into a single compact proof for gas efficiency</w:t>
      </w:r>
    </w:p>
    <w:p>
      <w:pPr>
        <w:spacing w:before="0" w:after="80"/>
      </w:pPr>
      <w:r>
        <w:rPr>
          <w:rFonts w:ascii="Arial" w:cs="Arial" w:eastAsia="Arial" w:hAnsi="Arial"/>
          <w:sz w:val="22"/>
          <w:szCs w:val="22"/>
        </w:rPr>
        <w:t xml:space="preserve"/>
      </w:r>
    </w:p>
    <w:p>
      <w:r>
        <w:br w:type="page"/>
      </w:r>
    </w:p>
    <w:p>
      <w:pPr>
        <w:pStyle w:val="Heading1"/>
        <w:pBdr>
          <w:bottom w:val="single" w:color="375BD2" w:sz="8" w:space="4"/>
        </w:pBdr>
        <w:spacing w:before="480" w:after="160"/>
      </w:pPr>
      <w:r>
        <w:rPr>
          <w:rFonts w:ascii="Arial" w:cs="Arial" w:eastAsia="Arial" w:hAnsi="Arial"/>
          <w:b/>
          <w:bCs/>
          <w:color w:val="1A2F6B"/>
          <w:sz w:val="36"/>
          <w:szCs w:val="36"/>
        </w:rPr>
        <w:t xml:space="preserve">7. Data Models</w:t>
      </w:r>
    </w:p>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7.1 Agent Identity</w:t>
      </w:r>
    </w:p>
    <w:tbl>
      <w:tblPr>
        <w:tblW w:type="dxa" w:w="9360"/>
        <w:tblBorders>
          <w:top w:val="single" w:color="375BD2" w:sz="4"/>
          <w:left w:val="single" w:color="375BD2" w:sz="4"/>
          <w:bottom w:val="single" w:color="375BD2" w:sz="4"/>
          <w:right w:val="single" w:color="375BD2"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interface AgentIdentity {</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agentId: bytes32;          // keccak256(walletAddress)</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walletAddress: address;    // EOA controlling agent</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platform: string;          // 'openclaw' | 'langchain' | 'custom'</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registeredAt: uint64;      // block timestamp</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metadataURI: string;       // IPFS URI for extended metadata</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w:t>
            </w:r>
          </w:p>
        </w:tc>
      </w:tr>
    </w:tbl>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7.2 Attestation Record</w:t>
      </w:r>
    </w:p>
    <w:tbl>
      <w:tblPr>
        <w:tblW w:type="dxa" w:w="9360"/>
        <w:tblBorders>
          <w:top w:val="single" w:color="375BD2" w:sz="4"/>
          <w:left w:val="single" w:color="375BD2" w:sz="4"/>
          <w:bottom w:val="single" w:color="375BD2" w:sz="4"/>
          <w:right w:val="single" w:color="375BD2"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interface AttestationRecord {</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uid: bytes32;                    // EAS-generated unique ID</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agentId: bytes32;                // keccak256 of agent wallet</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schemaUID: bytes32;              // Standard or Verified tier schema</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tier: 'STANDARD' | 'VERIFIED';   // Explicit tier classification</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attester: address;               // CRE workflow EOA</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taskThreshold: uint64;           // min tasks proven</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rateThresholdBps: uint64;        // min success rate proven (bps)</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zkProof: bytes;                  // UltraHonk proof</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publicInputsHash: bytes32;       // keccak of public inputs</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issuedAt: uint64;                // block.timestamp at issuance</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expiresAt: uint64;               // 0 for STANDARD, timestamp for VERIFIED</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revoked: bool;                   // EAS revocation flag</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revokedAt: uint64;               // Revocation timestamp (0 if not revoked)</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w:t>
            </w:r>
          </w:p>
        </w:tc>
      </w:tr>
    </w:tbl>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7.3 Reputation Graph Node (IPFS)</w:t>
      </w:r>
    </w:p>
    <w:tbl>
      <w:tblPr>
        <w:tblW w:type="dxa" w:w="9360"/>
        <w:tblBorders>
          <w:top w:val="single" w:color="375BD2" w:sz="4"/>
          <w:left w:val="single" w:color="375BD2" w:sz="4"/>
          <w:bottom w:val="single" w:color="375BD2" w:sz="4"/>
          <w:right w:val="single" w:color="375BD2"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interface ReputationNode {</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agentId: string;            // hex bytes32</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attestationUIDs: string[];  // all EAS UIDs for this agent</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currentTier: string;        // highest active tier</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endorsedBy: string[];       // agentIds that have endorsed this agent</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endorses: string[];         // agentIds this agent has endorsed</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pageRankScore: number;      // computed graph centrality</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lastUpdated: number;        // Unix timestamp</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w:t>
            </w:r>
          </w:p>
        </w:tc>
      </w:tr>
    </w:tbl>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7.4 Verification Request / Response</w:t>
      </w:r>
    </w:p>
    <w:tbl>
      <w:tblPr>
        <w:tblW w:type="dxa" w:w="9360"/>
        <w:tblBorders>
          <w:top w:val="single" w:color="375BD2" w:sz="4"/>
          <w:left w:val="single" w:color="375BD2" w:sz="4"/>
          <w:bottom w:val="single" w:color="375BD2" w:sz="4"/>
          <w:right w:val="single" w:color="375BD2"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Request (to CRE Workflow B endpoint)</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interface VerificationRequest {</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agentId: string;             // hex bytes32</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minTier?: 'STANDARD' | 'VERIFIED';  // optional tier filter</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maxAttestationAgeDays?: number;     // optional recency filter</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Response</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interface VerificationResponse {</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verified: boolean;</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tier: 'STANDARD' | 'VERIFIED' | null;</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attestationUID: string | null;</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taskThreshold: number;</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rateBps: number;</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issuedAt: number;</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expiresAt: number;           // 0 for STANDARD (never expires)</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proofValid: boolean;         // result of on-chain ZK verification</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w:t>
            </w:r>
          </w:p>
        </w:tc>
      </w:tr>
    </w:tbl>
    <w:p>
      <w:pPr>
        <w:spacing w:before="0" w:after="80"/>
      </w:pPr>
      <w:r>
        <w:rPr>
          <w:rFonts w:ascii="Arial" w:cs="Arial" w:eastAsia="Arial" w:hAnsi="Arial"/>
          <w:sz w:val="22"/>
          <w:szCs w:val="22"/>
        </w:rPr>
        <w:t xml:space="preserve"/>
      </w:r>
    </w:p>
    <w:p>
      <w:r>
        <w:br w:type="page"/>
      </w:r>
    </w:p>
    <w:p>
      <w:pPr>
        <w:pStyle w:val="Heading1"/>
        <w:pBdr>
          <w:bottom w:val="single" w:color="375BD2" w:sz="8" w:space="4"/>
        </w:pBdr>
        <w:spacing w:before="480" w:after="160"/>
      </w:pPr>
      <w:r>
        <w:rPr>
          <w:rFonts w:ascii="Arial" w:cs="Arial" w:eastAsia="Arial" w:hAnsi="Arial"/>
          <w:b/>
          <w:bCs/>
          <w:color w:val="1A2F6B"/>
          <w:sz w:val="36"/>
          <w:szCs w:val="36"/>
        </w:rPr>
        <w:t xml:space="preserve">8. API Specifications</w:t>
      </w:r>
    </w:p>
    <w:p>
      <w:pPr>
        <w:spacing w:before="0" w:after="160"/>
      </w:pPr>
      <w:r>
        <w:rPr>
          <w:rFonts w:ascii="Arial" w:cs="Arial" w:eastAsia="Arial" w:hAnsi="Arial"/>
          <w:color w:val="2D3748"/>
          <w:sz w:val="22"/>
          <w:szCs w:val="22"/>
        </w:rPr>
        <w:t xml:space="preserve">AAS exposes a RESTful API that wraps the underlying CRE workflows. All endpoints require agent wallet signature authentication.</w:t>
      </w:r>
    </w:p>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8.1 Attestation Issuance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Field</w:t>
            </w:r>
          </w:p>
        </w:tc>
        <w:tc>
          <w:tcPr>
            <w:tcW w:type="dxa" w:w="716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Value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Endpoint</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POST /api/v1/attest</w:t>
            </w:r>
          </w:p>
        </w:tc>
      </w:tr>
      <w:tr>
        <w:tc>
          <w:tcPr>
            <w:tcW w:type="dxa" w:w="2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Auth</w:t>
            </w:r>
          </w:p>
        </w:tc>
        <w:tc>
          <w:tcPr>
            <w:tcW w:type="dxa" w:w="7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X-Agent-Signature: EIP-712 signed request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Body</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 agent_id, platform, tier: 'STANDARD' | 'VERIFIED' }</w:t>
            </w:r>
          </w:p>
        </w:tc>
      </w:tr>
      <w:tr>
        <w:tc>
          <w:tcPr>
            <w:tcW w:type="dxa" w:w="2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Response 200</w:t>
            </w:r>
          </w:p>
        </w:tc>
        <w:tc>
          <w:tcPr>
            <w:tcW w:type="dxa" w:w="7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 uid, attestation_uid, tier, tx_hash, proof_hash, issued_at, expires_at }</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Response 400</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 error: 'THRESHOLD_NOT_MET', tier_attempted, details: {...} }</w:t>
            </w:r>
          </w:p>
        </w:tc>
      </w:tr>
      <w:tr>
        <w:tc>
          <w:tcPr>
            <w:tcW w:type="dxa" w:w="2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Response 401</w:t>
            </w:r>
          </w:p>
        </w:tc>
        <w:tc>
          <w:tcPr>
            <w:tcW w:type="dxa" w:w="7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 error: 'INVALID_SIGNATURE' }</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Notes</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Tier determines thresholds: STANDARD=10/7000, VERIFIED=100/9500. Triggers full CRE workflow.</w:t>
            </w:r>
          </w:p>
        </w:tc>
      </w:tr>
    </w:tbl>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8.2 Attestation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Field</w:t>
            </w:r>
          </w:p>
        </w:tc>
        <w:tc>
          <w:tcPr>
            <w:tcW w:type="dxa" w:w="716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Value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Endpoint</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GET /api/v1/verify/:agent_id</w:t>
            </w:r>
          </w:p>
        </w:tc>
      </w:tr>
      <w:tr>
        <w:tc>
          <w:tcPr>
            <w:tcW w:type="dxa" w:w="2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Query Params</w:t>
            </w:r>
          </w:p>
        </w:tc>
        <w:tc>
          <w:tcPr>
            <w:tcW w:type="dxa" w:w="7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min_tier (STANDARD|VERIFIED), max_age_days, include_expired (all optional)</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Auth</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None required (public endpoint)</w:t>
            </w:r>
          </w:p>
        </w:tc>
      </w:tr>
      <w:tr>
        <w:tc>
          <w:tcPr>
            <w:tcW w:type="dxa" w:w="2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Response 200</w:t>
            </w:r>
          </w:p>
        </w:tc>
        <w:tc>
          <w:tcPr>
            <w:tcW w:type="dxa" w:w="7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 verified, tier, attestation_uid, task_threshold, rate_bps, proof_valid, issued_at, expires_at }</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Response 404</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 error: 'NO_ATTESTATION_FOUND' }</w:t>
            </w:r>
          </w:p>
        </w:tc>
      </w:tr>
      <w:tr>
        <w:tc>
          <w:tcPr>
            <w:tcW w:type="dxa" w:w="2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Notes</w:t>
            </w:r>
          </w:p>
        </w:tc>
        <w:tc>
          <w:tcPr>
            <w:tcW w:type="dxa" w:w="7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Checks expiry automatically; VERIFIED tier attestations expire after 90 days. Results cached 5 min.</w:t>
            </w:r>
          </w:p>
        </w:tc>
      </w:tr>
    </w:tbl>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8.3 Reputation Graph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Field</w:t>
            </w:r>
          </w:p>
        </w:tc>
        <w:tc>
          <w:tcPr>
            <w:tcW w:type="dxa" w:w="716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Value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Endpoint</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GET /api/v1/reputation/:agent_id</w:t>
            </w:r>
          </w:p>
        </w:tc>
      </w:tr>
      <w:tr>
        <w:tc>
          <w:tcPr>
            <w:tcW w:type="dxa" w:w="2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Auth</w:t>
            </w:r>
          </w:p>
        </w:tc>
        <w:tc>
          <w:tcPr>
            <w:tcW w:type="dxa" w:w="7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None required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Response 200</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 agent_id, current_tier, attestations[], endorsers[], endorsees[], page_rank, ipfs_cid }</w:t>
            </w:r>
          </w:p>
        </w:tc>
      </w:tr>
      <w:tr>
        <w:tc>
          <w:tcPr>
            <w:tcW w:type="dxa" w:w="2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Notes</w:t>
            </w:r>
          </w:p>
        </w:tc>
        <w:tc>
          <w:tcPr>
            <w:tcW w:type="dxa" w:w="7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Reads from IPFS using latest committed CID from AASRegistry.sol. Shows tier progression history.</w:t>
            </w:r>
          </w:p>
        </w:tc>
      </w:tr>
    </w:tbl>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8.4 Endorsement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Field</w:t>
            </w:r>
          </w:p>
        </w:tc>
        <w:tc>
          <w:tcPr>
            <w:tcW w:type="dxa" w:w="716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Value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Endpoint</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POST /api/v1/endorse</w:t>
            </w:r>
          </w:p>
        </w:tc>
      </w:tr>
      <w:tr>
        <w:tc>
          <w:tcPr>
            <w:tcW w:type="dxa" w:w="2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Auth</w:t>
            </w:r>
          </w:p>
        </w:tc>
        <w:tc>
          <w:tcPr>
            <w:tcW w:type="dxa" w:w="7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X-Agent-Signature: EIP-712 signed request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Body</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 endorser_agent_id, endorsed_agent_id, endorsement_type, context }</w:t>
            </w:r>
          </w:p>
        </w:tc>
      </w:tr>
      <w:tr>
        <w:tc>
          <w:tcPr>
            <w:tcW w:type="dxa" w:w="2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Response 200</w:t>
            </w:r>
          </w:p>
        </w:tc>
        <w:tc>
          <w:tcPr>
            <w:tcW w:type="dxa" w:w="7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 uid, endorsement_attestation_uid, tx_hash }</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Notes</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Endorsing agent must hold valid attestation (any tier); triggers Workflow C for graph update.</w:t>
            </w:r>
          </w:p>
        </w:tc>
      </w:tr>
    </w:tbl>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8.5 Attestation Revocation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Field</w:t>
            </w:r>
          </w:p>
        </w:tc>
        <w:tc>
          <w:tcPr>
            <w:tcW w:type="dxa" w:w="716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Value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Endpoint</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POST /api/v1/revoke</w:t>
            </w:r>
          </w:p>
        </w:tc>
      </w:tr>
      <w:tr>
        <w:tc>
          <w:tcPr>
            <w:tcW w:type="dxa" w:w="2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Auth</w:t>
            </w:r>
          </w:p>
        </w:tc>
        <w:tc>
          <w:tcPr>
            <w:tcW w:type="dxa" w:w="7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X-Agent-Signature: EIP-712 signed request (must be agent owner)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Body</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 agent_id, attestation_uid (optional, revokes all if omitted), reason }</w:t>
            </w:r>
          </w:p>
        </w:tc>
      </w:tr>
      <w:tr>
        <w:tc>
          <w:tcPr>
            <w:tcW w:type="dxa" w:w="2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Response 200</w:t>
            </w:r>
          </w:p>
        </w:tc>
        <w:tc>
          <w:tcPr>
            <w:tcW w:type="dxa" w:w="7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 revoked_uids[], tx_hash }</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Notes</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Calls EAS.revoke() on-chain. Immediate trust invalidation. Use for compromised agents.</w:t>
            </w:r>
          </w:p>
        </w:tc>
      </w:tr>
    </w:tbl>
    <w:p>
      <w:pPr>
        <w:spacing w:before="0" w:after="80"/>
      </w:pPr>
      <w:r>
        <w:rPr>
          <w:rFonts w:ascii="Arial" w:cs="Arial" w:eastAsia="Arial" w:hAnsi="Arial"/>
          <w:sz w:val="22"/>
          <w:szCs w:val="22"/>
        </w:rPr>
        <w:t xml:space="preserve"/>
      </w:r>
    </w:p>
    <w:p>
      <w:r>
        <w:br w:type="page"/>
      </w:r>
    </w:p>
    <w:p>
      <w:pPr>
        <w:pStyle w:val="Heading1"/>
        <w:pBdr>
          <w:bottom w:val="single" w:color="375BD2" w:sz="8" w:space="4"/>
        </w:pBdr>
        <w:spacing w:before="480" w:after="160"/>
      </w:pPr>
      <w:r>
        <w:rPr>
          <w:rFonts w:ascii="Arial" w:cs="Arial" w:eastAsia="Arial" w:hAnsi="Arial"/>
          <w:b/>
          <w:bCs/>
          <w:color w:val="1A2F6B"/>
          <w:sz w:val="36"/>
          <w:szCs w:val="36"/>
        </w:rPr>
        <w:t xml:space="preserve">9. Attestation Lifecycle Management</w:t>
      </w:r>
    </w:p>
    <w:p>
      <w:pPr>
        <w:spacing w:before="0" w:after="160"/>
      </w:pPr>
      <w:r>
        <w:rPr>
          <w:rFonts w:ascii="Arial" w:cs="Arial" w:eastAsia="Arial" w:hAnsi="Arial"/>
          <w:color w:val="2D3748"/>
          <w:sz w:val="22"/>
          <w:szCs w:val="22"/>
        </w:rPr>
        <w:t xml:space="preserve">Understanding how attestations evolve over an agent's lifetime is critical to using AAS effectively. This section describes the complete journey from new agent registration through tier progression, expiry, renewal, and revocation.</w:t>
      </w:r>
    </w:p>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9.1 The Cold Start Problem &amp; Solution</w:t>
      </w:r>
    </w:p>
    <w:p>
      <w:pPr>
        <w:spacing w:before="0" w:after="160"/>
      </w:pPr>
      <w:r>
        <w:rPr>
          <w:rFonts w:ascii="Arial" w:cs="Arial" w:eastAsia="Arial" w:hAnsi="Arial"/>
          <w:color w:val="2D3748"/>
          <w:sz w:val="22"/>
          <w:szCs w:val="22"/>
        </w:rPr>
        <w:t xml:space="preserve">New agents face a chicken-and-egg problem: they cannot get work without reputation, but they cannot build reputation without doing work. AAS solves this with a two-tier system where entry barriers are deliberately low while maintaining strong guarantees at higher tiers.</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Tier</w:t>
            </w:r>
          </w:p>
        </w:tc>
        <w:tc>
          <w:tcPr>
            <w:tcW w:type="dxa" w:w="716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Details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STANDARD Tier</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Requirements: 10+ tasks, 70%+ success rate. Expiry: Never. Purpose: Bootstrap credential proving the agent completed basic onboarding. Enables low-risk work delegation.</w:t>
            </w:r>
          </w:p>
        </w:tc>
      </w:tr>
      <w:tr>
        <w:tc>
          <w:tcPr>
            <w:tcW w:type="dxa" w:w="2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VERIFIED Tier</w:t>
            </w:r>
          </w:p>
        </w:tc>
        <w:tc>
          <w:tcPr>
            <w:tcW w:type="dxa" w:w="7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Requirements: 100+ tasks, 95%+ success rate. Expiry: 90 days. Purpose: Production-grade trust guarantee. Required for high-value work. Must be renewed quarterly.</w:t>
            </w:r>
          </w:p>
        </w:tc>
      </w:tr>
    </w:tbl>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9.2 Agent Lifecycle Timeline</w:t>
      </w:r>
    </w:p>
    <w:p>
      <w:pPr>
        <w:spacing w:before="0" w:after="160"/>
      </w:pPr>
      <w:r>
        <w:rPr>
          <w:rFonts w:ascii="Arial" w:cs="Arial" w:eastAsia="Arial" w:hAnsi="Arial"/>
          <w:color w:val="2D3748"/>
          <w:sz w:val="22"/>
          <w:szCs w:val="22"/>
        </w:rPr>
        <w:t xml:space="preserve">A typical agent progresses through the following stages:</w:t>
      </w:r>
    </w:p>
    <w:p>
      <w:pPr>
        <w:spacing w:before="0" w:after="80"/>
      </w:pPr>
      <w:r>
        <w:rPr>
          <w:rFonts w:ascii="Arial" w:cs="Arial" w:eastAsia="Arial" w:hAnsi="Arial"/>
          <w:sz w:val="22"/>
          <w:szCs w:val="22"/>
        </w:rPr>
        <w:t xml:space="preserve"/>
      </w:r>
    </w:p>
    <w:p>
      <w:pPr>
        <w:pStyle w:val="Heading3"/>
        <w:spacing w:before="240" w:after="80"/>
      </w:pPr>
      <w:r>
        <w:rPr>
          <w:rFonts w:ascii="Arial" w:cs="Arial" w:eastAsia="Arial" w:hAnsi="Arial"/>
          <w:b/>
          <w:bCs/>
          <w:color w:val="4A5568"/>
          <w:sz w:val="24"/>
          <w:szCs w:val="24"/>
        </w:rPr>
        <w:t xml:space="preserve">Day 0: Registration</w:t>
      </w:r>
    </w:p>
    <w:p>
      <w:pPr>
        <w:spacing w:before="0" w:after="160"/>
      </w:pPr>
      <w:r>
        <w:rPr>
          <w:rFonts w:ascii="Arial" w:cs="Arial" w:eastAsia="Arial" w:hAnsi="Arial"/>
          <w:color w:val="2D3748"/>
          <w:sz w:val="22"/>
          <w:szCs w:val="22"/>
        </w:rPr>
        <w:t xml:space="preserve">Agent registers with AAS, creating an AgentIdentity record. Zero attestations. Status: UNATTESTED. Cannot accept work from trust-requiring clients.</w:t>
      </w:r>
    </w:p>
    <w:p>
      <w:pPr>
        <w:spacing w:before="0" w:after="80"/>
      </w:pPr>
      <w:r>
        <w:rPr>
          <w:rFonts w:ascii="Arial" w:cs="Arial" w:eastAsia="Arial" w:hAnsi="Arial"/>
          <w:sz w:val="22"/>
          <w:szCs w:val="22"/>
        </w:rPr>
        <w:t xml:space="preserve"/>
      </w:r>
    </w:p>
    <w:p>
      <w:pPr>
        <w:pStyle w:val="Heading3"/>
        <w:spacing w:before="240" w:after="80"/>
      </w:pPr>
      <w:r>
        <w:rPr>
          <w:rFonts w:ascii="Arial" w:cs="Arial" w:eastAsia="Arial" w:hAnsi="Arial"/>
          <w:b/>
          <w:bCs/>
          <w:color w:val="4A5568"/>
          <w:sz w:val="24"/>
          <w:szCs w:val="24"/>
        </w:rPr>
        <w:t xml:space="preserve">Days 1-10: Early Tasks</w:t>
      </w:r>
    </w:p>
    <w:p>
      <w:pPr>
        <w:spacing w:before="0" w:after="160"/>
      </w:pPr>
      <w:r>
        <w:rPr>
          <w:rFonts w:ascii="Arial" w:cs="Arial" w:eastAsia="Arial" w:hAnsi="Arial"/>
          <w:color w:val="2D3748"/>
          <w:sz w:val="22"/>
          <w:szCs w:val="22"/>
        </w:rPr>
        <w:t xml:space="preserve">Agent completes first 10 tasks at 80% success rate. Agent requests STANDARD attestation. CRE workflow verifies: 10 ≥ 10 ✓, 8000 bps ≥ 7000 ✓. STANDARD attestation issued (never expires). Agent can now accept low-risk work.</w:t>
      </w:r>
    </w:p>
    <w:p>
      <w:pPr>
        <w:spacing w:before="0" w:after="80"/>
      </w:pPr>
      <w:r>
        <w:rPr>
          <w:rFonts w:ascii="Arial" w:cs="Arial" w:eastAsia="Arial" w:hAnsi="Arial"/>
          <w:sz w:val="22"/>
          <w:szCs w:val="22"/>
        </w:rPr>
        <w:t xml:space="preserve"/>
      </w:r>
    </w:p>
    <w:p>
      <w:pPr>
        <w:pStyle w:val="Heading3"/>
        <w:spacing w:before="240" w:after="80"/>
      </w:pPr>
      <w:r>
        <w:rPr>
          <w:rFonts w:ascii="Arial" w:cs="Arial" w:eastAsia="Arial" w:hAnsi="Arial"/>
          <w:b/>
          <w:bCs/>
          <w:color w:val="4A5568"/>
          <w:sz w:val="24"/>
          <w:szCs w:val="24"/>
        </w:rPr>
        <w:t xml:space="preserve">Days 11-90: Scaling Up</w:t>
      </w:r>
    </w:p>
    <w:p>
      <w:pPr>
        <w:spacing w:before="0" w:after="160"/>
      </w:pPr>
      <w:r>
        <w:rPr>
          <w:rFonts w:ascii="Arial" w:cs="Arial" w:eastAsia="Arial" w:hAnsi="Arial"/>
          <w:color w:val="2D3748"/>
          <w:sz w:val="22"/>
          <w:szCs w:val="22"/>
        </w:rPr>
        <w:t xml:space="preserve">Agent continues working. By day 90: 120 tasks, 92% success rate. Agent requests VERIFIED attestation. CRE workflow verifies: 120 ≥ 100 ✓, 9200 bps ≥ 9500 ✗. Request fails — success rate too low. Agent improves performance. By day 95: 130 tasks, 96% success rate. VERIFIED attestation issued (expires in 90 days). Agent can now accept production work.</w:t>
      </w:r>
    </w:p>
    <w:p>
      <w:pPr>
        <w:spacing w:before="0" w:after="80"/>
      </w:pPr>
      <w:r>
        <w:rPr>
          <w:rFonts w:ascii="Arial" w:cs="Arial" w:eastAsia="Arial" w:hAnsi="Arial"/>
          <w:sz w:val="22"/>
          <w:szCs w:val="22"/>
        </w:rPr>
        <w:t xml:space="preserve"/>
      </w:r>
    </w:p>
    <w:p>
      <w:pPr>
        <w:pStyle w:val="Heading3"/>
        <w:spacing w:before="240" w:after="80"/>
      </w:pPr>
      <w:r>
        <w:rPr>
          <w:rFonts w:ascii="Arial" w:cs="Arial" w:eastAsia="Arial" w:hAnsi="Arial"/>
          <w:b/>
          <w:bCs/>
          <w:color w:val="4A5568"/>
          <w:sz w:val="24"/>
          <w:szCs w:val="24"/>
        </w:rPr>
        <w:t xml:space="preserve">Day 185: Expiry &amp; Renewal</w:t>
      </w:r>
    </w:p>
    <w:p>
      <w:pPr>
        <w:spacing w:before="0" w:after="160"/>
      </w:pPr>
      <w:r>
        <w:rPr>
          <w:rFonts w:ascii="Arial" w:cs="Arial" w:eastAsia="Arial" w:hAnsi="Arial"/>
          <w:color w:val="2D3748"/>
          <w:sz w:val="22"/>
          <w:szCs w:val="22"/>
        </w:rPr>
        <w:t xml:space="preserve">VERIFIED attestation expires (issued day 95 + 90 days = day 185). Agent must renew. Current stats: 600 tasks, 97% success. Agent requests VERIFIED renewal. New attestation issued with fresh 90-day expiry. STANDARD attestation remains valid (never expired).</w:t>
      </w:r>
    </w:p>
    <w:p>
      <w:pPr>
        <w:spacing w:before="0" w:after="80"/>
      </w:pPr>
      <w:r>
        <w:rPr>
          <w:rFonts w:ascii="Arial" w:cs="Arial" w:eastAsia="Arial" w:hAnsi="Arial"/>
          <w:sz w:val="22"/>
          <w:szCs w:val="22"/>
        </w:rPr>
        <w:t xml:space="preserve"/>
      </w:r>
    </w:p>
    <w:p>
      <w:pPr>
        <w:pStyle w:val="Heading3"/>
        <w:spacing w:before="240" w:after="80"/>
      </w:pPr>
      <w:r>
        <w:rPr>
          <w:rFonts w:ascii="Arial" w:cs="Arial" w:eastAsia="Arial" w:hAnsi="Arial"/>
          <w:b/>
          <w:bCs/>
          <w:color w:val="4A5568"/>
          <w:sz w:val="24"/>
          <w:szCs w:val="24"/>
        </w:rPr>
        <w:t xml:space="preserve">Day 200: Performance Degradation</w:t>
      </w:r>
    </w:p>
    <w:p>
      <w:pPr>
        <w:spacing w:before="0" w:after="160"/>
      </w:pPr>
      <w:r>
        <w:rPr>
          <w:rFonts w:ascii="Arial" w:cs="Arial" w:eastAsia="Arial" w:hAnsi="Arial"/>
          <w:color w:val="2D3748"/>
          <w:sz w:val="22"/>
          <w:szCs w:val="22"/>
        </w:rPr>
        <w:t xml:space="preserve">Agent's performance drops. Stats: 700 tasks, 89% success. VERIFIED renewal attempt fails (89% &lt; 95%). Agent falls back to STANDARD tier only. Visible to all verifiers: 'Previously held VERIFIED, downgraded due to performance.'</w:t>
      </w:r>
    </w:p>
    <w:p>
      <w:pPr>
        <w:spacing w:before="0" w:after="80"/>
      </w:pPr>
      <w:r>
        <w:rPr>
          <w:rFonts w:ascii="Arial" w:cs="Arial" w:eastAsia="Arial" w:hAnsi="Arial"/>
          <w:sz w:val="22"/>
          <w:szCs w:val="22"/>
        </w:rPr>
        <w:t xml:space="preserve"/>
      </w:r>
    </w:p>
    <w:p>
      <w:pPr>
        <w:pStyle w:val="Heading3"/>
        <w:spacing w:before="240" w:after="80"/>
      </w:pPr>
      <w:r>
        <w:rPr>
          <w:rFonts w:ascii="Arial" w:cs="Arial" w:eastAsia="Arial" w:hAnsi="Arial"/>
          <w:b/>
          <w:bCs/>
          <w:color w:val="4A5568"/>
          <w:sz w:val="24"/>
          <w:szCs w:val="24"/>
        </w:rPr>
        <w:t xml:space="preserve">Day 210: Security Event</w:t>
      </w:r>
    </w:p>
    <w:p>
      <w:pPr>
        <w:spacing w:before="0" w:after="160"/>
      </w:pPr>
      <w:r>
        <w:rPr>
          <w:rFonts w:ascii="Arial" w:cs="Arial" w:eastAsia="Arial" w:hAnsi="Arial"/>
          <w:color w:val="2D3748"/>
          <w:sz w:val="22"/>
          <w:szCs w:val="22"/>
        </w:rPr>
        <w:t xml:space="preserve">Agent's private key compromised. Owner calls revoke API. All attestations (STANDARD + VERIFIED) marked as revoked on-chain. Agent status: UNTRUSTED. Cannot accept any work until re-registered with new wallet.</w:t>
      </w:r>
    </w:p>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9.3 Attestation Coexistence</w:t>
      </w:r>
    </w:p>
    <w:p>
      <w:pPr>
        <w:spacing w:before="0" w:after="160"/>
      </w:pPr>
      <w:r>
        <w:rPr>
          <w:rFonts w:ascii="Arial" w:cs="Arial" w:eastAsia="Arial" w:hAnsi="Arial"/>
          <w:color w:val="2D3748"/>
          <w:sz w:val="22"/>
          <w:szCs w:val="22"/>
        </w:rPr>
        <w:t xml:space="preserve">Multiple attestations can exist simultaneously for a single agent. Each attestation is a point-in-time snapshot. When verifying an agent, requesters see the full history: which tiers were achieved when, which are currently valid, and which have expired or been revoked. This creates transparent reputation dynamics — agents cannot hide past failures or claim credentials they no longer hold.</w:t>
      </w:r>
    </w:p>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9.4 Verification with Filters</w:t>
      </w:r>
    </w:p>
    <w:p>
      <w:pPr>
        <w:spacing w:before="0" w:after="160"/>
      </w:pPr>
      <w:r>
        <w:rPr>
          <w:rFonts w:ascii="Arial" w:cs="Arial" w:eastAsia="Arial" w:hAnsi="Arial"/>
          <w:color w:val="2D3748"/>
          <w:sz w:val="22"/>
          <w:szCs w:val="22"/>
        </w:rPr>
        <w:t xml:space="preserve">Requesting agents specify their trust requirements when verifying:</w:t>
      </w:r>
    </w:p>
    <w:p>
      <w:pPr>
        <w:spacing w:before="0" w:after="80"/>
      </w:pPr>
      <w:r>
        <w:rPr>
          <w:rFonts w:ascii="Arial" w:cs="Arial" w:eastAsia="Arial" w:hAnsi="Arial"/>
          <w:sz w:val="22"/>
          <w:szCs w:val="22"/>
        </w:rPr>
        <w:t xml:space="preserve"/>
      </w:r>
    </w:p>
    <w:tbl>
      <w:tblPr>
        <w:tblW w:type="dxa" w:w="9360"/>
        <w:tblBorders>
          <w:top w:val="single" w:color="375BD2" w:sz="4"/>
          <w:left w:val="single" w:color="375BD2" w:sz="4"/>
          <w:bottom w:val="single" w:color="375BD2" w:sz="4"/>
          <w:right w:val="single" w:color="375BD2"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Example: High-value task requires recent VERIFIED attestation</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GET /api/v1/verify/0xABC123?min_tier=VERIFIED&amp;max_age_days=30</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Returns 200 only if:</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1. Agent has VERIFIED attestation</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2. Attestation was issued within last 30 days</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3. Attestation has not expired (&lt; 90 days old)</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4. Attestation has not been revoked</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5. ZK proof verifies on-chain</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Example: Low-risk task accepts any valid tier</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GET /api/v1/verify/0xABC123</w:t>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w:r>
          </w:p>
        </w:tc>
      </w:tr>
      <w:tr>
        <w:tc>
          <w:tcPr>
            <w:tcW w:type="dxa" w:w="9360"/>
            <w:tcBorders>
              <w:top w:val="none" w:color="FFFFFF" w:sz="0"/>
              <w:left w:val="none" w:color="FFFFFF" w:sz="0"/>
              <w:bottom w:val="none" w:color="FFFFFF" w:sz="0"/>
              <w:right w:val="none" w:color="FFFFFF" w:sz="0"/>
            </w:tcBorders>
            <w:shd w:fill="F0F4FF" w:val="clear"/>
            <w:tcMar>
              <w:top w:type="dxa" w:w="40"/>
              <w:left w:type="dxa" w:w="180"/>
              <w:bottom w:type="dxa" w:w="40"/>
              <w:right w:type="dxa" w:w="180"/>
            </w:tcMar>
          </w:tcPr>
          <w:p>
            <w:pPr>
              <w:spacing w:before="0" w:after="40"/>
            </w:pPr>
            <w:r>
              <w:rPr>
                <w:rFonts w:ascii="Courier New" w:cs="Courier New" w:eastAsia="Courier New" w:hAnsi="Courier New"/>
                <w:color w:val="1A2F6B"/>
                <w:sz w:val="20"/>
                <w:szCs w:val="20"/>
              </w:rPr>
              <w:t xml:space="preserve">// Returns 200 if agent has ANY valid attestation (STANDARD or VERIFIED)</w:t>
            </w:r>
          </w:p>
        </w:tc>
      </w:tr>
    </w:tbl>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9.5 Expiry Management Best Practices</w:t>
      </w:r>
    </w:p>
    <w:p>
      <w:pPr>
        <w:spacing w:before="0" w:after="160"/>
      </w:pPr>
      <w:r>
        <w:rPr>
          <w:rFonts w:ascii="Arial" w:cs="Arial" w:eastAsia="Arial" w:hAnsi="Arial"/>
          <w:color w:val="2D3748"/>
          <w:sz w:val="22"/>
          <w:szCs w:val="22"/>
        </w:rPr>
        <w:t xml:space="preserve">For agents: Monitor expiry dates of VERIFIED attestations. Request renewal 7-14 days before expiry to avoid service interruption. If renewal fails (performance degraded), improve and retry. STANDARD attestations never expire but may be insufficient for high-value work.</w:t>
      </w:r>
    </w:p>
    <w:p>
      <w:pPr>
        <w:spacing w:before="0" w:after="160"/>
      </w:pPr>
      <w:r>
        <w:rPr>
          <w:rFonts w:ascii="Arial" w:cs="Arial" w:eastAsia="Arial" w:hAnsi="Arial"/>
          <w:color w:val="2D3748"/>
          <w:sz w:val="22"/>
          <w:szCs w:val="22"/>
        </w:rPr>
        <w:t xml:space="preserve">For requesters: Set max_age_days parameter based on risk tolerance. Critical tasks: require attestations &lt; 30 days old. Medium tasks: accept attestations &lt; 60 days. Low-risk tasks: accept any valid attestation regardless of age.</w:t>
      </w:r>
    </w:p>
    <w:p>
      <w:pPr>
        <w:spacing w:before="0" w:after="80"/>
      </w:pPr>
      <w:r>
        <w:rPr>
          <w:rFonts w:ascii="Arial" w:cs="Arial" w:eastAsia="Arial" w:hAnsi="Arial"/>
          <w:sz w:val="22"/>
          <w:szCs w:val="22"/>
        </w:rPr>
        <w:t xml:space="preserve"/>
      </w:r>
    </w:p>
    <w:p>
      <w:r>
        <w:br w:type="page"/>
      </w:r>
    </w:p>
    <w:p>
      <w:pPr>
        <w:pStyle w:val="Heading1"/>
        <w:pBdr>
          <w:bottom w:val="single" w:color="375BD2" w:sz="8" w:space="4"/>
        </w:pBdr>
        <w:spacing w:before="480" w:after="160"/>
      </w:pPr>
      <w:r>
        <w:rPr>
          <w:rFonts w:ascii="Arial" w:cs="Arial" w:eastAsia="Arial" w:hAnsi="Arial"/>
          <w:b/>
          <w:bCs/>
          <w:color w:val="1A2F6B"/>
          <w:sz w:val="36"/>
          <w:szCs w:val="36"/>
        </w:rPr>
        <w:t xml:space="preserve">10. Implementation Plan</w:t>
      </w:r>
    </w:p>
    <w:p>
      <w:pPr>
        <w:spacing w:before="0" w:after="160"/>
      </w:pPr>
      <w:r>
        <w:rPr>
          <w:rFonts w:ascii="Arial" w:cs="Arial" w:eastAsia="Arial" w:hAnsi="Arial"/>
          <w:color w:val="2D3748"/>
          <w:sz w:val="22"/>
          <w:szCs w:val="22"/>
        </w:rPr>
        <w:t xml:space="preserve">Given the 12-day window remaining until the March 1 submission deadline, the implementation is structured into three sprints with clear daily targets and a defined MVP scope boundary.</w:t>
      </w:r>
    </w:p>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10.1 MVP Scope Boundary</w:t>
      </w:r>
    </w:p>
    <w:tbl>
      <w:tblPr>
        <w:tblW w:type="dxa" w:w="9360"/>
        <w:tblBorders>
          <w:top w:val="single" w:color="375BD2" w:sz="6"/>
          <w:left w:val="single" w:color="375BD2" w:sz="6"/>
          <w:bottom w:val="single" w:color="375BD2" w:sz="2"/>
          <w:right w:val="single" w:color="375BD2" w:sz="2"/>
          <w:insideH w:val="single" w:color="auto" w:sz="4"/>
          <w:insideV w:val="single" w:color="auto" w:sz="4"/>
        </w:tblBorders>
      </w:tblPr>
      <w:tblGrid>
        <w:gridCol w:w="9360"/>
      </w:tblGrid>
      <w:tr>
        <w:tc>
          <w:tcPr>
            <w:tcW w:type="dxa" w:w="9360"/>
            <w:shd w:fill="EEF2FB" w:val="clear"/>
            <w:tcMar>
              <w:top w:type="dxa" w:w="120"/>
              <w:left w:type="dxa" w:w="180"/>
              <w:bottom w:type="dxa" w:w="120"/>
              <w:right w:type="dxa" w:w="180"/>
            </w:tcMar>
          </w:tcPr>
          <w:p>
            <w:pPr>
              <w:spacing w:before="0" w:after="0"/>
            </w:pPr>
            <w:r>
              <w:rPr>
                <w:rFonts w:ascii="Arial" w:cs="Arial" w:eastAsia="Arial" w:hAnsi="Arial"/>
                <w:b/>
                <w:bCs/>
                <w:color w:val="375BD2"/>
                <w:sz w:val="20"/>
                <w:szCs w:val="20"/>
              </w:rPr>
              <w:t xml:space="preserve">Rule:  </w:t>
            </w:r>
            <w:r>
              <w:rPr>
                <w:rFonts w:ascii="Arial" w:cs="Arial" w:eastAsia="Arial" w:hAnsi="Arial"/>
                <w:color w:val="2D3748"/>
                <w:sz w:val="20"/>
                <w:szCs w:val="20"/>
              </w:rPr>
              <w:t xml:space="preserve">If it is not listed under 'Build (MVP)' below, it is a roadmap item — explicitly narrated in the submission video and README but not in submitted code. Shipping a flawless MVP beats shipping a broken full system every time.</w:t>
            </w:r>
          </w:p>
        </w:tc>
      </w:tr>
    </w:tbl>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Category</w:t>
            </w:r>
          </w:p>
        </w:tc>
        <w:tc>
          <w:tcPr>
            <w:tcW w:type="dxa" w:w="656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Items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Build (MVP)</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Two-tier attestation system (STANDARD + VERIFIED), CRE Workflow A (attestation issuance with tier support), Confidential HTTP integration, Noir ZK circuit for threshold claims, AASRegistry.sol + AASZKVerifier.sol on Sepolia, EAS schema registration for both tiers, Workflow B (verification with tier filtering and expiry checks), basic revocation support, frontend dashboard showing tier badges and expiry countdown</w:t>
            </w:r>
          </w:p>
        </w:tc>
      </w:tr>
      <w:tr>
        <w:tc>
          <w:tcPr>
            <w:tcW w:type="dxa" w:w="2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Narrate (Roadmap)</w:t>
            </w:r>
          </w:p>
        </w:tc>
        <w:tc>
          <w:tcPr>
            <w:tcW w:type="dxa" w:w="65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Workflow C (reputation graph with PageRank), expanded tier system (5+ levels), rolling window attestations (30/60/90 day performance), automated expiry monitoring and renewal reminders, endorsement-based bootstrapping, reputation score computation, cross-chain attestation portability, enterprise SSO integration, production CRE network deployment</w:t>
            </w:r>
          </w:p>
        </w:tc>
      </w:tr>
    </w:tbl>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10.2 Sprint Plan</w:t>
      </w:r>
    </w:p>
    <w:p>
      <w:pPr>
        <w:pStyle w:val="Heading3"/>
        <w:spacing w:before="240" w:after="80"/>
      </w:pPr>
      <w:r>
        <w:rPr>
          <w:rFonts w:ascii="Arial" w:cs="Arial" w:eastAsia="Arial" w:hAnsi="Arial"/>
          <w:b/>
          <w:bCs/>
          <w:color w:val="4A5568"/>
          <w:sz w:val="24"/>
          <w:szCs w:val="24"/>
        </w:rPr>
        <w:t xml:space="preserve">Sprint 1: Feb 17–20 (Days 1–4) —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Day</w:t>
            </w:r>
          </w:p>
        </w:tc>
        <w:tc>
          <w:tcPr>
            <w:tcW w:type="dxa" w:w="816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Target</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Day 1</w:t>
            </w:r>
          </w:p>
        </w:tc>
        <w:tc>
          <w:tcPr>
            <w:tcW w:type="dxa" w:w="8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Register EAS schemas on Sepolia (STANDARD + VERIFIED). Deploy AASRegistry.sol and AASZKVerifier.sol. Set up CRE workflow project structure.</w:t>
            </w:r>
          </w:p>
        </w:tc>
      </w:tr>
      <w:tr>
        <w:tc>
          <w:tcPr>
            <w:tcW w:type="dxa" w:w="1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Day 2</w:t>
            </w:r>
          </w:p>
        </w:tc>
        <w:tc>
          <w:tcPr>
            <w:tcW w:type="dxa" w:w="8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Write and compile Noir ZK circuit with UltraHonk backend. Run nargo prove locally with test data for both tier thresholds.</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Day 3</w:t>
            </w:r>
          </w:p>
        </w:tc>
        <w:tc>
          <w:tcPr>
            <w:tcW w:type="dxa" w:w="8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Build CRE Workflow A skeleton (trigger → stub outputs). Integrate Confidential HTTP step with mock API.</w:t>
            </w:r>
          </w:p>
        </w:tc>
      </w:tr>
      <w:tr>
        <w:tc>
          <w:tcPr>
            <w:tcW w:type="dxa" w:w="1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Day 4</w:t>
            </w:r>
          </w:p>
        </w:tc>
        <w:tc>
          <w:tcPr>
            <w:tcW w:type="dxa" w:w="8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Connect Confidential HTTP to real agent performance mock API. End-to-end test: trigger → fetch → proof → EAS submit with tier.</w:t>
            </w:r>
          </w:p>
        </w:tc>
      </w:tr>
    </w:tbl>
    <w:p>
      <w:pPr>
        <w:spacing w:before="0" w:after="80"/>
      </w:pPr>
      <w:r>
        <w:rPr>
          <w:rFonts w:ascii="Arial" w:cs="Arial" w:eastAsia="Arial" w:hAnsi="Arial"/>
          <w:sz w:val="22"/>
          <w:szCs w:val="22"/>
        </w:rPr>
        <w:t xml:space="preserve"/>
      </w:r>
    </w:p>
    <w:p>
      <w:pPr>
        <w:pStyle w:val="Heading3"/>
        <w:spacing w:before="240" w:after="80"/>
      </w:pPr>
      <w:r>
        <w:rPr>
          <w:rFonts w:ascii="Arial" w:cs="Arial" w:eastAsia="Arial" w:hAnsi="Arial"/>
          <w:b/>
          <w:bCs/>
          <w:color w:val="4A5568"/>
          <w:sz w:val="24"/>
          <w:szCs w:val="24"/>
        </w:rPr>
        <w:t xml:space="preserve">Sprint 2: Feb 21–25 (Days 5–9) —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Day</w:t>
            </w:r>
          </w:p>
        </w:tc>
        <w:tc>
          <w:tcPr>
            <w:tcW w:type="dxa" w:w="816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Target</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Day 5</w:t>
            </w:r>
          </w:p>
        </w:tc>
        <w:tc>
          <w:tcPr>
            <w:tcW w:type="dxa" w:w="8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Build Workflow B (verification with tier filtering and expiry logic). Wire to AASZKVerifier.sol for on-chain proof check.</w:t>
            </w:r>
          </w:p>
        </w:tc>
      </w:tr>
      <w:tr>
        <w:tc>
          <w:tcPr>
            <w:tcW w:type="dxa" w:w="1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Day 6</w:t>
            </w:r>
          </w:p>
        </w:tc>
        <w:tc>
          <w:tcPr>
            <w:tcW w:type="dxa" w:w="8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Expose REST API wrapper around Workflows A and B with tier parameter support. Test with Postman/curl.</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Day 7</w:t>
            </w:r>
          </w:p>
        </w:tc>
        <w:tc>
          <w:tcPr>
            <w:tcW w:type="dxa" w:w="8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Build frontend dashboard: agent lookup, attestation display with tier badges, expiry countdown, verify button. Thirdweb SDK integration.</w:t>
            </w:r>
          </w:p>
        </w:tc>
      </w:tr>
      <w:tr>
        <w:tc>
          <w:tcPr>
            <w:tcW w:type="dxa" w:w="1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Day 8</w:t>
            </w:r>
          </w:p>
        </w:tc>
        <w:tc>
          <w:tcPr>
            <w:tcW w:type="dxa" w:w="8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Agent-to-agent verification demo: Agent B calls Workflow B before accepting task from Agent A. Test tier filtering.</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Day 9</w:t>
            </w:r>
          </w:p>
        </w:tc>
        <w:tc>
          <w:tcPr>
            <w:tcW w:type="dxa" w:w="8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Full end-to-end rehearsal with tier progression. Fix integration bugs. Write README and architecture docs.</w:t>
            </w:r>
          </w:p>
        </w:tc>
      </w:tr>
    </w:tbl>
    <w:p>
      <w:pPr>
        <w:spacing w:before="0" w:after="80"/>
      </w:pPr>
      <w:r>
        <w:rPr>
          <w:rFonts w:ascii="Arial" w:cs="Arial" w:eastAsia="Arial" w:hAnsi="Arial"/>
          <w:sz w:val="22"/>
          <w:szCs w:val="22"/>
        </w:rPr>
        <w:t xml:space="preserve"/>
      </w:r>
    </w:p>
    <w:p>
      <w:pPr>
        <w:pStyle w:val="Heading3"/>
        <w:spacing w:before="240" w:after="80"/>
      </w:pPr>
      <w:r>
        <w:rPr>
          <w:rFonts w:ascii="Arial" w:cs="Arial" w:eastAsia="Arial" w:hAnsi="Arial"/>
          <w:b/>
          <w:bCs/>
          <w:color w:val="4A5568"/>
          <w:sz w:val="24"/>
          <w:szCs w:val="24"/>
        </w:rPr>
        <w:t xml:space="preserve">Sprint 3: Feb 26–28 (Days 10–12) — Polish &amp;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Day</w:t>
            </w:r>
          </w:p>
        </w:tc>
        <w:tc>
          <w:tcPr>
            <w:tcW w:type="dxa" w:w="756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Target</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Day 10</w:t>
            </w:r>
          </w:p>
        </w:tc>
        <w:tc>
          <w:tcPr>
            <w:tcW w:type="dxa" w:w="7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Record demo video (3–5 min). Script: problem → tier solution → live CRE workflow demo (STANDARD then VERIFIED) → ecosystem vision.</w:t>
            </w:r>
          </w:p>
        </w:tc>
      </w:tr>
      <w:tr>
        <w:tc>
          <w:tcPr>
            <w:tcW w:type="dxa" w:w="1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Day 11</w:t>
            </w:r>
          </w:p>
        </w:tc>
        <w:tc>
          <w:tcPr>
            <w:tcW w:type="dxa" w:w="75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Write submission write-up including tier system rationale. Complete Airtable submission form. Final code review and repo cleanup.</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Day 12 (Mar 1)</w:t>
            </w:r>
          </w:p>
        </w:tc>
        <w:tc>
          <w:tcPr>
            <w:tcW w:type="dxa" w:w="7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Buffer day for submission issues, last-minute bug fixes, and deadline submission.</w:t>
            </w:r>
          </w:p>
        </w:tc>
      </w:tr>
    </w:tbl>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10.3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Risk</w:t>
            </w:r>
          </w:p>
        </w:tc>
        <w:tc>
          <w:tcPr>
            <w:tcW w:type="dxa" w:w="240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Likelihood</w:t>
            </w:r>
          </w:p>
        </w:tc>
        <w:tc>
          <w:tcPr>
            <w:tcW w:type="dxa" w:w="356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Mitigation</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UltraHonk prover performance in TEE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Medium</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Pre-test UltraHonk proving times in constrained environments; if too slow, optimize circuit or use PlonK fallback</w:t>
            </w:r>
          </w:p>
        </w:tc>
      </w:tr>
      <w:tr>
        <w:tc>
          <w:tcPr>
            <w:tcW w:type="dxa" w:w="3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CRE Confidential HTTP access limitations</w:t>
            </w:r>
          </w:p>
        </w:tc>
        <w:tc>
          <w:tcPr>
            <w:tcW w:type="dxa" w:w="2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Medium</w:t>
            </w:r>
          </w:p>
        </w:tc>
        <w:tc>
          <w:tcPr>
            <w:tcW w:type="dxa" w:w="35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Mock the confidential fetch with a signed local API during MVP; document real integration path clearly</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EAS contract gas costs on Sepolia</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Low</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Use Sepolia ETH faucet; UltraHonk verification costs ~500k gas which is acceptable for testnet</w:t>
            </w:r>
          </w:p>
        </w:tc>
      </w:tr>
      <w:tr>
        <w:tc>
          <w:tcPr>
            <w:tcW w:type="dxa" w:w="3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ZK proof verification gas cost optimization</w:t>
            </w:r>
          </w:p>
        </w:tc>
        <w:tc>
          <w:tcPr>
            <w:tcW w:type="dxa" w:w="2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Low</w:t>
            </w:r>
          </w:p>
        </w:tc>
        <w:tc>
          <w:tcPr>
            <w:tcW w:type="dxa" w:w="35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Pre-compute and cache verification results; batch verify multiple attestations if gas becomes issue</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Thirdweb SDK breaking changes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Low</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Lock to a specific SDK version; use wagmi as fallback</w:t>
            </w:r>
          </w:p>
        </w:tc>
      </w:tr>
      <w:tr>
        <w:tc>
          <w:tcPr>
            <w:tcW w:type="dxa" w:w="3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Noir 1.0 API stability</w:t>
            </w:r>
          </w:p>
        </w:tc>
        <w:tc>
          <w:tcPr>
            <w:tcW w:type="dxa" w:w="2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Medium</w:t>
            </w:r>
          </w:p>
        </w:tc>
        <w:tc>
          <w:tcPr>
            <w:tcW w:type="dxa" w:w="35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Pin to Noir 1.0.0-beta.15 and Barretenberg 3.0.0-nightly.20251104 as per official docs</w:t>
            </w:r>
          </w:p>
        </w:tc>
      </w:tr>
    </w:tbl>
    <w:p>
      <w:pPr>
        <w:spacing w:before="0" w:after="80"/>
      </w:pPr>
      <w:r>
        <w:rPr>
          <w:rFonts w:ascii="Arial" w:cs="Arial" w:eastAsia="Arial" w:hAnsi="Arial"/>
          <w:sz w:val="22"/>
          <w:szCs w:val="22"/>
        </w:rPr>
        <w:t xml:space="preserve"/>
      </w:r>
    </w:p>
    <w:p>
      <w:r>
        <w:br w:type="page"/>
      </w:r>
    </w:p>
    <w:p>
      <w:pPr>
        <w:pStyle w:val="Heading1"/>
        <w:pBdr>
          <w:bottom w:val="single" w:color="375BD2" w:sz="8" w:space="4"/>
        </w:pBdr>
        <w:spacing w:before="480" w:after="160"/>
      </w:pPr>
      <w:r>
        <w:rPr>
          <w:rFonts w:ascii="Arial" w:cs="Arial" w:eastAsia="Arial" w:hAnsi="Arial"/>
          <w:b/>
          <w:bCs/>
          <w:color w:val="1A2F6B"/>
          <w:sz w:val="36"/>
          <w:szCs w:val="36"/>
        </w:rPr>
        <w:t xml:space="preserve">11. Technology Stack</w:t>
      </w:r>
    </w:p>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11.1 Core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Technology</w:t>
            </w:r>
          </w:p>
        </w:tc>
        <w:tc>
          <w:tcPr>
            <w:tcW w:type="dxa" w:w="596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Role</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CRE (Chainlink Runtime Environment)</w:t>
            </w:r>
          </w:p>
        </w:tc>
        <w:tc>
          <w:tcPr>
            <w:tcW w:type="dxa" w:w="5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Primary orchestration layer for all workflows — trigger, fetch, prove, attest</w:t>
            </w:r>
          </w:p>
        </w:tc>
      </w:tr>
      <w:tr>
        <w:tc>
          <w:tcPr>
            <w:tcW w:type="dxa" w:w="3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Ethereum Attestation Service (EAS)</w:t>
            </w:r>
          </w:p>
        </w:tc>
        <w:tc>
          <w:tcPr>
            <w:tcW w:type="dxa" w:w="59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On-chain attestation registry and schema management with dual-tier support</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Noir v1.0+ (Aztec)</w:t>
            </w:r>
          </w:p>
        </w:tc>
        <w:tc>
          <w:tcPr>
            <w:tcW w:type="dxa" w:w="5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ZK circuit DSL; Barretenberg backend with UltraHonk proof system</w:t>
            </w:r>
          </w:p>
        </w:tc>
      </w:tr>
      <w:tr>
        <w:tc>
          <w:tcPr>
            <w:tcW w:type="dxa" w:w="3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Solidity 0.8.24</w:t>
            </w:r>
          </w:p>
        </w:tc>
        <w:tc>
          <w:tcPr>
            <w:tcW w:type="dxa" w:w="59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Smart contract implementation (AASRegistry, AASZKVerifier)</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Sepolia Testnet</w:t>
            </w:r>
          </w:p>
        </w:tc>
        <w:tc>
          <w:tcPr>
            <w:tcW w:type="dxa" w:w="5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Primary deployment target for hackathon submission</w:t>
            </w:r>
          </w:p>
        </w:tc>
      </w:tr>
    </w:tbl>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11.2 Supporting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Technology</w:t>
            </w:r>
          </w:p>
        </w:tc>
        <w:tc>
          <w:tcPr>
            <w:tcW w:type="dxa" w:w="596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Role</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Thirdweb SDK</w:t>
            </w:r>
          </w:p>
        </w:tc>
        <w:tc>
          <w:tcPr>
            <w:tcW w:type="dxa" w:w="5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Frontend Web3 connectivity; wallet connection; contract interactions</w:t>
            </w:r>
          </w:p>
        </w:tc>
      </w:tr>
      <w:tr>
        <w:tc>
          <w:tcPr>
            <w:tcW w:type="dxa" w:w="3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Next.js 14</w:t>
            </w:r>
          </w:p>
        </w:tc>
        <w:tc>
          <w:tcPr>
            <w:tcW w:type="dxa" w:w="59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Frontend framework for the attestation dashboard</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IPFS (via web3.storage)</w:t>
            </w:r>
          </w:p>
        </w:tc>
        <w:tc>
          <w:tcPr>
            <w:tcW w:type="dxa" w:w="5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Decentralized storage for reputation graph data</w:t>
            </w:r>
          </w:p>
        </w:tc>
      </w:tr>
      <w:tr>
        <w:tc>
          <w:tcPr>
            <w:tcW w:type="dxa" w:w="3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ethers.js v6</w:t>
            </w:r>
          </w:p>
        </w:tc>
        <w:tc>
          <w:tcPr>
            <w:tcW w:type="dxa" w:w="59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Contract interaction and EIP-712 signing</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Hardhat</w:t>
            </w:r>
          </w:p>
        </w:tc>
        <w:tc>
          <w:tcPr>
            <w:tcW w:type="dxa" w:w="5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Smart contract development, testing, and deployment</w:t>
            </w:r>
          </w:p>
        </w:tc>
      </w:tr>
      <w:tr>
        <w:tc>
          <w:tcPr>
            <w:tcW w:type="dxa" w:w="3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TypeScript</w:t>
            </w:r>
          </w:p>
        </w:tc>
        <w:tc>
          <w:tcPr>
            <w:tcW w:type="dxa" w:w="59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All workflow and API code; strict mode enabled</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@aztec/bb.js 3.0.0-nightly.20251104</w:t>
            </w:r>
          </w:p>
        </w:tc>
        <w:tc>
          <w:tcPr>
            <w:tcW w:type="dxa" w:w="5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Barretenberg TypeScript bindings for UltraHonk proving</w:t>
            </w:r>
          </w:p>
        </w:tc>
      </w:tr>
      <w:tr>
        <w:tc>
          <w:tcPr>
            <w:tcW w:type="dxa" w:w="3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@noir-lang/noir_js 1.0.0-beta.15</w:t>
            </w:r>
          </w:p>
        </w:tc>
        <w:tc>
          <w:tcPr>
            <w:tcW w:type="dxa" w:w="59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Noir circuit execution and witness generation</w:t>
            </w:r>
          </w:p>
        </w:tc>
      </w:tr>
    </w:tbl>
    <w:p>
      <w:pPr>
        <w:spacing w:before="0" w:after="80"/>
      </w:pPr>
      <w:r>
        <w:rPr>
          <w:rFonts w:ascii="Arial" w:cs="Arial" w:eastAsia="Arial" w:hAnsi="Arial"/>
          <w:sz w:val="22"/>
          <w:szCs w:val="22"/>
        </w:rPr>
        <w:t xml:space="preserve"/>
      </w:r>
    </w:p>
    <w:p>
      <w:r>
        <w:br w:type="page"/>
      </w:r>
    </w:p>
    <w:p>
      <w:pPr>
        <w:pStyle w:val="Heading1"/>
        <w:pBdr>
          <w:bottom w:val="single" w:color="375BD2" w:sz="8" w:space="4"/>
        </w:pBdr>
        <w:spacing w:before="480" w:after="160"/>
      </w:pPr>
      <w:r>
        <w:rPr>
          <w:rFonts w:ascii="Arial" w:cs="Arial" w:eastAsia="Arial" w:hAnsi="Arial"/>
          <w:b/>
          <w:bCs/>
          <w:color w:val="1A2F6B"/>
          <w:sz w:val="36"/>
          <w:szCs w:val="36"/>
        </w:rPr>
        <w:t xml:space="preserve">12. Judging Criteria Alignment</w:t>
      </w:r>
    </w:p>
    <w:p>
      <w:pPr>
        <w:spacing w:before="0" w:after="160"/>
      </w:pPr>
      <w:r>
        <w:rPr>
          <w:rFonts w:ascii="Arial" w:cs="Arial" w:eastAsia="Arial" w:hAnsi="Arial"/>
          <w:color w:val="2D3748"/>
          <w:sz w:val="22"/>
          <w:szCs w:val="22"/>
        </w:rPr>
        <w:t xml:space="preserve">The following table maps each anticipated judging dimension to specific AAS design decisions and deliverables.</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Judging Dimension</w:t>
            </w:r>
          </w:p>
        </w:tc>
        <w:tc>
          <w:tcPr>
            <w:tcW w:type="dxa" w:w="636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How AAS Addresses It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Technical Implementation</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Full CRE workflow stack (Workflows A + B), deployed contracts on Sepolia, working UltraHonk proof pipeline, live EAS attestations with tier system. Judges can run it.</w:t>
            </w:r>
          </w:p>
        </w:tc>
      </w:tr>
      <w:tr>
        <w:tc>
          <w:tcPr>
            <w:tcW w:type="dxa" w:w="30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CRE Integration Depth</w:t>
            </w:r>
          </w:p>
        </w:tc>
        <w:tc>
          <w:tcPr>
            <w:tcW w:type="dxa" w:w="63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CRE is the backbone — trigger, confidential compute, and on-chain submission all pass through CRE. Not a wrapper; it IS the orchestration.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Innovation</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First ZK-proof-backed agent reputation system with tiered trust model using CRE + EAS + UltraHonk. Novel solution to the cold start problem with explicit tier progression.</w:t>
            </w:r>
          </w:p>
        </w:tc>
      </w:tr>
      <w:tr>
        <w:tc>
          <w:tcPr>
            <w:tcW w:type="dxa" w:w="30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Real-World Impact</w:t>
            </w:r>
          </w:p>
        </w:tc>
        <w:tc>
          <w:tcPr>
            <w:tcW w:type="dxa" w:w="63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Solves concrete enterprise adoption problem: companies cannot deploy agents into shared workflows without auditable trust. Two-tier system provides both onboarding path and production-grade trust.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Ecosystem Value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AAS is composable infrastructure. Other hackathon teams' agent projects can integrate AAS attestations. Multiplies value across the entire ecosystem. Uses latest Noir/UltraHonk proving system.</w:t>
            </w:r>
          </w:p>
        </w:tc>
      </w:tr>
      <w:tr>
        <w:tc>
          <w:tcPr>
            <w:tcW w:type="dxa" w:w="30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Presentation Quality</w:t>
            </w:r>
          </w:p>
        </w:tc>
        <w:tc>
          <w:tcPr>
            <w:tcW w:type="dxa" w:w="63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3–5 min video: clear problem statement, tier progression demo, live workflow execution, compelling ecosystem vision. Written README maps directly to these judging criteria.</w:t>
            </w:r>
          </w:p>
        </w:tc>
      </w:tr>
    </w:tbl>
    <w:p>
      <w:pPr>
        <w:spacing w:before="0" w:after="80"/>
      </w:pPr>
      <w:r>
        <w:rPr>
          <w:rFonts w:ascii="Arial" w:cs="Arial" w:eastAsia="Arial" w:hAnsi="Arial"/>
          <w:sz w:val="22"/>
          <w:szCs w:val="22"/>
        </w:rPr>
        <w:t xml:space="preserve"/>
      </w:r>
    </w:p>
    <w:p>
      <w:r>
        <w:br w:type="page"/>
      </w:r>
    </w:p>
    <w:p>
      <w:pPr>
        <w:pStyle w:val="Heading1"/>
        <w:pBdr>
          <w:bottom w:val="single" w:color="375BD2" w:sz="8" w:space="4"/>
        </w:pBdr>
        <w:spacing w:before="480" w:after="160"/>
      </w:pPr>
      <w:r>
        <w:rPr>
          <w:rFonts w:ascii="Arial" w:cs="Arial" w:eastAsia="Arial" w:hAnsi="Arial"/>
          <w:b/>
          <w:bCs/>
          <w:color w:val="1A2F6B"/>
          <w:sz w:val="36"/>
          <w:szCs w:val="36"/>
        </w:rPr>
        <w:t xml:space="preserve">13. Demo Video Script</w:t>
      </w:r>
    </w:p>
    <w:p>
      <w:pPr>
        <w:spacing w:before="0" w:after="160"/>
      </w:pPr>
      <w:r>
        <w:rPr>
          <w:rFonts w:ascii="Arial" w:cs="Arial" w:eastAsia="Arial" w:hAnsi="Arial"/>
          <w:color w:val="2D3748"/>
          <w:sz w:val="22"/>
          <w:szCs w:val="22"/>
        </w:rPr>
        <w:t xml:space="preserve">This section provides a structured script for the 3–5 minute submission video required by the hackathon. Timing targets are approximate.</w:t>
      </w:r>
    </w:p>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Scene 1 — Problem (0:00–0:45)</w:t>
      </w:r>
    </w:p>
    <w:p>
      <w:pPr>
        <w:spacing w:before="0" w:after="160"/>
      </w:pPr>
      <w:r>
        <w:rPr>
          <w:rFonts w:ascii="Arial" w:cs="Arial" w:eastAsia="Arial" w:hAnsi="Arial"/>
          <w:color w:val="2D3748"/>
          <w:sz w:val="22"/>
          <w:szCs w:val="22"/>
        </w:rPr>
        <w:t xml:space="preserve">Open on the dashboard showing two agents in a multi-agent workflow. Agent A wants to delegate a high-value task to Agent B. Narrate: 'Agent A has no way to verify whether Agent B is actually capable. It could be a brand-new agent, a poorly-performing agent, or a malicious one. There's no trust layer. But there's also a chicken-and-egg problem: new agents can't get work without reputation, but can't build reputation without doing work.'</w:t>
      </w:r>
    </w:p>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Scene 2 — Solution Overview (0:45–1:30)</w:t>
      </w:r>
    </w:p>
    <w:p>
      <w:pPr>
        <w:spacing w:before="0" w:after="160"/>
      </w:pPr>
      <w:r>
        <w:rPr>
          <w:rFonts w:ascii="Arial" w:cs="Arial" w:eastAsia="Arial" w:hAnsi="Arial"/>
          <w:color w:val="2D3748"/>
          <w:sz w:val="22"/>
          <w:szCs w:val="22"/>
        </w:rPr>
        <w:t xml:space="preserve">Cut to AAS architecture diagram. Explain the two-tier system: 'AAS solves both problems. New agents start with STANDARD tier — just 10 tasks at 70% success. This proves basic competence and unlocks low-risk work. As they improve, they earn VERIFIED tier — 100 tasks at 95% success — the production-grade credential. The tier system creates a clear progression path.' 30-second narration of the four-step flow: task completion → CRE workflow → UltraHonk ZK proof → EAS attestation. Emphasize: 'Raw performance data never leaves the confidential enclave. Only a cryptographic proof is made public.'</w:t>
      </w:r>
    </w:p>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Scene 3 — Live Demo: STANDARD Tier (1:30–2:30)</w:t>
      </w:r>
    </w:p>
    <w:p>
      <w:pPr>
        <w:spacing w:before="0" w:after="160"/>
      </w:pPr>
      <w:r>
        <w:rPr>
          <w:rFonts w:ascii="Arial" w:cs="Arial" w:eastAsia="Arial" w:hAnsi="Arial"/>
          <w:color w:val="2D3748"/>
          <w:sz w:val="22"/>
          <w:szCs w:val="22"/>
        </w:rPr>
        <w:t xml:space="preserve">Show Agent B (new agent) completing its 10th task. Terminal shows: CRE workflow triggered, Confidential HTTP fetch (response hidden), UltraHonk proof generated (1.8 seconds), EAS transaction submitted. Switch to EAS explorer — show the live STANDARD attestation record. Return to dashboard: Agent B now has a green STANDARD badge. Agent A can now delegate low-risk work to Agent B.</w:t>
      </w:r>
    </w:p>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Scene 4 — Live Demo: VERIFIED Tier (2:30–3:30)</w:t>
      </w:r>
    </w:p>
    <w:p>
      <w:pPr>
        <w:spacing w:before="0" w:after="160"/>
      </w:pPr>
      <w:r>
        <w:rPr>
          <w:rFonts w:ascii="Arial" w:cs="Arial" w:eastAsia="Arial" w:hAnsi="Arial"/>
          <w:color w:val="2D3748"/>
          <w:sz w:val="22"/>
          <w:szCs w:val="22"/>
        </w:rPr>
        <w:t xml:space="preserve">Fast forward: Agent B now has 120 tasks at 96% success. Show VERIFIED tier request. Same workflow but different thresholds (100/9500). Proof generates successfully. Dashboard now shows both STANDARD (Day 10, never expires) and VERIFIED (Day 120, expires in 90 days) badges. Agent A calls verification API: 'verify agent_B_id with min_tier=VERIFIED.' Response: verified=true, tier=VERIFIED, expires_at=Day 210. Agent A proceeds with high-value delegation. Narrate: 'The entire trust check took under 3 seconds. Agent A never saw Agent B's raw task history. Privacy is preserved. Trust is established.'</w:t>
      </w:r>
    </w:p>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Scene 5 — Ecosystem Vision (3:30–4:30)</w:t>
      </w:r>
    </w:p>
    <w:p>
      <w:pPr>
        <w:spacing w:before="0" w:after="160"/>
      </w:pPr>
      <w:r>
        <w:rPr>
          <w:rFonts w:ascii="Arial" w:cs="Arial" w:eastAsia="Arial" w:hAnsi="Arial"/>
          <w:color w:val="2D3748"/>
          <w:sz w:val="22"/>
          <w:szCs w:val="22"/>
        </w:rPr>
        <w:t xml:space="preserve">Show the reputation graph visualization. Narrate: 'This is just the beginning. As agents endorse each other, collaborate, and build track records, a rich reputation graph emerges — auditable, portable, and interoperable across any EVM chain. The two-tier system creates natural incentives: agents compete to reach and maintain VERIFIED tier, driving quality up across the entire ecosystem. For enterprises, this is the compliance-friendly trust layer that makes shared agent workflows actually deployable.' Close on the AAS tagline: 'Trust, verifiably.'</w:t>
      </w:r>
    </w:p>
    <w:p>
      <w:pPr>
        <w:spacing w:before="0" w:after="80"/>
      </w:pPr>
      <w:r>
        <w:rPr>
          <w:rFonts w:ascii="Arial" w:cs="Arial" w:eastAsia="Arial" w:hAnsi="Arial"/>
          <w:sz w:val="22"/>
          <w:szCs w:val="22"/>
        </w:rPr>
        <w:t xml:space="preserve"/>
      </w:r>
    </w:p>
    <w:p>
      <w:r>
        <w:br w:type="page"/>
      </w:r>
    </w:p>
    <w:p>
      <w:pPr>
        <w:pStyle w:val="Heading1"/>
        <w:pBdr>
          <w:bottom w:val="single" w:color="375BD2" w:sz="8" w:space="4"/>
        </w:pBdr>
        <w:spacing w:before="480" w:after="160"/>
      </w:pPr>
      <w:r>
        <w:rPr>
          <w:rFonts w:ascii="Arial" w:cs="Arial" w:eastAsia="Arial" w:hAnsi="Arial"/>
          <w:b/>
          <w:bCs/>
          <w:color w:val="1A2F6B"/>
          <w:sz w:val="36"/>
          <w:szCs w:val="36"/>
        </w:rPr>
        <w:t xml:space="preserve">14. Appendix</w:t>
      </w:r>
    </w:p>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Term</w:t>
            </w:r>
          </w:p>
        </w:tc>
        <w:tc>
          <w:tcPr>
            <w:tcW w:type="dxa" w:w="736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Definition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AAS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Agent Attestation Service — this project</w:t>
            </w:r>
          </w:p>
        </w:tc>
      </w:tr>
      <w:tr>
        <w:tc>
          <w:tcPr>
            <w:tcW w:type="dxa" w:w="20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CRE</w:t>
            </w:r>
          </w:p>
        </w:tc>
        <w:tc>
          <w:tcPr>
            <w:tcW w:type="dxa" w:w="73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Chainlink Runtime Environment — the off-chain workflow orchestration layer</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EAS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Ethereum Attestation Service — on-chain attestation registry</w:t>
            </w:r>
          </w:p>
        </w:tc>
      </w:tr>
      <w:tr>
        <w:tc>
          <w:tcPr>
            <w:tcW w:type="dxa" w:w="20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ZK / ZKP</w:t>
            </w:r>
          </w:p>
        </w:tc>
        <w:tc>
          <w:tcPr>
            <w:tcW w:type="dxa" w:w="73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Zero-Knowledge Proof — cryptographic method to prove a statement without revealing underlying data</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UltraHonk</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Aztec's latest proof system; part of Barretenberg; faster proving than Groth16 with universal setup</w:t>
            </w:r>
          </w:p>
        </w:tc>
      </w:tr>
      <w:tr>
        <w:tc>
          <w:tcPr>
            <w:tcW w:type="dxa" w:w="20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Noir</w:t>
            </w:r>
          </w:p>
        </w:tc>
        <w:tc>
          <w:tcPr>
            <w:tcW w:type="dxa" w:w="73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Aztec's ZK circuit DSL; compiles to UltraHonk via Barretenberg backend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Barretenberg</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Aztec's cryptographic backend; supports UltraHonk, UltraPlonk, and other proof systems</w:t>
            </w:r>
          </w:p>
        </w:tc>
      </w:tr>
      <w:tr>
        <w:tc>
          <w:tcPr>
            <w:tcW w:type="dxa" w:w="20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bps</w:t>
            </w:r>
          </w:p>
        </w:tc>
        <w:tc>
          <w:tcPr>
            <w:tcW w:type="dxa" w:w="73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Basis points; 10000 bps = 100%. Used for rate representation to avoid floating point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EIP-712</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Ethereum standard for structured data signing; used for agent authentication in AAS API</w:t>
            </w:r>
          </w:p>
        </w:tc>
      </w:tr>
      <w:tr>
        <w:tc>
          <w:tcPr>
            <w:tcW w:type="dxa" w:w="20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IPFS</w:t>
            </w:r>
          </w:p>
        </w:tc>
        <w:tc>
          <w:tcPr>
            <w:tcW w:type="dxa" w:w="73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InterPlanetary File System; decentralized storage used for reputation graph</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STANDARD Tier</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Entry-level attestation: 10+ tasks, 70%+ success, never expires</w:t>
            </w:r>
          </w:p>
        </w:tc>
      </w:tr>
      <w:tr>
        <w:tc>
          <w:tcPr>
            <w:tcW w:type="dxa" w:w="20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VERIFIED Tier</w:t>
            </w:r>
          </w:p>
        </w:tc>
        <w:tc>
          <w:tcPr>
            <w:tcW w:type="dxa" w:w="73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Production-grade attestation: 100+ tasks, 95%+ success, expires after 90 days</w:t>
            </w:r>
          </w:p>
        </w:tc>
      </w:tr>
    </w:tbl>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B. External Addresses (Sepolia)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Contract</w:t>
            </w:r>
          </w:p>
        </w:tc>
        <w:tc>
          <w:tcPr>
            <w:tcW w:type="dxa" w:w="636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Address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EAS Contract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0xC2679fBD37d54388Ce493F1DB75320D236e1815e</w:t>
            </w:r>
          </w:p>
        </w:tc>
      </w:tr>
      <w:tr>
        <w:tc>
          <w:tcPr>
            <w:tcW w:type="dxa" w:w="30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Schema Registry</w:t>
            </w:r>
          </w:p>
        </w:tc>
        <w:tc>
          <w:tcPr>
            <w:tcW w:type="dxa" w:w="63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0x0a7E2Ff54e76B8E6659aedc9103FB21c038050D0</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AASRegistry.sol</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TBD — deployed during Sprint 1</w:t>
            </w:r>
          </w:p>
        </w:tc>
      </w:tr>
      <w:tr>
        <w:tc>
          <w:tcPr>
            <w:tcW w:type="dxa" w:w="30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AASZKVerifier.sol</w:t>
            </w:r>
          </w:p>
        </w:tc>
        <w:tc>
          <w:tcPr>
            <w:tcW w:type="dxa" w:w="63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TBD — deployed during Sprint 1</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STANDARD Schema UID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TBD — registered during Sprint 1</w:t>
            </w:r>
          </w:p>
        </w:tc>
      </w:tr>
      <w:tr>
        <w:tc>
          <w:tcPr>
            <w:tcW w:type="dxa" w:w="30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VERIFIED Schema UID</w:t>
            </w:r>
          </w:p>
        </w:tc>
        <w:tc>
          <w:tcPr>
            <w:tcW w:type="dxa" w:w="63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TBD — registered during Sprint 1</w:t>
            </w:r>
          </w:p>
        </w:tc>
      </w:tr>
    </w:tbl>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C. Key Resources</w:t>
      </w:r>
    </w:p>
    <w:p>
      <w:pPr>
        <w:pStyle w:val="ListParagraph"/>
        <w:numPr>
          <w:ilvl w:val="0"/>
          <w:numId w:val="2"/>
        </w:numPr>
        <w:spacing w:before="0" w:after="100"/>
      </w:pPr>
      <w:r>
        <w:rPr>
          <w:rFonts w:ascii="Arial" w:cs="Arial" w:eastAsia="Arial" w:hAnsi="Arial"/>
          <w:color w:val="2D3748"/>
          <w:sz w:val="22"/>
          <w:szCs w:val="22"/>
        </w:rPr>
        <w:t xml:space="preserve">Chainlink CRE Documentation: docs.chain.link/chainlink-automation/concepts/cre</w:t>
      </w:r>
    </w:p>
    <w:p>
      <w:pPr>
        <w:pStyle w:val="ListParagraph"/>
        <w:numPr>
          <w:ilvl w:val="0"/>
          <w:numId w:val="2"/>
        </w:numPr>
        <w:spacing w:before="0" w:after="100"/>
      </w:pPr>
      <w:r>
        <w:rPr>
          <w:rFonts w:ascii="Arial" w:cs="Arial" w:eastAsia="Arial" w:hAnsi="Arial"/>
          <w:color w:val="2D3748"/>
          <w:sz w:val="22"/>
          <w:szCs w:val="22"/>
        </w:rPr>
        <w:t xml:space="preserve">Ethereum Attestation Service: attest.org</w:t>
      </w:r>
    </w:p>
    <w:p>
      <w:pPr>
        <w:pStyle w:val="ListParagraph"/>
        <w:numPr>
          <w:ilvl w:val="0"/>
          <w:numId w:val="2"/>
        </w:numPr>
        <w:spacing w:before="0" w:after="100"/>
      </w:pPr>
      <w:r>
        <w:rPr>
          <w:rFonts w:ascii="Arial" w:cs="Arial" w:eastAsia="Arial" w:hAnsi="Arial"/>
          <w:color w:val="2D3748"/>
          <w:sz w:val="22"/>
          <w:szCs w:val="22"/>
        </w:rPr>
        <w:t xml:space="preserve">Noir ZK Language: noir-lang.org</w:t>
      </w:r>
    </w:p>
    <w:p>
      <w:pPr>
        <w:pStyle w:val="ListParagraph"/>
        <w:numPr>
          <w:ilvl w:val="0"/>
          <w:numId w:val="2"/>
        </w:numPr>
        <w:spacing w:before="0" w:after="100"/>
      </w:pPr>
      <w:r>
        <w:rPr>
          <w:rFonts w:ascii="Arial" w:cs="Arial" w:eastAsia="Arial" w:hAnsi="Arial"/>
          <w:color w:val="2D3748"/>
          <w:sz w:val="22"/>
          <w:szCs w:val="22"/>
        </w:rPr>
        <w:t xml:space="preserve">Noir Tutorial (v1.0): noir-lang.org/docs/tutorials/noirjs_app</w:t>
      </w:r>
    </w:p>
    <w:p>
      <w:pPr>
        <w:pStyle w:val="ListParagraph"/>
        <w:numPr>
          <w:ilvl w:val="0"/>
          <w:numId w:val="2"/>
        </w:numPr>
        <w:spacing w:before="0" w:after="100"/>
      </w:pPr>
      <w:r>
        <w:rPr>
          <w:rFonts w:ascii="Arial" w:cs="Arial" w:eastAsia="Arial" w:hAnsi="Arial"/>
          <w:color w:val="2D3748"/>
          <w:sz w:val="22"/>
          <w:szCs w:val="22"/>
        </w:rPr>
        <w:t xml:space="preserve">Barretenberg Documentation: barretenberg.aztec.network/docs</w:t>
      </w:r>
    </w:p>
    <w:p>
      <w:pPr>
        <w:pStyle w:val="ListParagraph"/>
        <w:numPr>
          <w:ilvl w:val="0"/>
          <w:numId w:val="2"/>
        </w:numPr>
        <w:spacing w:before="0" w:after="100"/>
      </w:pPr>
      <w:r>
        <w:rPr>
          <w:rFonts w:ascii="Arial" w:cs="Arial" w:eastAsia="Arial" w:hAnsi="Arial"/>
          <w:color w:val="2D3748"/>
          <w:sz w:val="22"/>
          <w:szCs w:val="22"/>
        </w:rPr>
        <w:t xml:space="preserve">UltraHonk Technical Details: github.com/AztecProtocol/barretenberg</w:t>
      </w:r>
    </w:p>
    <w:p>
      <w:pPr>
        <w:pStyle w:val="ListParagraph"/>
        <w:numPr>
          <w:ilvl w:val="0"/>
          <w:numId w:val="2"/>
        </w:numPr>
        <w:spacing w:before="0" w:after="100"/>
      </w:pPr>
      <w:r>
        <w:rPr>
          <w:rFonts w:ascii="Arial" w:cs="Arial" w:eastAsia="Arial" w:hAnsi="Arial"/>
          <w:color w:val="2D3748"/>
          <w:sz w:val="22"/>
          <w:szCs w:val="22"/>
        </w:rPr>
        <w:t xml:space="preserve">EAS SDK: github.com/ethereum-attestation-service/eas-sdk</w:t>
      </w:r>
    </w:p>
    <w:p>
      <w:pPr>
        <w:pStyle w:val="ListParagraph"/>
        <w:numPr>
          <w:ilvl w:val="0"/>
          <w:numId w:val="2"/>
        </w:numPr>
        <w:spacing w:before="0" w:after="100"/>
      </w:pPr>
      <w:r>
        <w:rPr>
          <w:rFonts w:ascii="Arial" w:cs="Arial" w:eastAsia="Arial" w:hAnsi="Arial"/>
          <w:color w:val="2D3748"/>
          <w:sz w:val="22"/>
          <w:szCs w:val="22"/>
        </w:rPr>
        <w:t xml:space="preserve">Thirdweb SDK: thirdweb.com/docs</w:t>
      </w:r>
    </w:p>
    <w:p>
      <w:pPr>
        <w:spacing w:before="0" w:after="80"/>
      </w:pPr>
      <w:r>
        <w:rPr>
          <w:rFonts w:ascii="Arial" w:cs="Arial" w:eastAsia="Arial" w:hAnsi="Arial"/>
          <w:sz w:val="22"/>
          <w:szCs w:val="22"/>
        </w:rPr>
        <w:t xml:space="preserve"/>
      </w:r>
    </w:p>
    <w:p>
      <w:pPr>
        <w:pStyle w:val="Heading2"/>
        <w:spacing w:before="360" w:after="120"/>
      </w:pPr>
      <w:r>
        <w:rPr>
          <w:rFonts w:ascii="Arial" w:cs="Arial" w:eastAsia="Arial" w:hAnsi="Arial"/>
          <w:b/>
          <w:bCs/>
          <w:color w:val="2E4DA0"/>
          <w:sz w:val="28"/>
          <w:szCs w:val="28"/>
        </w:rPr>
        <w:t xml:space="preserve">D. Proof System Comparison</w:t>
      </w:r>
    </w:p>
    <w:p>
      <w:pPr>
        <w:spacing w:before="0" w:after="160"/>
      </w:pPr>
      <w:r>
        <w:rPr>
          <w:rFonts w:ascii="Arial" w:cs="Arial" w:eastAsia="Arial" w:hAnsi="Arial"/>
          <w:color w:val="2D3748"/>
          <w:sz w:val="22"/>
          <w:szCs w:val="22"/>
        </w:rPr>
        <w:t xml:space="preserve">For reference, here is how UltraHonk compares to alternative proof systems in the context of AAS:</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System</w:t>
            </w:r>
          </w:p>
        </w:tc>
        <w:tc>
          <w:tcPr>
            <w:tcW w:type="dxa" w:w="7160"/>
            <w:tcBorders>
              <w:top w:val="single" w:color="375BD2" w:sz="2"/>
              <w:left w:val="single" w:color="375BD2" w:sz="2"/>
              <w:bottom w:val="single" w:color="375BD2" w:sz="2"/>
              <w:right w:val="single" w:color="375BD2" w:sz="2"/>
            </w:tcBorders>
            <w:shd w:fill="1A2F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Characteristics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Groth16</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Proof size: ~260 bytes, Verification: ~270k gas, Proving: Baseline (slowest), Setup: Circuit-specific trusted setup required, Best for: Production systems with fixed circuits and on-chain verification as primary constraint</w:t>
            </w:r>
          </w:p>
        </w:tc>
      </w:tr>
      <w:tr>
        <w:tc>
          <w:tcPr>
            <w:tcW w:type="dxa" w:w="2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PlonK</w:t>
            </w:r>
          </w:p>
        </w:tc>
        <w:tc>
          <w:tcPr>
            <w:tcW w:type="dxa" w:w="7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Proof size: ~800 bytes, Verification: ~300k gas, Proving: Slower than UltraHonk, Setup: Universal (reusable), Best for: Systems needing universal setup with moderate performance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UltraHonk</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pPr>
            <w:r>
              <w:rPr>
                <w:rFonts w:ascii="Arial" w:cs="Arial" w:eastAsia="Arial" w:hAnsi="Arial"/>
                <w:color w:val="2D3748"/>
                <w:sz w:val="20"/>
                <w:szCs w:val="20"/>
              </w:rPr>
              <w:t xml:space="preserve">Proof size: ~800-1000 bytes, Verification: ~500k gas, Proving: 5-50x faster than Groth16, Setup: Universal and updatable, Best for: Development/iteration, L2 deployment, client-side proving</w:t>
            </w:r>
          </w:p>
        </w:tc>
      </w:tr>
    </w:tbl>
    <w:p>
      <w:pPr>
        <w:spacing w:before="0" w:after="80"/>
      </w:pPr>
      <w:r>
        <w:rPr>
          <w:rFonts w:ascii="Arial" w:cs="Arial" w:eastAsia="Arial" w:hAnsi="Arial"/>
          <w:sz w:val="22"/>
          <w:szCs w:val="22"/>
        </w:rPr>
        <w:t xml:space="preserve"/>
      </w:r>
    </w:p>
    <w:p>
      <w:pPr>
        <w:spacing w:before="0" w:after="160"/>
      </w:pPr>
      <w:r>
        <w:rPr>
          <w:rFonts w:ascii="Arial" w:cs="Arial" w:eastAsia="Arial" w:hAnsi="Arial"/>
          <w:color w:val="2D3748"/>
          <w:sz w:val="22"/>
          <w:szCs w:val="22"/>
        </w:rPr>
        <w:t xml:space="preserve">AAS uses UltraHonk because the hackathon requires rapid iteration (universal setup eliminates ceremony overhead), deploys to Sepolia/L2 (gas costs are not primary constraint), and benefits significantly from fast proving times (agents generate proofs frequently). The same architecture could use Groth16 in production if on-chain verification cost becomes the bottleneck.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2F6B"/>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2E4DA0"/>
      <w:sz w:val="28"/>
      <w:szCs w:val="28"/>
    </w:rPr>
  </w:style>
  <w:style w:type="paragraph" w:styleId="Heading3">
    <w:name w:val="Heading 3"/>
    <w:basedOn w:val="Normal"/>
    <w:next w:val="Normal"/>
    <w:qFormat/>
    <w:pPr>
      <w:spacing w:before="240" w:after="80"/>
      <w:outlineLvl w:val="2"/>
    </w:pPr>
    <w:rPr>
      <w:rFonts w:ascii="Arial" w:cs="Arial" w:eastAsia="Arial" w:hAnsi="Arial"/>
      <w:b/>
      <w:bCs/>
      <w:color w:val="4A5568"/>
      <w:sz w:val="24"/>
      <w:szCs w:val="24"/>
    </w:rPr>
  </w:style>
  <w:style w:type="paragraph" w:styleId="Heading4">
    <w:name w:val="Heading 4"/>
    <w:basedOn w:val="Normal"/>
    <w:next w:val="Normal"/>
    <w:qFormat/>
    <w:pPr>
      <w:spacing w:before="180" w:after="60"/>
      <w:outlineLvl w:val="3"/>
    </w:pPr>
    <w:rPr>
      <w:rFonts w:ascii="Arial" w:cs="Arial" w:eastAsia="Arial" w:hAnsi="Arial"/>
      <w:b/>
      <w:bCs/>
      <w:color w:val="2D37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2026-02-18T16:51:38.232Z</dcterms:created>
  <dcterms:modified xsi:type="dcterms:W3CDTF">2026-02-18T16:51:38.233Z</dcterms:modified>
</cp:coreProperties>
</file>

<file path=docProps/custom.xml><?xml version="1.0" encoding="utf-8"?>
<Properties xmlns="http://schemas.openxmlformats.org/officeDocument/2006/custom-properties" xmlns:vt="http://schemas.openxmlformats.org/officeDocument/2006/docPropsVTypes"/>
</file>