
<file path=[Content_Types].xml><?xml version="1.0" encoding="utf-8"?>
<Types xmlns="http://schemas.openxmlformats.org/package/2006/content-types">
  <Default Extension="svg" ContentType="image/svg+xml"/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48"/>
        <w:pBdr/>
        <w:spacing/>
        <w:ind/>
        <w:rPr/>
      </w:pPr>
      <w:r>
        <w:t xml:space="preserve">Assignment Kit</w:t>
      </w:r>
      <w:r>
        <w:t xml:space="preserve"> for</w:t>
        <w:br w:type="textWrapping" w:clear="all"/>
      </w:r>
      <w:r>
        <w:t xml:space="preserve">Size </w:t>
      </w:r>
      <w:r>
        <w:t xml:space="preserve">Counting Standard</w:t>
      </w:r>
      <w:r>
        <w:rPr>
          <w:i/>
        </w:rPr>
        <w:br w:type="textWrapping" w:clear="all"/>
      </w:r>
      <w:r/>
    </w:p>
    <w:tbl>
      <w:tblPr>
        <w:tblInd w:w="8" w:type="dxa"/>
        <w:tblW w:w="0" w:type="auto"/>
        <w:tblCellMar>
          <w:left w:w="0" w:type="dxa"/>
          <w:top w:w="0" w:type="dxa"/>
          <w:right w:w="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1080"/>
        <w:gridCol w:w="9000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080" w:type="dxa"/>
            <w:vAlign w:val="top"/>
            <w:textDirection w:val="lrTb"/>
            <w:noWrap w:val="false"/>
          </w:tcPr>
          <w:p>
            <w:pPr>
              <w:pStyle w:val="945"/>
              <w:pBdr/>
              <w:spacing/>
              <w:ind/>
              <w:rPr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44830" cy="307340"/>
                      <wp:effectExtent l="0" t="0" r="0" b="0"/>
                      <wp:docPr id="1" name="_x0000_i102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  <pic:nvPr/>
                            </pic:nvPicPr>
                            <pic:blipFill rotWithShape="1">
                              <a:blip r:embed="rId10">
                                <a:extLs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/>
                            </pic:blipFill>
                            <pic:spPr bwMode="auto">
                              <a:xfrm>
                                <a:off x="0" y="0"/>
                                <a:ext cx="544830" cy="30734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42.90pt;height:24.20pt;mso-wrap-distance-left:0.00pt;mso-wrap-distance-top:0.00pt;mso-wrap-distance-right:0.00pt;mso-wrap-distance-bottom:0.00pt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9000" w:type="dxa"/>
            <w:vAlign w:val="top"/>
            <w:textDirection w:val="lrTb"/>
            <w:noWrap w:val="false"/>
          </w:tcPr>
          <w:p>
            <w:pPr>
              <w:pStyle w:val="946"/>
              <w:pBdr/>
              <w:tabs>
                <w:tab w:val="clear" w:leader="none" w:pos="8640"/>
                <w:tab w:val="left" w:leader="underscore" w:pos="8910"/>
              </w:tabs>
              <w:spacing/>
              <w:ind w:left="0"/>
              <w:jc w:val="left"/>
              <w:rPr/>
            </w:pPr>
            <w:r>
              <w:tab/>
              <w:br w:type="textWrapping" w:clear="all"/>
              <w:tab/>
              <w:br w:type="textWrapping" w:clear="all"/>
              <w:tab/>
              <w:br w:type="textWrapping" w:clear="all"/>
              <w:tab/>
              <w:br w:type="textWrapping" w:clear="all"/>
              <w:tab/>
            </w:r>
            <w:r/>
          </w:p>
        </w:tc>
      </w:tr>
    </w:tbl>
    <w:p>
      <w:pPr>
        <w:pStyle w:val="949"/>
        <w:pBdr/>
        <w:spacing/>
        <w:ind/>
        <w:rPr/>
      </w:pPr>
      <w:r>
        <w:t xml:space="preserve">Personal Software Process for Engineers: Part I</w:t>
      </w:r>
      <w:r/>
    </w:p>
    <w:p>
      <w:pPr>
        <w:pStyle w:val="949"/>
        <w:pBdr/>
        <w:spacing/>
        <w:ind/>
        <w:rPr/>
      </w:pPr>
      <w:r/>
      <w:r/>
    </w:p>
    <w:p>
      <w:pPr>
        <w:pStyle w:val="950"/>
        <w:pBdr/>
        <w:spacing/>
        <w:ind/>
        <w:rPr/>
      </w:pPr>
      <w:r/>
      <w:r/>
    </w:p>
    <w:p>
      <w:pPr>
        <w:pStyle w:val="949"/>
        <w:pBdr/>
        <w:spacing/>
        <w:ind/>
        <w:rPr/>
      </w:pPr>
      <w:r/>
      <w:r/>
    </w:p>
    <w:p>
      <w:pPr>
        <w:pStyle w:val="949"/>
        <w:pBdr/>
        <w:spacing/>
        <w:ind/>
        <w:rPr/>
      </w:pPr>
      <w:r/>
      <w:r/>
    </w:p>
    <w:p>
      <w:pPr>
        <w:pStyle w:val="949"/>
        <w:pBdr/>
        <w:spacing/>
        <w:ind/>
        <w:rPr/>
      </w:pPr>
      <w:r/>
      <w:r/>
    </w:p>
    <w:p>
      <w:pPr>
        <w:pStyle w:val="949"/>
        <w:pBdr/>
        <w:spacing/>
        <w:ind/>
        <w:rPr/>
      </w:pPr>
      <w:r/>
      <w:r/>
    </w:p>
    <w:p>
      <w:pPr>
        <w:pStyle w:val="949"/>
        <w:pBdr/>
        <w:spacing/>
        <w:ind/>
        <w:rPr/>
      </w:pPr>
      <w:r/>
      <w:r/>
    </w:p>
    <w:p>
      <w:pPr>
        <w:pStyle w:val="949"/>
        <w:pBdr/>
        <w:spacing/>
        <w:ind/>
        <w:rPr/>
      </w:pPr>
      <w:r/>
      <w:r/>
    </w:p>
    <w:p>
      <w:pPr>
        <w:pStyle w:val="950"/>
        <w:pBdr/>
        <w:spacing/>
        <w:ind/>
        <w:rPr/>
      </w:pPr>
      <w:r/>
      <w:r/>
    </w:p>
    <w:p>
      <w:pPr>
        <w:pStyle w:val="950"/>
        <w:pBdr/>
        <w:spacing/>
        <w:ind/>
        <w:rPr/>
      </w:pPr>
      <w:r/>
      <w:r/>
    </w:p>
    <w:p>
      <w:pPr>
        <w:pStyle w:val="950"/>
        <w:pBdr/>
        <w:spacing/>
        <w:ind/>
        <w:rPr/>
      </w:pPr>
      <w:r/>
      <w:r/>
    </w:p>
    <w:p>
      <w:pPr>
        <w:pStyle w:val="950"/>
        <w:pBdr/>
        <w:spacing w:before="0" w:line="120" w:lineRule="atLeast"/>
        <w:ind/>
        <w:rPr/>
      </w:pPr>
      <w:r>
        <w:t xml:space="preserve">The Software Engineering Institute (SEI)</w:t>
      </w:r>
      <w:r/>
    </w:p>
    <w:p>
      <w:pPr>
        <w:pStyle w:val="950"/>
        <w:pBdr/>
        <w:spacing w:before="0" w:line="120" w:lineRule="atLeast"/>
        <w:ind/>
        <w:rPr/>
      </w:pPr>
      <w:r>
        <w:t xml:space="preserve">is a federally funded research and development center</w:t>
      </w:r>
      <w:r/>
    </w:p>
    <w:p>
      <w:pPr>
        <w:pStyle w:val="950"/>
        <w:pBdr/>
        <w:spacing w:before="0" w:line="120" w:lineRule="atLeast"/>
        <w:ind/>
        <w:rPr/>
      </w:pPr>
      <w:r>
        <w:t xml:space="preserve">sponsored by the U.S. Department of Defense and</w:t>
      </w:r>
      <w:r/>
    </w:p>
    <w:p>
      <w:pPr>
        <w:pStyle w:val="950"/>
        <w:pBdr/>
        <w:spacing w:before="0" w:line="120" w:lineRule="atLeast"/>
        <w:ind/>
        <w:rPr/>
      </w:pPr>
      <w:r>
        <w:t xml:space="preserve">operated by Carnegie Mellon University.</w:t>
      </w:r>
      <w:r/>
    </w:p>
    <w:p>
      <w:pPr>
        <w:pStyle w:val="950"/>
        <w:pBdr/>
        <w:spacing/>
        <w:ind/>
        <w:rPr/>
      </w:pPr>
      <w:r/>
      <w:r/>
    </w:p>
    <w:p>
      <w:pPr>
        <w:pStyle w:val="950"/>
        <w:pBdr/>
        <w:spacing/>
        <w:ind/>
        <w:rPr/>
      </w:pPr>
      <w:r/>
      <w:r/>
    </w:p>
    <w:p>
      <w:pPr>
        <w:pStyle w:val="950"/>
        <w:pBdr/>
        <w:spacing/>
        <w:ind/>
        <w:rPr/>
      </w:pPr>
      <w:r/>
      <w:r/>
    </w:p>
    <w:p>
      <w:pPr>
        <w:pStyle w:val="950"/>
        <w:pBdr/>
        <w:spacing/>
        <w:ind/>
        <w:rPr/>
      </w:pPr>
      <w:r/>
      <w:r/>
    </w:p>
    <w:p>
      <w:pPr>
        <w:pStyle w:val="950"/>
        <w:pBdr/>
        <w:spacing/>
        <w:ind/>
        <w:rPr/>
      </w:pPr>
      <w:r/>
      <w:r/>
    </w:p>
    <w:p>
      <w:pPr>
        <w:pStyle w:val="950"/>
        <w:pBdr/>
        <w:spacing w:before="0" w:line="120" w:lineRule="atLeast"/>
        <w:ind/>
        <w:rPr/>
      </w:pPr>
      <w:r>
        <w:t xml:space="preserve">This material approved for public release.</w:t>
      </w:r>
      <w:r/>
    </w:p>
    <w:p>
      <w:pPr>
        <w:pStyle w:val="950"/>
        <w:pBdr/>
        <w:spacing w:before="0" w:line="120" w:lineRule="atLeast"/>
        <w:ind/>
        <w:rPr/>
      </w:pPr>
      <w:r>
        <w:t xml:space="preserve">Distribution is limited by the Software Engineering Institute to attendees.</w:t>
      </w:r>
      <w:r/>
    </w:p>
    <w:p>
      <w:pPr>
        <w:pStyle w:val="928"/>
        <w:pBdr/>
        <w:spacing/>
        <w:ind/>
        <w:rPr/>
      </w:pPr>
      <w:r>
        <w:br w:type="page" w:clear="all"/>
      </w:r>
      <w:r>
        <w:t xml:space="preserve">Personal Software Process for Engineers: Part I</w:t>
      </w:r>
      <w:r/>
    </w:p>
    <w:p>
      <w:pPr>
        <w:pStyle w:val="928"/>
        <w:pBdr/>
        <w:spacing/>
        <w:ind/>
        <w:rPr/>
      </w:pPr>
      <w:r>
        <w:t xml:space="preserve">Assignment Kit for the Size Counting Standard</w:t>
      </w:r>
      <w:r/>
    </w:p>
    <w:p>
      <w:pPr>
        <w:pStyle w:val="930"/>
        <w:pBdr/>
        <w:spacing/>
        <w:ind/>
        <w:rPr/>
      </w:pPr>
      <w:r>
        <w:t xml:space="preserve">Overview</w:t>
      </w:r>
      <w:r/>
    </w:p>
    <w:p>
      <w:pPr>
        <w:pStyle w:val="932"/>
        <w:pBdr/>
        <w:spacing/>
        <w:ind/>
        <w:rPr/>
      </w:pPr>
      <w:r/>
      <w:r/>
    </w:p>
    <w:tbl>
      <w:tblPr>
        <w:tblInd w:w="0" w:type="dxa"/>
        <w:tblW w:w="0" w:type="auto"/>
        <w:tblCellMar>
          <w:left w:w="180" w:type="dxa"/>
          <w:top w:w="0" w:type="dxa"/>
          <w:right w:w="18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2160"/>
        <w:gridCol w:w="6840"/>
        <w:gridCol w:w="1260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2160" w:type="dxa"/>
            <w:vAlign w:val="top"/>
            <w:textDirection w:val="lrTb"/>
            <w:noWrap w:val="false"/>
          </w:tcPr>
          <w:p>
            <w:pPr>
              <w:pStyle w:val="906"/>
              <w:pBdr/>
              <w:spacing/>
              <w:ind w:right="0"/>
              <w:rPr/>
            </w:pPr>
            <w:r>
              <w:t xml:space="preserve">O</w:t>
            </w:r>
            <w:r>
              <w:t xml:space="preserve">verview</w:t>
            </w:r>
            <w:r/>
          </w:p>
        </w:tc>
        <w:tc>
          <w:tcPr>
            <w:gridSpan w:val="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8100" w:type="dxa"/>
            <w:vAlign w:val="top"/>
            <w:textDirection w:val="lrTb"/>
            <w:noWrap w:val="false"/>
          </w:tcPr>
          <w:p>
            <w:pPr>
              <w:pStyle w:val="925"/>
              <w:pBdr/>
              <w:spacing/>
              <w:ind w:firstLine="270" w:left="-360"/>
              <w:rPr/>
            </w:pPr>
            <w:r>
              <w:t xml:space="preserve">This</w:t>
            </w:r>
            <w:r>
              <w:t xml:space="preserve"> </w:t>
            </w:r>
            <w:r>
              <w:t xml:space="preserve">assignment kit</w:t>
            </w:r>
            <w:r>
              <w:t xml:space="preserve"> cover</w:t>
            </w:r>
            <w:r>
              <w:t xml:space="preserve">s</w:t>
            </w:r>
            <w:r>
              <w:t xml:space="preserve"> the following topics.</w:t>
            </w:r>
            <w:r/>
          </w:p>
          <w:p>
            <w:pPr>
              <w:pStyle w:val="925"/>
              <w:pBdr/>
              <w:spacing/>
              <w:ind w:left="-180"/>
              <w:rPr/>
            </w:pPr>
            <w:r/>
            <w:r/>
          </w:p>
        </w:tc>
      </w:tr>
      <w:tr>
        <w:trPr>
          <w:cantSplit/>
        </w:trPr>
        <w:tc>
          <w:tcPr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6840" w:type="dxa"/>
            <w:vAlign w:val="top"/>
            <w:textDirection w:val="lrTb"/>
            <w:noWrap w:val="false"/>
          </w:tcPr>
          <w:p>
            <w:pPr>
              <w:pStyle w:val="926"/>
              <w:pBdr/>
              <w:spacing/>
              <w:ind/>
              <w:jc w:val="center"/>
              <w:rPr>
                <w:b/>
              </w:rPr>
            </w:pPr>
            <w:r>
              <w:rPr>
                <w:b/>
              </w:rPr>
              <w:t xml:space="preserve">Section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26"/>
              <w:pBdr/>
              <w:spacing/>
              <w:ind/>
              <w:jc w:val="center"/>
              <w:rPr>
                <w:b/>
              </w:rPr>
            </w:pPr>
            <w:r>
              <w:rPr>
                <w:b/>
              </w:rPr>
              <w:t xml:space="preserve">See Page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cantSplit/>
        </w:trPr>
        <w:tc>
          <w:tcPr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6840" w:type="dxa"/>
            <w:vAlign w:val="top"/>
            <w:textDirection w:val="lrTb"/>
            <w:noWrap w:val="false"/>
          </w:tcPr>
          <w:p>
            <w:pPr>
              <w:pStyle w:val="926"/>
              <w:pBdr/>
              <w:spacing/>
              <w:ind w:firstLine="260" w:left="-260"/>
              <w:rPr/>
            </w:pPr>
            <w:r>
              <w:t xml:space="preserve">Prerequisites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26"/>
              <w:pBdr/>
              <w:spacing/>
              <w:ind w:left="10"/>
              <w:jc w:val="center"/>
              <w:rPr/>
            </w:pPr>
            <w:r>
              <w:t xml:space="preserve">2</w:t>
            </w:r>
            <w:r/>
          </w:p>
        </w:tc>
      </w:tr>
      <w:tr>
        <w:trPr>
          <w:cantSplit/>
        </w:trPr>
        <w:tc>
          <w:tcPr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6840" w:type="dxa"/>
            <w:vAlign w:val="top"/>
            <w:textDirection w:val="lrTb"/>
            <w:noWrap w:val="false"/>
          </w:tcPr>
          <w:p>
            <w:pPr>
              <w:pStyle w:val="926"/>
              <w:pBdr/>
              <w:spacing/>
              <w:ind w:firstLine="260" w:left="-260"/>
              <w:rPr/>
            </w:pPr>
            <w:r>
              <w:t xml:space="preserve">O</w:t>
            </w:r>
            <w:r>
              <w:t xml:space="preserve">bjectives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26"/>
              <w:pBdr/>
              <w:spacing/>
              <w:ind w:left="10"/>
              <w:jc w:val="center"/>
              <w:rPr/>
            </w:pPr>
            <w:r>
              <w:t xml:space="preserve">2</w:t>
            </w:r>
            <w:r/>
          </w:p>
        </w:tc>
      </w:tr>
      <w:tr>
        <w:trPr>
          <w:cantSplit/>
        </w:trPr>
        <w:tc>
          <w:tcPr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6840" w:type="dxa"/>
            <w:vAlign w:val="top"/>
            <w:textDirection w:val="lrTb"/>
            <w:noWrap w:val="false"/>
          </w:tcPr>
          <w:p>
            <w:pPr>
              <w:pStyle w:val="926"/>
              <w:pBdr/>
              <w:spacing/>
              <w:ind w:firstLine="260" w:left="-260"/>
              <w:rPr/>
            </w:pPr>
            <w:r>
              <w:t xml:space="preserve">Size counting standard</w:t>
            </w:r>
            <w:r>
              <w:t xml:space="preserve"> r</w:t>
            </w:r>
            <w:r>
              <w:t xml:space="preserve">equirements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26"/>
              <w:pBdr/>
              <w:spacing/>
              <w:ind w:left="10"/>
              <w:jc w:val="center"/>
              <w:rPr/>
            </w:pPr>
            <w:r>
              <w:t xml:space="preserve">3</w:t>
            </w:r>
            <w:r/>
          </w:p>
        </w:tc>
      </w:tr>
      <w:tr>
        <w:trPr>
          <w:cantSplit/>
        </w:trPr>
        <w:tc>
          <w:tcPr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6840" w:type="dxa"/>
            <w:vAlign w:val="top"/>
            <w:textDirection w:val="lrTb"/>
            <w:noWrap w:val="false"/>
          </w:tcPr>
          <w:p>
            <w:pPr>
              <w:pStyle w:val="926"/>
              <w:pBdr/>
              <w:spacing/>
              <w:ind/>
              <w:rPr/>
            </w:pPr>
            <w:r>
              <w:t xml:space="preserve">Example</w:t>
            </w:r>
            <w:r>
              <w:t xml:space="preserve"> 1</w:t>
            </w:r>
            <w:r>
              <w:t xml:space="preserve">: Pascal size c</w:t>
            </w:r>
            <w:r>
              <w:t xml:space="preserve">ounting s</w:t>
            </w:r>
            <w:r>
              <w:t xml:space="preserve">tandard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26"/>
              <w:pBdr/>
              <w:spacing/>
              <w:ind w:left="10"/>
              <w:jc w:val="center"/>
              <w:rPr/>
            </w:pPr>
            <w:r>
              <w:t xml:space="preserve">4</w:t>
            </w:r>
            <w:r/>
          </w:p>
        </w:tc>
      </w:tr>
      <w:tr>
        <w:trPr>
          <w:cantSplit/>
        </w:trPr>
        <w:tc>
          <w:tcPr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6840" w:type="dxa"/>
            <w:vAlign w:val="top"/>
            <w:textDirection w:val="lrTb"/>
            <w:noWrap w:val="false"/>
          </w:tcPr>
          <w:p>
            <w:pPr>
              <w:pStyle w:val="926"/>
              <w:pBdr/>
              <w:spacing/>
              <w:ind/>
              <w:rPr/>
            </w:pPr>
            <w:r>
              <w:t xml:space="preserve">Example</w:t>
            </w:r>
            <w:r>
              <w:t xml:space="preserve"> 2</w:t>
            </w:r>
            <w:r>
              <w:t xml:space="preserve">:</w:t>
            </w:r>
            <w:r>
              <w:t xml:space="preserve"> </w:t>
            </w:r>
            <w:r>
              <w:t xml:space="preserve">C++ </w:t>
            </w:r>
            <w:r>
              <w:t xml:space="preserve">size c</w:t>
            </w:r>
            <w:r>
              <w:t xml:space="preserve">ounting s</w:t>
            </w:r>
            <w:r>
              <w:t xml:space="preserve">tandard 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26"/>
              <w:pBdr/>
              <w:spacing/>
              <w:ind w:left="10"/>
              <w:jc w:val="center"/>
              <w:rPr/>
            </w:pPr>
            <w:r>
              <w:t xml:space="preserve">6</w:t>
            </w:r>
            <w:r/>
          </w:p>
        </w:tc>
      </w:tr>
      <w:tr>
        <w:trPr>
          <w:cantSplit/>
        </w:trPr>
        <w:tc>
          <w:tcPr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6840" w:type="dxa"/>
            <w:vAlign w:val="top"/>
            <w:textDirection w:val="lrTb"/>
            <w:noWrap w:val="false"/>
          </w:tcPr>
          <w:p>
            <w:pPr>
              <w:pStyle w:val="926"/>
              <w:pBdr/>
              <w:spacing/>
              <w:ind/>
              <w:rPr/>
            </w:pPr>
            <w:r>
              <w:t xml:space="preserve">Example </w:t>
            </w:r>
            <w:r>
              <w:t xml:space="preserve">3: </w:t>
            </w:r>
            <w:r>
              <w:t xml:space="preserve">another size counting s</w:t>
            </w:r>
            <w:r>
              <w:t xml:space="preserve">tandard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26"/>
              <w:pBdr/>
              <w:spacing/>
              <w:ind w:left="10"/>
              <w:jc w:val="center"/>
              <w:rPr/>
            </w:pPr>
            <w:r>
              <w:t xml:space="preserve">8</w:t>
            </w:r>
            <w:r/>
          </w:p>
        </w:tc>
      </w:tr>
      <w:tr>
        <w:trPr>
          <w:cantSplit/>
        </w:trPr>
        <w:tc>
          <w:tcPr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6840" w:type="dxa"/>
            <w:vAlign w:val="top"/>
            <w:textDirection w:val="lrTb"/>
            <w:noWrap w:val="false"/>
          </w:tcPr>
          <w:p>
            <w:pPr>
              <w:pStyle w:val="926"/>
              <w:pBdr/>
              <w:spacing/>
              <w:ind/>
              <w:rPr/>
            </w:pPr>
            <w:r>
              <w:t xml:space="preserve">E</w:t>
            </w:r>
            <w:r>
              <w:t xml:space="preserve">valuation c</w:t>
            </w:r>
            <w:r>
              <w:t xml:space="preserve">riteria</w:t>
            </w:r>
            <w:r>
              <w:t xml:space="preserve"> and suggestions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26"/>
              <w:pBdr/>
              <w:spacing/>
              <w:ind w:left="10"/>
              <w:jc w:val="center"/>
              <w:rPr/>
            </w:pPr>
            <w:r>
              <w:t xml:space="preserve">10</w:t>
            </w:r>
            <w:r/>
          </w:p>
        </w:tc>
      </w:tr>
      <w:tr>
        <w:trPr>
          <w:cantSplit/>
        </w:trPr>
        <w:tc>
          <w:tcPr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6840" w:type="dxa"/>
            <w:vAlign w:val="top"/>
            <w:textDirection w:val="lrTb"/>
            <w:noWrap w:val="false"/>
          </w:tcPr>
          <w:p>
            <w:pPr>
              <w:pStyle w:val="926"/>
              <w:pBdr/>
              <w:spacing/>
              <w:ind/>
              <w:rPr/>
            </w:pPr>
            <w:r>
              <w:t xml:space="preserve">Size</w:t>
            </w:r>
            <w:r>
              <w:t xml:space="preserve"> c</w:t>
            </w:r>
            <w:r>
              <w:t xml:space="preserve">ounting standard t</w:t>
            </w:r>
            <w:r>
              <w:t xml:space="preserve">emplate</w:t>
            </w:r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26"/>
              <w:pBdr/>
              <w:spacing/>
              <w:ind w:left="10"/>
              <w:jc w:val="center"/>
              <w:rPr/>
            </w:pPr>
            <w:r>
              <w:t xml:space="preserve">11</w:t>
            </w:r>
            <w:r/>
          </w:p>
        </w:tc>
      </w:tr>
    </w:tbl>
    <w:p>
      <w:pPr>
        <w:pStyle w:val="932"/>
        <w:pBdr/>
        <w:spacing/>
        <w:ind/>
        <w:rPr/>
      </w:pPr>
      <w:r/>
      <w:r/>
    </w:p>
    <w:tbl>
      <w:tblPr>
        <w:tblInd w:w="80" w:type="dxa"/>
        <w:tblW w:w="0" w:type="auto"/>
        <w:tblCellMar>
          <w:left w:w="80" w:type="dxa"/>
          <w:top w:w="0" w:type="dxa"/>
          <w:right w:w="8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1980"/>
        <w:gridCol w:w="8100"/>
      </w:tblGrid>
      <w:tr>
        <w:trPr>
          <w:cantSplit/>
          <w:trHeight w:val="300"/>
        </w:trPr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0" w:type="dxa"/>
            <w:vAlign w:val="top"/>
            <w:textDirection w:val="lrTb"/>
            <w:noWrap w:val="false"/>
          </w:tcPr>
          <w:p>
            <w:pPr>
              <w:pStyle w:val="926"/>
              <w:pBdr/>
              <w:spacing/>
              <w:ind/>
              <w:rPr>
                <w:b/>
              </w:rPr>
            </w:pPr>
            <w:r>
              <w:rPr>
                <w:b/>
              </w:rPr>
              <w:t xml:space="preserve">Prerequisites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8100" w:type="dxa"/>
            <w:vAlign w:val="top"/>
            <w:vMerge w:val="restart"/>
            <w:textDirection w:val="lrTb"/>
            <w:noWrap w:val="false"/>
          </w:tcPr>
          <w:p>
            <w:pPr>
              <w:pStyle w:val="926"/>
              <w:pBdr/>
              <w:spacing/>
              <w:ind w:firstLine="260" w:left="-260"/>
              <w:rPr/>
            </w:pPr>
            <w:r>
              <w:t xml:space="preserve">Prerequisite reading</w:t>
            </w:r>
            <w:r/>
          </w:p>
          <w:p>
            <w:pPr>
              <w:pStyle w:val="929"/>
              <w:pBdr/>
              <w:spacing/>
              <w:ind w:left="280"/>
              <w:rPr/>
            </w:pPr>
            <w:r>
              <w:t xml:space="preserve">•</w:t>
              <w:tab/>
            </w:r>
            <w:r>
              <w:t xml:space="preserve">Chapter 3</w:t>
            </w:r>
            <w:r/>
          </w:p>
        </w:tc>
      </w:tr>
      <w:tr>
        <w:trPr>
          <w:cantSplit/>
          <w:trHeight w:val="300"/>
        </w:trPr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0" w:type="dxa"/>
            <w:vAlign w:val="top"/>
            <w:textDirection w:val="lrTb"/>
            <w:noWrap w:val="false"/>
          </w:tcPr>
          <w:p>
            <w:pPr>
              <w:pStyle w:val="926"/>
              <w:pBdr/>
              <w:spacing/>
              <w:ind w:left="-2420"/>
              <w:rPr/>
            </w:pPr>
            <w:r/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8100" w:type="dxa"/>
            <w:vAlign w:val="top"/>
            <w:vMerge w:val="continue"/>
            <w:textDirection w:val="lrTb"/>
            <w:noWrap w:val="false"/>
          </w:tcPr>
          <w:p>
            <w:pPr>
              <w:pStyle w:val="937"/>
              <w:pBdr/>
              <w:spacing/>
              <w:ind/>
              <w:rPr/>
            </w:pPr>
            <w:r/>
            <w:r/>
          </w:p>
        </w:tc>
      </w:tr>
    </w:tbl>
    <w:p>
      <w:pPr>
        <w:pStyle w:val="932"/>
        <w:pBdr/>
        <w:spacing/>
        <w:ind/>
        <w:rPr/>
      </w:pPr>
      <w:r/>
      <w:r/>
    </w:p>
    <w:tbl>
      <w:tblPr>
        <w:tblInd w:w="0" w:type="dxa"/>
        <w:tblW w:w="0" w:type="auto"/>
        <w:tblCellMar>
          <w:left w:w="180" w:type="dxa"/>
          <w:top w:w="0" w:type="dxa"/>
          <w:right w:w="18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2160"/>
        <w:gridCol w:w="8010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2160" w:type="dxa"/>
            <w:vAlign w:val="top"/>
            <w:textDirection w:val="lrTb"/>
            <w:noWrap w:val="false"/>
          </w:tcPr>
          <w:p>
            <w:pPr>
              <w:pStyle w:val="923"/>
              <w:pBdr/>
              <w:spacing/>
              <w:ind w:right="0"/>
              <w:rPr/>
            </w:pPr>
            <w:r>
              <w:t xml:space="preserve">Objectives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8010" w:type="dxa"/>
            <w:vAlign w:val="top"/>
            <w:textDirection w:val="lrTb"/>
            <w:noWrap w:val="false"/>
          </w:tcPr>
          <w:p>
            <w:pPr>
              <w:pStyle w:val="925"/>
              <w:pBdr/>
              <w:spacing/>
              <w:ind/>
              <w:rPr/>
            </w:pPr>
            <w:r>
              <w:t xml:space="preserve">The objectives of Size Counting standard are to</w:t>
            </w:r>
            <w:r/>
          </w:p>
          <w:p>
            <w:pPr>
              <w:pStyle w:val="929"/>
              <w:pBdr/>
              <w:spacing/>
              <w:ind/>
              <w:rPr/>
            </w:pPr>
            <w:r>
              <w:t xml:space="preserve">•</w:t>
              <w:tab/>
              <w:t xml:space="preserve">define the size counting standards that are appropriate for the programming language and environment that you will use</w:t>
            </w:r>
            <w:r/>
          </w:p>
          <w:p>
            <w:pPr>
              <w:pStyle w:val="929"/>
              <w:pBdr/>
              <w:spacing/>
              <w:ind/>
              <w:rPr/>
            </w:pPr>
            <w:r>
              <w:t xml:space="preserve">•</w:t>
              <w:tab/>
              <w:t xml:space="preserve">provide a basis for developing a coding standard</w:t>
            </w:r>
            <w:r/>
          </w:p>
          <w:p>
            <w:pPr>
              <w:pStyle w:val="929"/>
              <w:pBdr/>
              <w:spacing/>
              <w:ind/>
              <w:rPr/>
            </w:pPr>
            <w:r>
              <w:t xml:space="preserve">•</w:t>
              <w:tab/>
              <w:t xml:space="preserve">prepare for developing a program to count program size</w:t>
            </w:r>
            <w:r/>
          </w:p>
        </w:tc>
      </w:tr>
    </w:tbl>
    <w:p>
      <w:pPr>
        <w:pStyle w:val="932"/>
        <w:pBdr/>
        <w:spacing/>
        <w:ind/>
        <w:rPr/>
      </w:pPr>
      <w:r/>
      <w:r/>
    </w:p>
    <w:p>
      <w:pPr>
        <w:pStyle w:val="906"/>
        <w:pBdr/>
        <w:spacing/>
        <w:ind/>
        <w:rPr/>
      </w:pPr>
      <w:r/>
      <w:r/>
    </w:p>
    <w:p>
      <w:pPr>
        <w:pStyle w:val="905"/>
        <w:pBdr/>
        <w:spacing/>
        <w:ind/>
        <w:rPr/>
      </w:pPr>
      <w:r>
        <w:t xml:space="preserve">Size counting standard r</w:t>
      </w:r>
      <w:r>
        <w:t xml:space="preserve">equirements</w:t>
      </w:r>
      <w:r/>
    </w:p>
    <w:p>
      <w:pPr>
        <w:pStyle w:val="932"/>
        <w:pBdr/>
        <w:spacing/>
        <w:ind/>
        <w:rPr/>
      </w:pPr>
      <w:r/>
      <w:r/>
    </w:p>
    <w:tbl>
      <w:tblPr>
        <w:tblInd w:w="0" w:type="dxa"/>
        <w:tblW w:w="0" w:type="auto"/>
        <w:tblCellMar>
          <w:left w:w="180" w:type="dxa"/>
          <w:top w:w="0" w:type="dxa"/>
          <w:right w:w="18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2160"/>
        <w:gridCol w:w="8010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2160" w:type="dxa"/>
            <w:vAlign w:val="top"/>
            <w:textDirection w:val="lrTb"/>
            <w:noWrap w:val="false"/>
          </w:tcPr>
          <w:p>
            <w:pPr>
              <w:pStyle w:val="906"/>
              <w:pBdr/>
              <w:spacing/>
              <w:ind w:right="0"/>
              <w:rPr/>
            </w:pPr>
            <w:r>
              <w:t xml:space="preserve">Size counting standard r</w:t>
            </w:r>
            <w:r>
              <w:t xml:space="preserve">equirements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8010" w:type="dxa"/>
            <w:vAlign w:val="top"/>
            <w:textDirection w:val="lrTb"/>
            <w:noWrap w:val="false"/>
          </w:tcPr>
          <w:p>
            <w:pPr>
              <w:pStyle w:val="925"/>
              <w:pBdr/>
              <w:spacing/>
              <w:ind/>
              <w:rPr/>
            </w:pPr>
            <w:r>
              <w:t xml:space="preserve">Produce and document a standard for counting </w:t>
            </w:r>
            <w:r>
              <w:t xml:space="preserve">program size</w:t>
            </w:r>
            <w:r>
              <w:t xml:space="preserve"> for the language </w:t>
            </w:r>
            <w:r>
              <w:t xml:space="preserve">and environment </w:t>
            </w:r>
            <w:r>
              <w:t xml:space="preserve">that you will use in this course.</w:t>
            </w:r>
            <w:r/>
          </w:p>
          <w:p>
            <w:pPr>
              <w:pStyle w:val="925"/>
              <w:pBdr/>
              <w:spacing/>
              <w:ind/>
              <w:rPr/>
            </w:pPr>
            <w:r/>
            <w:r/>
          </w:p>
          <w:p>
            <w:pPr>
              <w:pStyle w:val="925"/>
              <w:pBdr/>
              <w:spacing/>
              <w:ind/>
              <w:rPr/>
            </w:pPr>
            <w:r>
              <w:t xml:space="preserve">Submit the completed standard using the format in </w:t>
            </w:r>
            <w:r>
              <w:t xml:space="preserve">the </w:t>
            </w:r>
            <w:r>
              <w:t xml:space="preserve">template on page </w:t>
            </w:r>
            <w:r>
              <w:t xml:space="preserve">11</w:t>
            </w:r>
            <w:r>
              <w:t xml:space="preserve"> with your program 2 assignment package.</w:t>
            </w:r>
            <w:r/>
          </w:p>
        </w:tc>
      </w:tr>
    </w:tbl>
    <w:p>
      <w:pPr>
        <w:pStyle w:val="932"/>
        <w:pBdr/>
        <w:spacing/>
        <w:ind/>
        <w:rPr/>
      </w:pPr>
      <w:r/>
      <w:r/>
    </w:p>
    <w:p>
      <w:pPr>
        <w:pStyle w:val="905"/>
        <w:pBdr/>
        <w:spacing/>
        <w:ind/>
        <w:rPr/>
      </w:pPr>
      <w:r>
        <w:t xml:space="preserve">Example</w:t>
      </w:r>
      <w:r>
        <w:t xml:space="preserve"> 1</w:t>
      </w:r>
      <w:r>
        <w:t xml:space="preserve">:</w:t>
      </w:r>
      <w:r>
        <w:t xml:space="preserve"> Pascal </w:t>
      </w:r>
      <w:r>
        <w:t xml:space="preserve">s</w:t>
      </w:r>
      <w:r>
        <w:t xml:space="preserve">ize</w:t>
      </w:r>
      <w:r>
        <w:t xml:space="preserve"> c</w:t>
      </w:r>
      <w:r>
        <w:t xml:space="preserve">ounting s</w:t>
      </w:r>
      <w:r>
        <w:t xml:space="preserve">tandard</w:t>
      </w:r>
      <w:r/>
    </w:p>
    <w:p>
      <w:pPr>
        <w:pStyle w:val="932"/>
        <w:pBdr/>
        <w:spacing/>
        <w:ind/>
        <w:rPr/>
      </w:pPr>
      <w:r/>
      <w:r/>
    </w:p>
    <w:tbl>
      <w:tblPr>
        <w:tblInd w:w="0" w:type="dxa"/>
        <w:tblW w:w="0" w:type="auto"/>
        <w:tblCellMar>
          <w:left w:w="180" w:type="dxa"/>
          <w:top w:w="0" w:type="dxa"/>
          <w:right w:w="18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2160"/>
        <w:gridCol w:w="8010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2160" w:type="dxa"/>
            <w:vAlign w:val="top"/>
            <w:textDirection w:val="lrTb"/>
            <w:noWrap w:val="false"/>
          </w:tcPr>
          <w:p>
            <w:pPr>
              <w:pStyle w:val="923"/>
              <w:pBdr/>
              <w:spacing/>
              <w:ind w:right="0"/>
              <w:rPr/>
            </w:pPr>
            <w:r>
              <w:t xml:space="preserve">Overview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8010" w:type="dxa"/>
            <w:vAlign w:val="top"/>
            <w:textDirection w:val="lrTb"/>
            <w:noWrap w:val="false"/>
          </w:tcPr>
          <w:p>
            <w:pPr>
              <w:pStyle w:val="925"/>
              <w:pBdr/>
              <w:spacing/>
              <w:ind/>
              <w:rPr/>
            </w:pPr>
            <w:r>
              <w:t xml:space="preserve">The template is a simplified version of the SEI measurement framework.</w:t>
            </w:r>
            <w:r/>
          </w:p>
          <w:p>
            <w:pPr>
              <w:pStyle w:val="929"/>
              <w:pBdr/>
              <w:spacing/>
              <w:ind/>
              <w:rPr/>
            </w:pPr>
            <w:r>
              <w:t xml:space="preserve">•</w:t>
              <w:tab/>
              <w:t xml:space="preserve">Use this template to describe important items.</w:t>
            </w:r>
            <w:r/>
          </w:p>
          <w:p>
            <w:pPr>
              <w:pStyle w:val="929"/>
              <w:pBdr/>
              <w:spacing/>
              <w:ind/>
              <w:rPr/>
            </w:pPr>
            <w:r>
              <w:t xml:space="preserve">•</w:t>
              <w:tab/>
              <w:t xml:space="preserve">Tailor it to fit your needs or language.</w:t>
            </w:r>
            <w:r/>
          </w:p>
          <w:p>
            <w:pPr>
              <w:pStyle w:val="929"/>
              <w:pBdr/>
              <w:spacing/>
              <w:ind/>
              <w:rPr/>
            </w:pPr>
            <w:r/>
            <w:r/>
          </w:p>
          <w:p>
            <w:pPr>
              <w:pStyle w:val="925"/>
              <w:pBdr/>
              <w:spacing/>
              <w:ind/>
              <w:rPr/>
            </w:pPr>
            <w:r>
              <w:t xml:space="preserve">We’ll</w:t>
            </w:r>
            <w:r>
              <w:t xml:space="preserve"> walk through </w:t>
            </w:r>
            <w:r>
              <w:t xml:space="preserve">two</w:t>
            </w:r>
            <w:r>
              <w:t xml:space="preserve"> example </w:t>
            </w:r>
            <w:r>
              <w:t xml:space="preserve">size</w:t>
            </w:r>
            <w:r>
              <w:t xml:space="preserve"> counting standard</w:t>
            </w:r>
            <w:r>
              <w:t xml:space="preserve">s</w:t>
            </w:r>
            <w:r>
              <w:t xml:space="preserve">.  The </w:t>
            </w:r>
            <w:r>
              <w:t xml:space="preserve">first </w:t>
            </w:r>
            <w:r>
              <w:t xml:space="preserve">example is </w:t>
            </w:r>
            <w:r>
              <w:t xml:space="preserve">for logical LOC for Pascal programs</w:t>
            </w:r>
            <w:r>
              <w:t xml:space="preserve">.</w:t>
            </w:r>
            <w:r/>
          </w:p>
        </w:tc>
      </w:tr>
    </w:tbl>
    <w:p>
      <w:pPr>
        <w:pStyle w:val="932"/>
        <w:pBdr/>
        <w:spacing/>
        <w:ind/>
        <w:rPr/>
      </w:pPr>
      <w:r/>
      <w:r/>
    </w:p>
    <w:tbl>
      <w:tblPr>
        <w:tblInd w:w="0" w:type="dxa"/>
        <w:tblW w:w="0" w:type="auto"/>
        <w:tblCellMar>
          <w:left w:w="180" w:type="dxa"/>
          <w:top w:w="0" w:type="dxa"/>
          <w:right w:w="18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2160"/>
        <w:gridCol w:w="8010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2160" w:type="dxa"/>
            <w:vAlign w:val="top"/>
            <w:textDirection w:val="lrTb"/>
            <w:noWrap w:val="false"/>
          </w:tcPr>
          <w:p>
            <w:pPr>
              <w:pStyle w:val="923"/>
              <w:pBdr/>
              <w:spacing/>
              <w:ind w:right="0"/>
              <w:rPr/>
            </w:pPr>
            <w:r>
              <w:t xml:space="preserve">Completing the h</w:t>
            </w:r>
            <w:r>
              <w:t xml:space="preserve">eader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8010" w:type="dxa"/>
            <w:vAlign w:val="top"/>
            <w:textDirection w:val="lrTb"/>
            <w:noWrap w:val="false"/>
          </w:tcPr>
          <w:p>
            <w:pPr>
              <w:pStyle w:val="925"/>
              <w:pBdr/>
              <w:spacing/>
              <w:ind/>
              <w:rPr/>
            </w:pPr>
            <w:r>
              <w:t xml:space="preserve">Complete the header as follows:</w:t>
            </w:r>
            <w:r/>
          </w:p>
          <w:p>
            <w:pPr>
              <w:pStyle w:val="929"/>
              <w:pBdr/>
              <w:spacing/>
              <w:ind/>
              <w:rPr/>
            </w:pPr>
            <w:r>
              <w:t xml:space="preserve">•</w:t>
              <w:tab/>
              <w:t xml:space="preserve">the name you give this standard</w:t>
            </w:r>
            <w:r/>
          </w:p>
          <w:p>
            <w:pPr>
              <w:pStyle w:val="929"/>
              <w:pBdr/>
              <w:spacing/>
              <w:ind/>
              <w:rPr/>
            </w:pPr>
            <w:r>
              <w:t xml:space="preserve">•</w:t>
              <w:tab/>
              <w:t xml:space="preserve">the language you are using</w:t>
            </w:r>
            <w:r/>
          </w:p>
          <w:p>
            <w:pPr>
              <w:pStyle w:val="929"/>
              <w:pBdr/>
              <w:spacing/>
              <w:ind/>
              <w:rPr/>
            </w:pPr>
            <w:r>
              <w:t xml:space="preserve">•</w:t>
              <w:tab/>
              <w:t xml:space="preserve">your name</w:t>
            </w:r>
            <w:r/>
          </w:p>
          <w:p>
            <w:pPr>
              <w:pStyle w:val="929"/>
              <w:pBdr/>
              <w:spacing/>
              <w:ind/>
              <w:rPr/>
            </w:pPr>
            <w:r>
              <w:t xml:space="preserve">•</w:t>
              <w:tab/>
              <w:t xml:space="preserve">the date you produced this standard (or revision)</w:t>
            </w:r>
            <w:r/>
          </w:p>
        </w:tc>
      </w:tr>
    </w:tbl>
    <w:p>
      <w:pPr>
        <w:pStyle w:val="932"/>
        <w:pBdr/>
        <w:spacing/>
        <w:ind/>
        <w:rPr/>
      </w:pPr>
      <w:r/>
      <w:r/>
    </w:p>
    <w:tbl>
      <w:tblPr>
        <w:tblInd w:w="0" w:type="dxa"/>
        <w:tblW w:w="0" w:type="auto"/>
        <w:tblCellMar>
          <w:left w:w="180" w:type="dxa"/>
          <w:top w:w="0" w:type="dxa"/>
          <w:right w:w="18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2160"/>
        <w:gridCol w:w="8010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2160" w:type="dxa"/>
            <w:vAlign w:val="top"/>
            <w:textDirection w:val="lrTb"/>
            <w:noWrap w:val="false"/>
          </w:tcPr>
          <w:p>
            <w:pPr>
              <w:pStyle w:val="923"/>
              <w:pBdr/>
              <w:spacing/>
              <w:ind w:right="0"/>
              <w:rPr/>
            </w:pPr>
            <w:r>
              <w:t xml:space="preserve">Count t</w:t>
            </w:r>
            <w:r>
              <w:t xml:space="preserve">ype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8010" w:type="dxa"/>
            <w:vAlign w:val="top"/>
            <w:textDirection w:val="lrTb"/>
            <w:noWrap w:val="false"/>
          </w:tcPr>
          <w:p>
            <w:pPr>
              <w:pStyle w:val="925"/>
              <w:pBdr/>
              <w:spacing/>
              <w:ind/>
              <w:rPr/>
            </w:pPr>
            <w:r>
              <w:t xml:space="preserve">Choices are logical and physical LOC.</w:t>
            </w:r>
            <w:r/>
          </w:p>
          <w:p>
            <w:pPr>
              <w:pStyle w:val="929"/>
              <w:pBdr/>
              <w:spacing/>
              <w:ind/>
              <w:rPr/>
            </w:pPr>
            <w:r>
              <w:t xml:space="preserve">•</w:t>
              <w:tab/>
              <w:t xml:space="preserve">Logical LOC counts language elements.</w:t>
            </w:r>
            <w:r/>
          </w:p>
          <w:p>
            <w:pPr>
              <w:pStyle w:val="929"/>
              <w:pBdr/>
              <w:spacing/>
              <w:ind/>
              <w:rPr/>
            </w:pPr>
            <w:r>
              <w:t xml:space="preserve">•</w:t>
              <w:tab/>
              <w:t xml:space="preserve">Physical LOC counts text lines.</w:t>
            </w:r>
            <w:r/>
          </w:p>
          <w:p>
            <w:pPr>
              <w:pStyle w:val="925"/>
              <w:pBdr/>
              <w:spacing/>
              <w:ind/>
              <w:rPr/>
            </w:pPr>
            <w:r/>
            <w:r/>
          </w:p>
          <w:p>
            <w:pPr>
              <w:pStyle w:val="925"/>
              <w:pBdr/>
              <w:spacing/>
              <w:ind/>
              <w:rPr/>
            </w:pPr>
            <w:r>
              <w:t xml:space="preserve">For this counting standard, you are counting logical LOC.</w:t>
            </w:r>
            <w:r/>
          </w:p>
        </w:tc>
      </w:tr>
    </w:tbl>
    <w:p>
      <w:pPr>
        <w:pStyle w:val="932"/>
        <w:pBdr/>
        <w:spacing/>
        <w:ind/>
        <w:rPr/>
      </w:pPr>
      <w:r/>
      <w:r/>
    </w:p>
    <w:tbl>
      <w:tblPr>
        <w:tblInd w:w="0" w:type="dxa"/>
        <w:tblW w:w="0" w:type="auto"/>
        <w:tblCellMar>
          <w:left w:w="180" w:type="dxa"/>
          <w:top w:w="0" w:type="dxa"/>
          <w:right w:w="18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2160"/>
        <w:gridCol w:w="8010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2160" w:type="dxa"/>
            <w:vAlign w:val="top"/>
            <w:textDirection w:val="lrTb"/>
            <w:noWrap w:val="false"/>
          </w:tcPr>
          <w:p>
            <w:pPr>
              <w:pStyle w:val="923"/>
              <w:pBdr/>
              <w:spacing/>
              <w:ind w:right="0"/>
              <w:rPr/>
            </w:pPr>
            <w:r>
              <w:t xml:space="preserve">Statement </w:t>
            </w:r>
            <w:r>
              <w:t xml:space="preserve">t</w:t>
            </w:r>
            <w:r>
              <w:t xml:space="preserve">ype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8010" w:type="dxa"/>
            <w:vAlign w:val="top"/>
            <w:textDirection w:val="lrTb"/>
            <w:noWrap w:val="false"/>
          </w:tcPr>
          <w:p>
            <w:pPr>
              <w:pStyle w:val="925"/>
              <w:pBdr/>
              <w:spacing/>
              <w:ind/>
              <w:rPr/>
            </w:pPr>
            <w:r>
              <w:t xml:space="preserve">Use this section to define how you will count various types of stat</w:t>
            </w:r>
            <w:r>
              <w:t xml:space="preserve">ements.  Consider the following:</w:t>
            </w:r>
            <w:r/>
          </w:p>
          <w:p>
            <w:pPr>
              <w:pStyle w:val="929"/>
              <w:pBdr/>
              <w:spacing/>
              <w:ind/>
              <w:rPr/>
            </w:pPr>
            <w:r>
              <w:t xml:space="preserve">•</w:t>
              <w:tab/>
              <w:t xml:space="preserve">How are you going to count procedure declarations and function prototypes?</w:t>
            </w:r>
            <w:r/>
          </w:p>
          <w:p>
            <w:pPr>
              <w:pStyle w:val="929"/>
              <w:pBdr/>
              <w:spacing/>
              <w:ind/>
              <w:rPr/>
            </w:pPr>
            <w:r>
              <w:t xml:space="preserve">•</w:t>
              <w:tab/>
              <w:t xml:space="preserve">How will you count compiler directives?</w:t>
            </w:r>
            <w:r/>
          </w:p>
          <w:p>
            <w:pPr>
              <w:pStyle w:val="929"/>
              <w:pBdr/>
              <w:spacing/>
              <w:ind/>
              <w:rPr/>
            </w:pPr>
            <w:r>
              <w:t xml:space="preserve">•</w:t>
              <w:tab/>
              <w:t xml:space="preserve">Will you count </w:t>
            </w:r>
            <w:r>
              <w:t xml:space="preserve">blank lines or </w:t>
            </w:r>
            <w:r>
              <w:t xml:space="preserve">comments?  Why or why not?</w:t>
            </w:r>
            <w:r/>
          </w:p>
        </w:tc>
      </w:tr>
    </w:tbl>
    <w:p>
      <w:pPr>
        <w:pStyle w:val="932"/>
        <w:pBdr/>
        <w:spacing/>
        <w:ind/>
        <w:rPr/>
      </w:pPr>
      <w:r/>
      <w:r/>
    </w:p>
    <w:tbl>
      <w:tblPr>
        <w:tblInd w:w="0" w:type="dxa"/>
        <w:tblW w:w="0" w:type="auto"/>
        <w:tblCellMar>
          <w:left w:w="180" w:type="dxa"/>
          <w:top w:w="0" w:type="dxa"/>
          <w:right w:w="18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2160"/>
        <w:gridCol w:w="8010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2160" w:type="dxa"/>
            <w:vAlign w:val="top"/>
            <w:textDirection w:val="lrTb"/>
            <w:noWrap w:val="false"/>
          </w:tcPr>
          <w:p>
            <w:pPr>
              <w:pStyle w:val="923"/>
              <w:pBdr/>
              <w:spacing/>
              <w:ind w:right="0"/>
              <w:rPr/>
            </w:pPr>
            <w:r>
              <w:t xml:space="preserve">Clarifications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8010" w:type="dxa"/>
            <w:vAlign w:val="top"/>
            <w:textDirection w:val="lrTb"/>
            <w:noWrap w:val="false"/>
          </w:tcPr>
          <w:p>
            <w:pPr>
              <w:pStyle w:val="925"/>
              <w:pBdr/>
              <w:spacing/>
              <w:ind/>
              <w:rPr/>
            </w:pPr>
            <w:r>
              <w:t xml:space="preserve">A fully operational standard generally requires many notes and comments.</w:t>
            </w:r>
            <w:r/>
          </w:p>
          <w:p>
            <w:pPr>
              <w:pStyle w:val="925"/>
              <w:pBdr/>
              <w:spacing/>
              <w:ind/>
              <w:rPr/>
            </w:pPr>
            <w:r>
              <w:t xml:space="preserve">Use the clarification section for this purpose.</w:t>
            </w:r>
            <w:r/>
          </w:p>
        </w:tc>
      </w:tr>
    </w:tbl>
    <w:p>
      <w:pPr>
        <w:pStyle w:val="924"/>
        <w:pBdr/>
        <w:spacing/>
        <w:ind/>
        <w:rPr/>
      </w:pPr>
      <w:r>
        <w:t xml:space="preserve">Continued on next page</w:t>
      </w:r>
      <w:r/>
    </w:p>
    <w:p>
      <w:pPr>
        <w:pStyle w:val="902"/>
        <w:pBdr/>
        <w:spacing/>
        <w:ind/>
        <w:jc w:val="center"/>
        <w:rPr>
          <w:rFonts w:ascii="Helvetica" w:hAnsi="Helvetica"/>
          <w:b/>
        </w:rPr>
      </w:pPr>
      <w:r>
        <w:br w:type="page" w:clear="all"/>
      </w:r>
      <w:r>
        <w:rPr>
          <w:rFonts w:ascii="Helvetica" w:hAnsi="Helvetica" w:cs="Helvetica"/>
          <w:b/>
          <w:bCs/>
        </w:rPr>
        <w:t xml:space="preserve">Pascal</w:t>
      </w:r>
      <w:r>
        <w:t xml:space="preserve"> </w:t>
      </w:r>
      <w:r>
        <w:rPr>
          <w:rFonts w:ascii="Helvetica" w:hAnsi="Helvetica"/>
          <w:b/>
        </w:rPr>
        <w:t xml:space="preserve">LOC</w:t>
      </w:r>
      <w:r>
        <w:rPr>
          <w:rFonts w:ascii="Helvetica" w:hAnsi="Helvetica"/>
          <w:b/>
        </w:rPr>
        <w:t xml:space="preserve"> C</w:t>
      </w:r>
      <w:r>
        <w:rPr>
          <w:rFonts w:ascii="Helvetica" w:hAnsi="Helvetica"/>
          <w:b/>
        </w:rPr>
        <w:t xml:space="preserve">ounting Standard T</w:t>
      </w:r>
      <w:r>
        <w:rPr>
          <w:rFonts w:ascii="Helvetica" w:hAnsi="Helvetica"/>
          <w:b/>
        </w:rPr>
        <w:t xml:space="preserve">emplate</w:t>
      </w:r>
      <w:r>
        <w:rPr>
          <w:rFonts w:ascii="Helvetica" w:hAnsi="Helvetica"/>
          <w:b/>
        </w:rPr>
      </w:r>
      <w:r>
        <w:rPr>
          <w:rFonts w:ascii="Helvetica" w:hAnsi="Helvetica"/>
          <w:b/>
        </w:rPr>
      </w:r>
    </w:p>
    <w:p>
      <w:pPr>
        <w:pStyle w:val="902"/>
        <w:pBdr/>
        <w:spacing/>
        <w:ind/>
        <w:rPr>
          <w:rFonts w:ascii="Helvetica" w:hAnsi="Helvetica"/>
        </w:rPr>
      </w:pPr>
      <w:r>
        <w:rPr>
          <w:rFonts w:ascii="Helvetica" w:hAnsi="Helvetica"/>
        </w:rPr>
      </w:r>
      <w:r>
        <w:rPr>
          <w:rFonts w:ascii="Helvetica" w:hAnsi="Helvetica"/>
        </w:rPr>
      </w:r>
      <w:r>
        <w:rPr>
          <w:rFonts w:ascii="Helvetica" w:hAnsi="Helvetica"/>
        </w:rPr>
      </w:r>
    </w:p>
    <w:tbl>
      <w:tblPr>
        <w:jc w:val="center"/>
        <w:tblInd w:w="0" w:type="dxa"/>
        <w:tblW w:w="0" w:type="auto"/>
        <w:tblCellMar>
          <w:left w:w="80" w:type="dxa"/>
          <w:top w:w="0" w:type="dxa"/>
          <w:right w:w="8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1880"/>
        <w:gridCol w:w="3960"/>
        <w:gridCol w:w="1440"/>
        <w:gridCol w:w="2160"/>
      </w:tblGrid>
      <w:tr>
        <w:trPr>
          <w:cantSplit/>
        </w:trPr>
        <w:tc>
          <w:tcPr>
            <w:tcBorders/>
            <w:tcW w:w="18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 xml:space="preserve">Definition Name:</w:t>
            </w:r>
            <w:r>
              <w:rPr>
                <w:rFonts w:ascii="Helvetica" w:hAnsi="Helvetica"/>
                <w:sz w:val="22"/>
              </w:rPr>
            </w:r>
            <w:r>
              <w:rPr>
                <w:rFonts w:ascii="Helvetica" w:hAnsi="Helvetica"/>
                <w:sz w:val="22"/>
              </w:rPr>
            </w:r>
          </w:p>
        </w:tc>
        <w:tc>
          <w:tcPr>
            <w:tcBorders>
              <w:bottom w:val="single" w:color="auto" w:sz="6" w:space="0"/>
            </w:tcBorders>
            <w:tcW w:w="39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2"/>
              </w:rPr>
            </w:pPr>
            <w:r>
              <w:rPr>
                <w:rFonts w:ascii="Comic Sans MS" w:hAnsi="Comic Sans MS"/>
                <w:sz w:val="22"/>
              </w:rPr>
              <w:t xml:space="preserve">Example Pascal LOC Std</w:t>
            </w:r>
            <w:r>
              <w:rPr>
                <w:rFonts w:ascii="Helvetica" w:hAnsi="Helvetica"/>
                <w:sz w:val="22"/>
              </w:rPr>
              <w:t xml:space="preserve">.</w:t>
            </w:r>
            <w:r>
              <w:rPr>
                <w:rFonts w:ascii="Helvetica" w:hAnsi="Helvetica"/>
                <w:sz w:val="22"/>
              </w:rPr>
            </w:r>
            <w:r>
              <w:rPr>
                <w:rFonts w:ascii="Helvetica" w:hAnsi="Helvetica"/>
                <w:sz w:val="22"/>
              </w:rPr>
            </w:r>
          </w:p>
        </w:tc>
        <w:tc>
          <w:tcPr>
            <w:tcBorders/>
            <w:tcW w:w="144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 xml:space="preserve">Language:</w:t>
            </w:r>
            <w:r>
              <w:rPr>
                <w:rFonts w:ascii="Helvetica" w:hAnsi="Helvetica"/>
                <w:sz w:val="22"/>
              </w:rPr>
            </w:r>
            <w:r>
              <w:rPr>
                <w:rFonts w:ascii="Helvetica" w:hAnsi="Helvetica"/>
                <w:sz w:val="22"/>
              </w:rPr>
            </w:r>
          </w:p>
        </w:tc>
        <w:tc>
          <w:tcPr>
            <w:tcBorders>
              <w:bottom w:val="single" w:color="auto" w:sz="6" w:space="0"/>
            </w:tcBorders>
            <w:tcW w:w="21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 xml:space="preserve">Pascal</w:t>
            </w:r>
            <w:r>
              <w:rPr>
                <w:rFonts w:ascii="Comic Sans MS" w:hAnsi="Comic Sans MS"/>
                <w:sz w:val="22"/>
              </w:rPr>
            </w:r>
            <w:r>
              <w:rPr>
                <w:rFonts w:ascii="Comic Sans MS" w:hAnsi="Comic Sans MS"/>
                <w:sz w:val="22"/>
              </w:rPr>
            </w:r>
          </w:p>
        </w:tc>
      </w:tr>
      <w:tr>
        <w:trPr>
          <w:cantSplit/>
        </w:trPr>
        <w:tc>
          <w:tcPr>
            <w:tcBorders/>
            <w:tcW w:w="18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 xml:space="preserve">Author:</w:t>
            </w:r>
            <w:r>
              <w:rPr>
                <w:rFonts w:ascii="Helvetica" w:hAnsi="Helvetica"/>
                <w:sz w:val="22"/>
              </w:rPr>
            </w:r>
            <w:r>
              <w:rPr>
                <w:rFonts w:ascii="Helvetica" w:hAnsi="Helvetica"/>
                <w:sz w:val="22"/>
              </w:rPr>
            </w:r>
          </w:p>
        </w:tc>
        <w:tc>
          <w:tcPr>
            <w:tcBorders>
              <w:top w:val="single" w:color="auto" w:sz="6" w:space="0"/>
              <w:bottom w:val="single" w:color="auto" w:sz="6" w:space="0"/>
            </w:tcBorders>
            <w:tcW w:w="39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 xml:space="preserve">W. S. Humphr</w:t>
            </w:r>
            <w:r>
              <w:rPr>
                <w:rFonts w:ascii="Comic Sans MS" w:hAnsi="Comic Sans MS"/>
                <w:sz w:val="22"/>
              </w:rPr>
              <w:t xml:space="preserve">e</w:t>
            </w:r>
            <w:r>
              <w:rPr>
                <w:rFonts w:ascii="Comic Sans MS" w:hAnsi="Comic Sans MS"/>
                <w:sz w:val="22"/>
              </w:rPr>
              <w:t xml:space="preserve">y</w:t>
            </w:r>
            <w:r>
              <w:rPr>
                <w:rFonts w:ascii="Comic Sans MS" w:hAnsi="Comic Sans MS"/>
                <w:sz w:val="22"/>
              </w:rPr>
            </w:r>
            <w:r>
              <w:rPr>
                <w:rFonts w:ascii="Comic Sans MS" w:hAnsi="Comic Sans MS"/>
                <w:sz w:val="22"/>
              </w:rPr>
            </w:r>
          </w:p>
        </w:tc>
        <w:tc>
          <w:tcPr>
            <w:tcBorders/>
            <w:tcW w:w="144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 xml:space="preserve">Date:</w:t>
            </w:r>
            <w:r>
              <w:rPr>
                <w:rFonts w:ascii="Helvetica" w:hAnsi="Helvetica"/>
                <w:sz w:val="22"/>
              </w:rPr>
            </w:r>
            <w:r>
              <w:rPr>
                <w:rFonts w:ascii="Helvetica" w:hAnsi="Helvetica"/>
                <w:sz w:val="22"/>
              </w:rPr>
            </w:r>
          </w:p>
        </w:tc>
        <w:tc>
          <w:tcPr>
            <w:tcBorders>
              <w:top w:val="single" w:color="auto" w:sz="6" w:space="0"/>
              <w:bottom w:val="single" w:color="auto" w:sz="6" w:space="0"/>
            </w:tcBorders>
            <w:tcW w:w="21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 xml:space="preserve">12/20/93</w:t>
            </w:r>
            <w:r>
              <w:rPr>
                <w:rFonts w:ascii="Comic Sans MS" w:hAnsi="Comic Sans MS"/>
                <w:sz w:val="22"/>
              </w:rPr>
            </w:r>
            <w:r>
              <w:rPr>
                <w:rFonts w:ascii="Comic Sans MS" w:hAnsi="Comic Sans MS"/>
                <w:sz w:val="22"/>
              </w:rPr>
            </w:r>
          </w:p>
        </w:tc>
      </w:tr>
    </w:tbl>
    <w:p>
      <w:pPr>
        <w:pStyle w:val="902"/>
        <w:pBdr/>
        <w:spacing/>
        <w:ind/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</w:r>
      <w:r>
        <w:rPr>
          <w:rFonts w:ascii="Helvetica" w:hAnsi="Helvetica"/>
          <w:sz w:val="16"/>
          <w:szCs w:val="16"/>
        </w:rPr>
      </w:r>
      <w:r>
        <w:rPr>
          <w:rFonts w:ascii="Helvetica" w:hAnsi="Helvetica"/>
          <w:sz w:val="16"/>
          <w:szCs w:val="16"/>
        </w:rPr>
      </w:r>
    </w:p>
    <w:tbl>
      <w:tblPr>
        <w:jc w:val="center"/>
        <w:tblInd w:w="0" w:type="dxa"/>
        <w:tblW w:w="0" w:type="auto"/>
        <w:tblCellMar>
          <w:left w:w="80" w:type="dxa"/>
          <w:top w:w="0" w:type="dxa"/>
          <w:right w:w="8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2600"/>
        <w:gridCol w:w="1260"/>
        <w:gridCol w:w="5580"/>
      </w:tblGrid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 xml:space="preserve">Count Type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 xml:space="preserve">Type</w:t>
            </w:r>
            <w:r>
              <w:rPr>
                <w:rFonts w:ascii="Helvetica" w:hAnsi="Helvetica"/>
                <w:b/>
                <w:sz w:val="20"/>
              </w:rPr>
            </w:r>
            <w:r>
              <w:rPr>
                <w:rFonts w:ascii="Helvetica" w:hAnsi="Helvetica"/>
                <w:b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 xml:space="preserve">Comments</w:t>
            </w:r>
            <w:r>
              <w:rPr>
                <w:rFonts w:ascii="Helvetica" w:hAnsi="Helvetica"/>
                <w:b/>
                <w:sz w:val="20"/>
              </w:rPr>
            </w:r>
            <w:r>
              <w:rPr>
                <w:rFonts w:ascii="Helvetica" w:hAnsi="Helvetica"/>
                <w:b/>
                <w:sz w:val="20"/>
              </w:rPr>
            </w:r>
          </w:p>
        </w:tc>
      </w:tr>
      <w:tr>
        <w:trPr>
          <w:cantSplit/>
        </w:trPr>
        <w:tc>
          <w:tcPr>
            <w:tcBorders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Physical/Logical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Logical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 xml:space="preserve">Statement Type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 xml:space="preserve">Included</w:t>
            </w:r>
            <w:r>
              <w:rPr>
                <w:rFonts w:ascii="Helvetica" w:hAnsi="Helvetica"/>
                <w:b/>
                <w:sz w:val="20"/>
              </w:rPr>
            </w:r>
            <w:r>
              <w:rPr>
                <w:rFonts w:ascii="Helvetica" w:hAnsi="Helvetica"/>
                <w:b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 xml:space="preserve">Comments</w:t>
            </w:r>
            <w:r>
              <w:rPr>
                <w:rFonts w:ascii="Helvetica" w:hAnsi="Helvetica"/>
                <w:b/>
                <w:sz w:val="20"/>
              </w:rPr>
            </w:r>
            <w:r>
              <w:rPr>
                <w:rFonts w:ascii="Helvetica" w:hAnsi="Helvetica"/>
                <w:b/>
                <w:sz w:val="20"/>
              </w:rPr>
            </w:r>
          </w:p>
        </w:tc>
      </w:tr>
      <w:tr>
        <w:trPr>
          <w:cantSplit/>
        </w:trPr>
        <w:tc>
          <w:tcPr>
            <w:tcBorders>
              <w:left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Executable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yes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  <w:tr>
        <w:trPr>
          <w:cantSplit/>
        </w:trPr>
        <w:tc>
          <w:tcPr>
            <w:tcBorders>
              <w:left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Nonexecutable: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  <w:tr>
        <w:trPr>
          <w:cantSplit/>
        </w:trPr>
        <w:tc>
          <w:tcPr>
            <w:tcBorders>
              <w:left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Declarations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yes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  <w:tr>
        <w:trPr>
          <w:cantSplit/>
        </w:trPr>
        <w:tc>
          <w:tcPr>
            <w:tcBorders>
              <w:left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Compiler Directives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yes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  <w:tr>
        <w:trPr>
          <w:cantSplit/>
        </w:trPr>
        <w:tc>
          <w:tcPr>
            <w:tcBorders>
              <w:left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Comments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no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  <w:tr>
        <w:trPr>
          <w:cantSplit/>
        </w:trPr>
        <w:tc>
          <w:tcPr>
            <w:tcBorders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Blank lines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no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  <w:tr>
        <w:trPr>
          <w:cantSplit/>
        </w:trPr>
        <w:tc>
          <w:tcPr>
            <w:tcBorders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Other elements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  <w:tr>
        <w:trPr>
          <w:cantSplit/>
        </w:trPr>
        <w:tc>
          <w:tcPr>
            <w:tcBorders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  <w:tr>
        <w:trPr>
          <w:cantSplit/>
        </w:trPr>
        <w:tc>
          <w:tcPr>
            <w:tcBorders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 xml:space="preserve">Clarifications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 xml:space="preserve">Examples/Cases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Nulls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yes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continues, no-ops, ...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Empty statements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yes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“;;”, lone ;’s, etc.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Generic instantiators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Begin...end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note 1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when executable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Begin...end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note 1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when not executable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Test conditions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yes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Expression evaluation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yes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when used as sub program arguments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End symbols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notes 1,2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when terminating executable statements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End symbols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notes 1,2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when terminating declarations or bodies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Then, else, otherwise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note 1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Elseif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note 1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Keywords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notes 1,2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procedure division, interface, implementation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Labels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yes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branch destinations when on separate lines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</w:tr>
      <w:tr>
        <w:trPr>
          <w:cantSplit/>
        </w:trPr>
        <w:tc>
          <w:tcPr>
            <w:tcBorders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</w:tr>
      <w:tr>
        <w:trPr>
          <w:cantSplit/>
        </w:trPr>
        <w:tc>
          <w:tcPr>
            <w:tcBorders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Note</w:t>
            </w:r>
            <w:r>
              <w:rPr>
                <w:rFonts w:ascii="Helvetica" w:hAnsi="Helvetica"/>
                <w:sz w:val="20"/>
              </w:rPr>
              <w:t xml:space="preserve"> 1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unless followed by ; or. or included in {}, count the following keywords once: BEGIN, CASE, DO, ELSE, END, IF, RECORD, REPEAT, THEN, UNTIL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</w:tr>
      <w:tr>
        <w:trPr>
          <w:cantSplit/>
        </w:trPr>
        <w:tc>
          <w:tcPr>
            <w:tcBorders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Note</w:t>
            </w:r>
            <w:r>
              <w:rPr>
                <w:rFonts w:ascii="Helvetica" w:hAnsi="Helvetica"/>
                <w:sz w:val="20"/>
              </w:rPr>
              <w:t xml:space="preserve"> 2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count every ; and . that is not within a {} or ()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Note</w:t>
            </w:r>
            <w:r>
              <w:rPr>
                <w:rFonts w:ascii="Helvetica" w:hAnsi="Helvetica"/>
                <w:sz w:val="20"/>
              </w:rPr>
              <w:t xml:space="preserve"> 3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count each , between USES and the next ; or between VAR and the next ;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</w:tr>
    </w:tbl>
    <w:p>
      <w:pPr>
        <w:pStyle w:val="902"/>
        <w:pBdr/>
        <w:spacing/>
        <w:ind/>
        <w:rPr>
          <w:rFonts w:ascii="Helvetica" w:hAnsi="Helvetica"/>
        </w:rPr>
      </w:pPr>
      <w:r>
        <w:rPr>
          <w:rFonts w:ascii="Helvetica" w:hAnsi="Helvetica"/>
        </w:rPr>
      </w:r>
      <w:r>
        <w:rPr>
          <w:rFonts w:ascii="Helvetica" w:hAnsi="Helvetica"/>
        </w:rPr>
      </w:r>
      <w:r>
        <w:rPr>
          <w:rFonts w:ascii="Helvetica" w:hAnsi="Helvetica"/>
        </w:rPr>
      </w:r>
    </w:p>
    <w:p>
      <w:pPr>
        <w:pStyle w:val="905"/>
        <w:pBdr/>
        <w:spacing/>
        <w:ind/>
        <w:rPr/>
      </w:pPr>
      <w:r>
        <w:t xml:space="preserve">Example 2</w:t>
      </w:r>
      <w:r>
        <w:t xml:space="preserve">: C++ LOC </w:t>
      </w:r>
      <w:r>
        <w:t xml:space="preserve">c</w:t>
      </w:r>
      <w:r>
        <w:t xml:space="preserve">ounting s</w:t>
      </w:r>
      <w:r>
        <w:t xml:space="preserve">tandard</w:t>
      </w:r>
      <w:r/>
    </w:p>
    <w:p>
      <w:pPr>
        <w:pStyle w:val="932"/>
        <w:pBdr/>
        <w:spacing/>
        <w:ind/>
        <w:rPr/>
      </w:pPr>
      <w:r/>
      <w:r/>
    </w:p>
    <w:tbl>
      <w:tblPr>
        <w:jc w:val="center"/>
        <w:tblInd w:w="0" w:type="dxa"/>
        <w:tblW w:w="0" w:type="auto"/>
        <w:tblCellMar>
          <w:left w:w="180" w:type="dxa"/>
          <w:top w:w="0" w:type="dxa"/>
          <w:right w:w="18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1823"/>
        <w:gridCol w:w="7954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823" w:type="dxa"/>
            <w:vAlign w:val="top"/>
            <w:textDirection w:val="lrTb"/>
            <w:noWrap w:val="false"/>
          </w:tcPr>
          <w:p>
            <w:pPr>
              <w:pStyle w:val="923"/>
              <w:pBdr/>
              <w:spacing/>
              <w:ind w:right="0"/>
              <w:rPr/>
            </w:pPr>
            <w:r>
              <w:t xml:space="preserve">How many LOC?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7954" w:type="dxa"/>
            <w:vAlign w:val="top"/>
            <w:textDirection w:val="lrTb"/>
            <w:noWrap w:val="false"/>
          </w:tcPr>
          <w:p>
            <w:pPr>
              <w:pStyle w:val="925"/>
              <w:pBdr/>
              <w:spacing/>
              <w:ind w:left="-146"/>
              <w:rPr/>
            </w:pPr>
            <w:r>
              <w:t xml:space="preserve">Using the C++ LOC cou</w:t>
            </w:r>
            <w:r>
              <w:t xml:space="preserve">nting standard on page 7</w:t>
            </w:r>
            <w:r>
              <w:t xml:space="preserve">, how many LOC are in the following program fragment?</w:t>
            </w:r>
            <w:r/>
          </w:p>
          <w:p>
            <w:pPr>
              <w:pStyle w:val="925"/>
              <w:pBdr/>
              <w:spacing/>
              <w:ind/>
              <w:rPr/>
            </w:pPr>
            <w:r/>
            <w:r/>
          </w:p>
          <w:p>
            <w:pPr>
              <w:pStyle w:val="925"/>
              <w:pBdr/>
              <w:spacing/>
              <w:ind/>
              <w:rPr>
                <w:rFonts w:ascii="Helvetica" w:hAnsi="Helvetica"/>
                <w:sz w:val="28"/>
              </w:rPr>
            </w:pPr>
            <w:r>
              <w:rPr>
                <w:rFonts w:ascii="Helvetica" w:hAnsi="Helvetica"/>
                <w:sz w:val="28"/>
              </w:rPr>
              <w:t xml:space="preserve">#include &lt;stdio.h&gt;</w:t>
            </w:r>
            <w:r>
              <w:rPr>
                <w:rFonts w:ascii="Helvetica" w:hAnsi="Helvetica"/>
                <w:sz w:val="28"/>
              </w:rPr>
            </w:r>
            <w:r>
              <w:rPr>
                <w:rFonts w:ascii="Helvetica" w:hAnsi="Helvetica"/>
                <w:sz w:val="28"/>
              </w:rPr>
            </w:r>
          </w:p>
          <w:p>
            <w:pPr>
              <w:pStyle w:val="925"/>
              <w:pBdr/>
              <w:spacing/>
              <w:ind/>
              <w:rPr>
                <w:rFonts w:ascii="Helvetica" w:hAnsi="Helvetica"/>
                <w:sz w:val="28"/>
              </w:rPr>
            </w:pPr>
            <w:r>
              <w:rPr>
                <w:rFonts w:ascii="Helvetica" w:hAnsi="Helvetica"/>
                <w:sz w:val="28"/>
              </w:rPr>
            </w:r>
            <w:r>
              <w:rPr>
                <w:rFonts w:ascii="Helvetica" w:hAnsi="Helvetica"/>
                <w:sz w:val="28"/>
              </w:rPr>
            </w:r>
            <w:r>
              <w:rPr>
                <w:rFonts w:ascii="Helvetica" w:hAnsi="Helvetica"/>
                <w:sz w:val="28"/>
              </w:rPr>
            </w:r>
          </w:p>
          <w:p>
            <w:pPr>
              <w:pStyle w:val="925"/>
              <w:pBdr/>
              <w:spacing/>
              <w:ind/>
              <w:rPr>
                <w:rFonts w:ascii="Helvetica" w:hAnsi="Helvetica"/>
                <w:sz w:val="28"/>
              </w:rPr>
            </w:pPr>
            <w:r>
              <w:rPr>
                <w:rFonts w:ascii="Helvetica" w:hAnsi="Helvetica"/>
                <w:sz w:val="28"/>
              </w:rPr>
              <w:t xml:space="preserve">void main (void)</w:t>
            </w:r>
            <w:r>
              <w:rPr>
                <w:rFonts w:ascii="Helvetica" w:hAnsi="Helvetica"/>
                <w:sz w:val="28"/>
              </w:rPr>
            </w:r>
            <w:r>
              <w:rPr>
                <w:rFonts w:ascii="Helvetica" w:hAnsi="Helvetica"/>
                <w:sz w:val="28"/>
              </w:rPr>
            </w:r>
          </w:p>
          <w:p>
            <w:pPr>
              <w:pStyle w:val="925"/>
              <w:pBdr/>
              <w:spacing/>
              <w:ind/>
              <w:rPr>
                <w:rFonts w:ascii="Helvetica" w:hAnsi="Helvetica"/>
                <w:sz w:val="28"/>
              </w:rPr>
            </w:pPr>
            <w:r>
              <w:rPr>
                <w:rFonts w:ascii="Helvetica" w:hAnsi="Helvetica"/>
                <w:sz w:val="28"/>
              </w:rPr>
              <w:t xml:space="preserve">{</w:t>
            </w:r>
            <w:r>
              <w:rPr>
                <w:rFonts w:ascii="Helvetica" w:hAnsi="Helvetica"/>
                <w:sz w:val="28"/>
              </w:rPr>
            </w:r>
            <w:r>
              <w:rPr>
                <w:rFonts w:ascii="Helvetica" w:hAnsi="Helvetica"/>
                <w:sz w:val="28"/>
              </w:rPr>
            </w:r>
          </w:p>
          <w:p>
            <w:pPr>
              <w:pStyle w:val="925"/>
              <w:pBdr/>
              <w:spacing/>
              <w:ind/>
              <w:rPr>
                <w:rFonts w:ascii="Helvetica" w:hAnsi="Helvetica"/>
                <w:sz w:val="28"/>
              </w:rPr>
            </w:pPr>
            <w:r>
              <w:rPr>
                <w:rFonts w:ascii="Helvetica" w:hAnsi="Helvetica"/>
                <w:sz w:val="28"/>
              </w:rPr>
              <w:tab/>
              <w:t xml:space="preserve">int i,j;</w:t>
            </w:r>
            <w:r>
              <w:rPr>
                <w:rFonts w:ascii="Helvetica" w:hAnsi="Helvetica"/>
                <w:sz w:val="28"/>
              </w:rPr>
            </w:r>
            <w:r>
              <w:rPr>
                <w:rFonts w:ascii="Helvetica" w:hAnsi="Helvetica"/>
                <w:sz w:val="28"/>
              </w:rPr>
            </w:r>
          </w:p>
          <w:p>
            <w:pPr>
              <w:pStyle w:val="925"/>
              <w:pBdr/>
              <w:spacing/>
              <w:ind/>
              <w:rPr>
                <w:rFonts w:ascii="Helvetica" w:hAnsi="Helvetica"/>
                <w:sz w:val="28"/>
              </w:rPr>
            </w:pPr>
            <w:r>
              <w:rPr>
                <w:rFonts w:ascii="Helvetica" w:hAnsi="Helvetica"/>
                <w:sz w:val="28"/>
              </w:rPr>
            </w:r>
            <w:r>
              <w:rPr>
                <w:rFonts w:ascii="Helvetica" w:hAnsi="Helvetica"/>
                <w:sz w:val="28"/>
              </w:rPr>
            </w:r>
            <w:r>
              <w:rPr>
                <w:rFonts w:ascii="Helvetica" w:hAnsi="Helvetica"/>
                <w:sz w:val="28"/>
              </w:rPr>
            </w:r>
          </w:p>
          <w:p>
            <w:pPr>
              <w:pStyle w:val="925"/>
              <w:pBdr/>
              <w:spacing/>
              <w:ind/>
              <w:rPr>
                <w:rFonts w:ascii="Helvetica" w:hAnsi="Helvetica"/>
                <w:sz w:val="28"/>
              </w:rPr>
            </w:pPr>
            <w:r>
              <w:rPr>
                <w:rFonts w:ascii="Helvetica" w:hAnsi="Helvetica"/>
                <w:sz w:val="28"/>
              </w:rPr>
              <w:tab/>
              <w:t xml:space="preserve">for (i = 0; i &lt; 10; i++)</w:t>
            </w:r>
            <w:r>
              <w:rPr>
                <w:rFonts w:ascii="Helvetica" w:hAnsi="Helvetica"/>
                <w:sz w:val="28"/>
              </w:rPr>
            </w:r>
            <w:r>
              <w:rPr>
                <w:rFonts w:ascii="Helvetica" w:hAnsi="Helvetica"/>
                <w:sz w:val="28"/>
              </w:rPr>
            </w:r>
          </w:p>
          <w:p>
            <w:pPr>
              <w:pStyle w:val="925"/>
              <w:pBdr/>
              <w:spacing/>
              <w:ind/>
              <w:rPr>
                <w:rFonts w:ascii="Helvetica" w:hAnsi="Helvetica"/>
                <w:sz w:val="28"/>
              </w:rPr>
            </w:pPr>
            <w:r>
              <w:rPr>
                <w:rFonts w:ascii="Helvetica" w:hAnsi="Helvetica"/>
                <w:sz w:val="28"/>
              </w:rPr>
              <w:tab/>
              <w:tab/>
              <w:t xml:space="preserve">for (j = 0; j &lt; 10; j++)</w:t>
            </w:r>
            <w:r>
              <w:rPr>
                <w:rFonts w:ascii="Helvetica" w:hAnsi="Helvetica"/>
                <w:sz w:val="28"/>
              </w:rPr>
            </w:r>
            <w:r>
              <w:rPr>
                <w:rFonts w:ascii="Helvetica" w:hAnsi="Helvetica"/>
                <w:sz w:val="28"/>
              </w:rPr>
            </w:r>
          </w:p>
          <w:p>
            <w:pPr>
              <w:pStyle w:val="925"/>
              <w:pBdr/>
              <w:spacing/>
              <w:ind/>
              <w:rPr>
                <w:rFonts w:ascii="Helvetica" w:hAnsi="Helvetica"/>
                <w:sz w:val="28"/>
              </w:rPr>
            </w:pPr>
            <w:r>
              <w:rPr>
                <w:rFonts w:ascii="Helvetica" w:hAnsi="Helvetica"/>
                <w:sz w:val="28"/>
              </w:rPr>
              <w:tab/>
              <w:tab/>
              <w:tab/>
              <w:t xml:space="preserve">cout &lt;&lt; i &lt;&lt; “, ” &lt;&lt; j &lt;&lt; endl;</w:t>
            </w:r>
            <w:r>
              <w:rPr>
                <w:rFonts w:ascii="Helvetica" w:hAnsi="Helvetica"/>
                <w:sz w:val="28"/>
              </w:rPr>
            </w:r>
            <w:r>
              <w:rPr>
                <w:rFonts w:ascii="Helvetica" w:hAnsi="Helvetica"/>
                <w:sz w:val="28"/>
              </w:rPr>
            </w:r>
          </w:p>
          <w:p>
            <w:pPr>
              <w:pStyle w:val="925"/>
              <w:pBdr/>
              <w:spacing/>
              <w:ind/>
              <w:rPr>
                <w:rFonts w:ascii="Helvetica" w:hAnsi="Helvetica"/>
                <w:sz w:val="28"/>
              </w:rPr>
            </w:pPr>
            <w:r>
              <w:rPr>
                <w:rFonts w:ascii="Helvetica" w:hAnsi="Helvetica"/>
                <w:sz w:val="28"/>
              </w:rPr>
              <w:t xml:space="preserve">}</w:t>
            </w:r>
            <w:r>
              <w:rPr>
                <w:rFonts w:ascii="Helvetica" w:hAnsi="Helvetica"/>
                <w:sz w:val="28"/>
              </w:rPr>
            </w:r>
            <w:r>
              <w:rPr>
                <w:rFonts w:ascii="Helvetica" w:hAnsi="Helvetica"/>
                <w:sz w:val="28"/>
              </w:rPr>
            </w:r>
          </w:p>
        </w:tc>
      </w:tr>
    </w:tbl>
    <w:p>
      <w:pPr>
        <w:pStyle w:val="924"/>
        <w:pBdr/>
        <w:spacing/>
        <w:ind/>
        <w:rPr/>
      </w:pPr>
      <w:r>
        <w:t xml:space="preserve">Continued on next page</w:t>
      </w:r>
      <w:r/>
    </w:p>
    <w:p>
      <w:pPr>
        <w:pStyle w:val="930"/>
        <w:pBdr/>
        <w:spacing/>
        <w:ind/>
        <w:jc w:val="center"/>
        <w:rPr>
          <w:b w:val="0"/>
          <w:sz w:val="24"/>
        </w:rPr>
      </w:pPr>
      <w:r>
        <w:br w:type="page" w:clear="all"/>
      </w:r>
      <w:r>
        <w:rPr>
          <w:sz w:val="24"/>
        </w:rPr>
        <w:t xml:space="preserve">Example C++ Size Counting Standard</w:t>
      </w:r>
      <w:r>
        <w:rPr>
          <w:b w:val="0"/>
          <w:sz w:val="24"/>
        </w:rPr>
      </w:r>
      <w:r>
        <w:rPr>
          <w:b w:val="0"/>
          <w:sz w:val="24"/>
        </w:rPr>
      </w:r>
    </w:p>
    <w:tbl>
      <w:tblPr>
        <w:jc w:val="center"/>
        <w:tblInd w:w="0" w:type="dxa"/>
        <w:tblW w:w="0" w:type="auto"/>
        <w:tblCellMar>
          <w:left w:w="80" w:type="dxa"/>
          <w:top w:w="0" w:type="dxa"/>
          <w:right w:w="8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1880"/>
        <w:gridCol w:w="3960"/>
        <w:gridCol w:w="1440"/>
        <w:gridCol w:w="2160"/>
      </w:tblGrid>
      <w:tr>
        <w:trPr>
          <w:cantSplit/>
        </w:trPr>
        <w:tc>
          <w:tcPr>
            <w:tcBorders/>
            <w:tcW w:w="18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 xml:space="preserve">Definition Name:</w:t>
            </w:r>
            <w:r>
              <w:rPr>
                <w:rFonts w:ascii="Helvetica" w:hAnsi="Helvetica"/>
                <w:sz w:val="22"/>
              </w:rPr>
            </w:r>
            <w:r>
              <w:rPr>
                <w:rFonts w:ascii="Helvetica" w:hAnsi="Helvetica"/>
                <w:sz w:val="22"/>
              </w:rPr>
            </w:r>
          </w:p>
        </w:tc>
        <w:tc>
          <w:tcPr>
            <w:tcBorders>
              <w:bottom w:val="single" w:color="auto" w:sz="6" w:space="0"/>
            </w:tcBorders>
            <w:tcW w:w="39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Example C++ LOC std.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/>
            <w:tcW w:w="144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 xml:space="preserve">Language:</w:t>
            </w:r>
            <w:r>
              <w:rPr>
                <w:rFonts w:ascii="Helvetica" w:hAnsi="Helvetica"/>
                <w:sz w:val="22"/>
              </w:rPr>
            </w:r>
            <w:r>
              <w:rPr>
                <w:rFonts w:ascii="Helvetica" w:hAnsi="Helvetica"/>
                <w:sz w:val="22"/>
              </w:rPr>
            </w:r>
          </w:p>
        </w:tc>
        <w:tc>
          <w:tcPr>
            <w:tcBorders>
              <w:bottom w:val="single" w:color="auto" w:sz="6" w:space="0"/>
            </w:tcBorders>
            <w:tcW w:w="21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C++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</w:tr>
      <w:tr>
        <w:trPr>
          <w:cantSplit/>
        </w:trPr>
        <w:tc>
          <w:tcPr>
            <w:tcBorders/>
            <w:tcW w:w="18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 xml:space="preserve">Author:</w:t>
            </w:r>
            <w:r>
              <w:rPr>
                <w:rFonts w:ascii="Helvetica" w:hAnsi="Helvetica"/>
                <w:sz w:val="22"/>
              </w:rPr>
            </w:r>
            <w:r>
              <w:rPr>
                <w:rFonts w:ascii="Helvetica" w:hAnsi="Helvetica"/>
                <w:sz w:val="22"/>
              </w:rPr>
            </w:r>
          </w:p>
        </w:tc>
        <w:tc>
          <w:tcPr>
            <w:tcBorders>
              <w:top w:val="single" w:color="auto" w:sz="6" w:space="0"/>
              <w:bottom w:val="single" w:color="auto" w:sz="6" w:space="0"/>
            </w:tcBorders>
            <w:tcW w:w="39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W.S. Humphrey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/>
            <w:tcW w:w="144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 xml:space="preserve">Date:</w:t>
            </w:r>
            <w:r>
              <w:rPr>
                <w:rFonts w:ascii="Helvetica" w:hAnsi="Helvetica"/>
                <w:sz w:val="22"/>
              </w:rPr>
            </w:r>
            <w:r>
              <w:rPr>
                <w:rFonts w:ascii="Helvetica" w:hAnsi="Helvetica"/>
                <w:sz w:val="22"/>
              </w:rPr>
            </w:r>
          </w:p>
        </w:tc>
        <w:tc>
          <w:tcPr>
            <w:tcBorders>
              <w:top w:val="single" w:color="auto" w:sz="6" w:space="0"/>
              <w:bottom w:val="single" w:color="auto" w:sz="6" w:space="0"/>
            </w:tcBorders>
            <w:tcW w:w="21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12/20/93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</w:tr>
    </w:tbl>
    <w:p>
      <w:pPr>
        <w:pStyle w:val="902"/>
        <w:pBdr/>
        <w:spacing/>
        <w:ind/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</w:r>
      <w:r>
        <w:rPr>
          <w:rFonts w:ascii="Helvetica" w:hAnsi="Helvetica"/>
          <w:sz w:val="16"/>
          <w:szCs w:val="16"/>
        </w:rPr>
      </w:r>
      <w:r>
        <w:rPr>
          <w:rFonts w:ascii="Helvetica" w:hAnsi="Helvetica"/>
          <w:sz w:val="16"/>
          <w:szCs w:val="16"/>
        </w:rPr>
      </w:r>
    </w:p>
    <w:tbl>
      <w:tblPr>
        <w:jc w:val="center"/>
        <w:tblInd w:w="0" w:type="dxa"/>
        <w:tblW w:w="0" w:type="auto"/>
        <w:tblCellMar>
          <w:left w:w="80" w:type="dxa"/>
          <w:top w:w="0" w:type="dxa"/>
          <w:right w:w="8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2600"/>
        <w:gridCol w:w="1260"/>
        <w:gridCol w:w="5580"/>
      </w:tblGrid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 xml:space="preserve">Count Type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 xml:space="preserve">Type</w:t>
            </w:r>
            <w:r>
              <w:rPr>
                <w:rFonts w:ascii="Helvetica" w:hAnsi="Helvetica"/>
                <w:b/>
                <w:sz w:val="20"/>
              </w:rPr>
            </w:r>
            <w:r>
              <w:rPr>
                <w:rFonts w:ascii="Helvetica" w:hAnsi="Helvetica"/>
                <w:b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 xml:space="preserve">Comments</w:t>
            </w:r>
            <w:r>
              <w:rPr>
                <w:rFonts w:ascii="Helvetica" w:hAnsi="Helvetica"/>
                <w:b/>
                <w:sz w:val="20"/>
              </w:rPr>
            </w:r>
            <w:r>
              <w:rPr>
                <w:rFonts w:ascii="Helvetica" w:hAnsi="Helvetica"/>
                <w:b/>
                <w:sz w:val="20"/>
              </w:rPr>
            </w:r>
          </w:p>
        </w:tc>
      </w:tr>
      <w:tr>
        <w:trPr>
          <w:cantSplit/>
        </w:trPr>
        <w:tc>
          <w:tcPr>
            <w:tcBorders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Physical/Logical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Logical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 xml:space="preserve">Statement Type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 xml:space="preserve">Included</w:t>
            </w:r>
            <w:r>
              <w:rPr>
                <w:rFonts w:ascii="Helvetica" w:hAnsi="Helvetica"/>
                <w:b/>
                <w:sz w:val="20"/>
              </w:rPr>
            </w:r>
            <w:r>
              <w:rPr>
                <w:rFonts w:ascii="Helvetica" w:hAnsi="Helvetica"/>
                <w:b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 xml:space="preserve">Comments</w:t>
            </w:r>
            <w:r>
              <w:rPr>
                <w:rFonts w:ascii="Helvetica" w:hAnsi="Helvetica"/>
                <w:b/>
                <w:sz w:val="20"/>
              </w:rPr>
            </w:r>
            <w:r>
              <w:rPr>
                <w:rFonts w:ascii="Helvetica" w:hAnsi="Helvetica"/>
                <w:b/>
                <w:sz w:val="20"/>
              </w:rPr>
            </w:r>
          </w:p>
        </w:tc>
      </w:tr>
      <w:tr>
        <w:trPr>
          <w:cantSplit/>
        </w:trPr>
        <w:tc>
          <w:tcPr>
            <w:tcBorders>
              <w:left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Executable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Yes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  <w:tr>
        <w:trPr>
          <w:cantSplit/>
        </w:trPr>
        <w:tc>
          <w:tcPr>
            <w:tcBorders>
              <w:left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Nonexecutable: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  <w:tr>
        <w:trPr>
          <w:cantSplit/>
        </w:trPr>
        <w:tc>
          <w:tcPr>
            <w:tcBorders>
              <w:left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Declarations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Yes,</w:t>
            </w:r>
            <w:r>
              <w:rPr>
                <w:rFonts w:ascii="Comic Sans MS" w:hAnsi="Comic Sans MS"/>
                <w:sz w:val="20"/>
              </w:rPr>
              <w:t xml:space="preserve">Notes 3, 4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  <w:tr>
        <w:trPr>
          <w:cantSplit/>
        </w:trPr>
        <w:tc>
          <w:tcPr>
            <w:tcBorders>
              <w:left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Compiler Directives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Yes, </w:t>
            </w:r>
            <w:r>
              <w:rPr>
                <w:rFonts w:ascii="Comic Sans MS" w:hAnsi="Comic Sans MS"/>
                <w:sz w:val="20"/>
              </w:rPr>
              <w:t xml:space="preserve">Note 4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  <w:tr>
        <w:trPr>
          <w:cantSplit/>
        </w:trPr>
        <w:tc>
          <w:tcPr>
            <w:tcBorders>
              <w:left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Comments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No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  <w:tr>
        <w:trPr>
          <w:cantSplit/>
        </w:trPr>
        <w:tc>
          <w:tcPr>
            <w:tcBorders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Blank lines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No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  <w:tr>
        <w:trPr>
          <w:cantSplit/>
        </w:trPr>
        <w:tc>
          <w:tcPr>
            <w:tcBorders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Other elements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  <w:tr>
        <w:trPr>
          <w:cantSplit/>
        </w:trPr>
        <w:tc>
          <w:tcPr>
            <w:tcBorders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  <w:tr>
        <w:trPr>
          <w:cantSplit/>
        </w:trPr>
        <w:tc>
          <w:tcPr>
            <w:tcBorders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  <w:tr>
        <w:trPr>
          <w:cantSplit/>
        </w:trPr>
        <w:tc>
          <w:tcPr>
            <w:tcBorders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   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 xml:space="preserve">Clarifications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 xml:space="preserve">Examples/Cases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Empty statements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yes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“;;”, lone ;’s, etc.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Begin...end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note 1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Expression evaluation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yes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when used as sub program arguments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End symbols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notes 1,2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for terminating executable statements, declarations, bodies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Then, else, otherwise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note 1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Elseif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yes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Keywords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yes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procedure division, interface, implementation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Labels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yes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branch destinations when on separate lines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</w:tr>
      <w:tr>
        <w:trPr>
          <w:cantSplit/>
        </w:trPr>
        <w:tc>
          <w:tcPr>
            <w:tcBorders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Note 1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Count once every occurrence of the following key words: CASE, DO, ELSE, ENUM, FOR, </w:t>
            </w:r>
            <w:r>
              <w:rPr>
                <w:rFonts w:ascii="Comic Sans MS" w:hAnsi="Comic Sans MS"/>
                <w:sz w:val="20"/>
              </w:rPr>
              <w:t xml:space="preserve">IF, PRIVATE, PUBLIC, STRUCT, SWITCH, UNION, WHILE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</w:tr>
      <w:tr>
        <w:trPr>
          <w:cantSplit/>
        </w:trPr>
        <w:tc>
          <w:tcPr>
            <w:tcBorders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Note 2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count once every occurrence of the following: ; , {} or };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Note 3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count each variable or parameter declaration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Note 4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count once each #define, #ifdef, #include, etc. statement</w:t>
            </w:r>
            <w:r>
              <w:rPr>
                <w:rFonts w:ascii="Comic Sans MS" w:hAnsi="Comic Sans MS"/>
                <w:sz w:val="20"/>
              </w:rPr>
            </w:r>
            <w:r>
              <w:rPr>
                <w:rFonts w:ascii="Comic Sans MS" w:hAnsi="Comic Sans MS"/>
                <w:sz w:val="20"/>
              </w:rPr>
            </w:r>
          </w:p>
        </w:tc>
      </w:tr>
    </w:tbl>
    <w:p>
      <w:pPr>
        <w:pStyle w:val="902"/>
        <w:pBdr/>
        <w:spacing/>
        <w:ind/>
        <w:rPr>
          <w:rFonts w:ascii="Helvetica" w:hAnsi="Helvetica"/>
        </w:rPr>
      </w:pPr>
      <w:r>
        <w:rPr>
          <w:rFonts w:ascii="Helvetica" w:hAnsi="Helvetica"/>
        </w:rPr>
      </w:r>
      <w:r>
        <w:rPr>
          <w:rFonts w:ascii="Helvetica" w:hAnsi="Helvetica"/>
        </w:rPr>
      </w:r>
      <w:r>
        <w:rPr>
          <w:rFonts w:ascii="Helvetica" w:hAnsi="Helvetica"/>
        </w:rPr>
      </w:r>
    </w:p>
    <w:p>
      <w:pPr>
        <w:pStyle w:val="905"/>
        <w:pBdr/>
        <w:spacing/>
        <w:ind/>
        <w:rPr/>
      </w:pPr>
      <w:r>
        <w:t xml:space="preserve">Example</w:t>
      </w:r>
      <w:r>
        <w:t xml:space="preserve"> 3</w:t>
      </w:r>
      <w:r>
        <w:t xml:space="preserve">: another size counting s</w:t>
      </w:r>
      <w:r>
        <w:t xml:space="preserve">tandard</w:t>
      </w:r>
      <w:r/>
    </w:p>
    <w:p>
      <w:pPr>
        <w:pStyle w:val="932"/>
        <w:pBdr/>
        <w:spacing/>
        <w:ind/>
        <w:rPr/>
      </w:pPr>
      <w:r/>
      <w:r/>
    </w:p>
    <w:tbl>
      <w:tblPr>
        <w:tblInd w:w="0" w:type="dxa"/>
        <w:tblW w:w="0" w:type="auto"/>
        <w:tblCellMar>
          <w:left w:w="180" w:type="dxa"/>
          <w:top w:w="0" w:type="dxa"/>
          <w:right w:w="18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2160"/>
        <w:gridCol w:w="8010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2160" w:type="dxa"/>
            <w:vAlign w:val="top"/>
            <w:textDirection w:val="lrTb"/>
            <w:noWrap w:val="false"/>
          </w:tcPr>
          <w:p>
            <w:pPr>
              <w:pStyle w:val="923"/>
              <w:pBdr/>
              <w:spacing/>
              <w:ind w:right="0"/>
              <w:rPr/>
            </w:pPr>
            <w:r>
              <w:t xml:space="preserve">Overview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8010" w:type="dxa"/>
            <w:vAlign w:val="top"/>
            <w:textDirection w:val="lrTb"/>
            <w:noWrap w:val="false"/>
          </w:tcPr>
          <w:p>
            <w:pPr>
              <w:pStyle w:val="925"/>
              <w:pBdr/>
              <w:spacing/>
              <w:ind/>
              <w:rPr/>
            </w:pPr>
            <w:r>
              <w:t xml:space="preserve">For this example standard, the class will select from among the following product categories.</w:t>
            </w:r>
            <w:r/>
          </w:p>
          <w:p>
            <w:pPr>
              <w:pStyle w:val="929"/>
              <w:pBdr/>
              <w:spacing/>
              <w:ind/>
              <w:rPr/>
            </w:pPr>
            <w:r>
              <w:t xml:space="preserve">•</w:t>
              <w:tab/>
            </w:r>
            <w:r>
              <w:t xml:space="preserve">documents</w:t>
            </w:r>
            <w:r/>
          </w:p>
          <w:p>
            <w:pPr>
              <w:pStyle w:val="929"/>
              <w:pBdr/>
              <w:spacing/>
              <w:ind/>
              <w:rPr/>
            </w:pPr>
            <w:r>
              <w:t xml:space="preserve">•</w:t>
              <w:tab/>
            </w:r>
            <w:r>
              <w:t xml:space="preserve">interface screens and forms</w:t>
            </w:r>
            <w:r/>
          </w:p>
          <w:p>
            <w:pPr>
              <w:pStyle w:val="929"/>
              <w:pBdr/>
              <w:spacing/>
              <w:ind/>
              <w:rPr/>
            </w:pPr>
            <w:r>
              <w:t xml:space="preserve">•</w:t>
              <w:tab/>
              <w:t xml:space="preserve">database program elements</w:t>
            </w:r>
            <w:r/>
          </w:p>
          <w:p>
            <w:pPr>
              <w:pStyle w:val="929"/>
              <w:pBdr/>
              <w:spacing/>
              <w:ind/>
              <w:rPr/>
            </w:pPr>
            <w:r>
              <w:t xml:space="preserve">•</w:t>
              <w:tab/>
              <w:t xml:space="preserve">maintenance fixes</w:t>
            </w:r>
            <w:r/>
          </w:p>
          <w:p>
            <w:pPr>
              <w:pStyle w:val="929"/>
              <w:pBdr/>
              <w:spacing/>
              <w:ind/>
              <w:rPr/>
            </w:pPr>
            <w:r>
              <w:t xml:space="preserve">•</w:t>
              <w:tab/>
              <w:t xml:space="preserve">any other </w:t>
            </w:r>
            <w:r>
              <w:t xml:space="preserve">requested</w:t>
            </w:r>
            <w:r>
              <w:t xml:space="preserve"> category</w:t>
            </w:r>
            <w:r/>
          </w:p>
          <w:p>
            <w:pPr>
              <w:pStyle w:val="929"/>
              <w:pBdr/>
              <w:spacing/>
              <w:ind/>
              <w:rPr/>
            </w:pPr>
            <w:r/>
            <w:r/>
          </w:p>
          <w:p>
            <w:pPr>
              <w:pStyle w:val="925"/>
              <w:pBdr/>
              <w:spacing/>
              <w:ind/>
              <w:rPr/>
            </w:pPr>
            <w:r>
              <w:t xml:space="preserve">We’ll</w:t>
            </w:r>
            <w:r>
              <w:t xml:space="preserve"> </w:t>
            </w:r>
            <w:r>
              <w:t xml:space="preserve">then </w:t>
            </w:r>
            <w:r>
              <w:t xml:space="preserve">walk </w:t>
            </w:r>
            <w:r>
              <w:t xml:space="preserve">through </w:t>
            </w:r>
            <w:r>
              <w:t xml:space="preserve">developing </w:t>
            </w:r>
            <w:r>
              <w:t xml:space="preserve">the selected size counting standard</w:t>
            </w:r>
            <w:r>
              <w:t xml:space="preserve">.  </w:t>
            </w:r>
            <w:r/>
          </w:p>
        </w:tc>
      </w:tr>
    </w:tbl>
    <w:p>
      <w:pPr>
        <w:pStyle w:val="932"/>
        <w:pBdr/>
        <w:spacing/>
        <w:ind/>
        <w:rPr/>
      </w:pPr>
      <w:r/>
      <w:r/>
    </w:p>
    <w:tbl>
      <w:tblPr>
        <w:tblInd w:w="0" w:type="dxa"/>
        <w:tblW w:w="0" w:type="auto"/>
        <w:tblCellMar>
          <w:left w:w="180" w:type="dxa"/>
          <w:top w:w="0" w:type="dxa"/>
          <w:right w:w="18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2160"/>
        <w:gridCol w:w="8010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2160" w:type="dxa"/>
            <w:vAlign w:val="top"/>
            <w:textDirection w:val="lrTb"/>
            <w:noWrap w:val="false"/>
          </w:tcPr>
          <w:p>
            <w:pPr>
              <w:pStyle w:val="923"/>
              <w:pBdr/>
              <w:spacing/>
              <w:ind w:right="0"/>
              <w:rPr/>
            </w:pPr>
            <w:r>
              <w:t xml:space="preserve">Completing the </w:t>
            </w:r>
            <w:r>
              <w:t xml:space="preserve">s</w:t>
            </w:r>
            <w:r>
              <w:t xml:space="preserve">tandard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8010" w:type="dxa"/>
            <w:vAlign w:val="top"/>
            <w:textDirection w:val="lrTb"/>
            <w:noWrap w:val="false"/>
          </w:tcPr>
          <w:p>
            <w:pPr>
              <w:pStyle w:val="929"/>
              <w:pBdr/>
              <w:spacing/>
              <w:ind/>
              <w:rPr/>
            </w:pPr>
            <w:r>
              <w:t xml:space="preserve">We’ll </w:t>
            </w:r>
            <w:r>
              <w:t xml:space="preserve">then </w:t>
            </w:r>
            <w:r>
              <w:t xml:space="preserve">walk through the completion of the standard as a class exercise</w:t>
            </w:r>
            <w:r>
              <w:t xml:space="preserve">.</w:t>
            </w:r>
            <w:r/>
          </w:p>
        </w:tc>
      </w:tr>
    </w:tbl>
    <w:p>
      <w:pPr>
        <w:pStyle w:val="924"/>
        <w:pBdr/>
        <w:spacing/>
        <w:ind/>
        <w:rPr/>
      </w:pPr>
      <w:r>
        <w:t xml:space="preserve">Continued on next page</w:t>
      </w:r>
      <w:r/>
    </w:p>
    <w:p>
      <w:pPr>
        <w:pStyle w:val="902"/>
        <w:pBdr/>
        <w:spacing/>
        <w:ind/>
        <w:rPr>
          <w:rFonts w:ascii="Helvetica" w:hAnsi="Helvetica"/>
          <w:b/>
        </w:rPr>
      </w:pPr>
      <w:r>
        <w:br w:type="page" w:clear="all"/>
      </w:r>
      <w:r>
        <w:rPr>
          <w:rFonts w:ascii="Helvetica" w:hAnsi="Helvetica"/>
          <w:b/>
        </w:rPr>
        <w:t xml:space="preserve">Size Counting Standard Template</w:t>
      </w:r>
      <w:r>
        <w:rPr>
          <w:rFonts w:ascii="Helvetica" w:hAnsi="Helvetica"/>
          <w:b/>
        </w:rPr>
      </w:r>
      <w:r>
        <w:rPr>
          <w:rFonts w:ascii="Helvetica" w:hAnsi="Helvetica"/>
          <w:b/>
        </w:rPr>
      </w:r>
    </w:p>
    <w:p>
      <w:pPr>
        <w:pStyle w:val="902"/>
        <w:pBdr/>
        <w:spacing/>
        <w:ind/>
        <w:rPr>
          <w:rFonts w:ascii="Helvetica" w:hAnsi="Helvetica"/>
        </w:rPr>
      </w:pPr>
      <w:r>
        <w:rPr>
          <w:rFonts w:ascii="Helvetica" w:hAnsi="Helvetica"/>
        </w:rPr>
      </w:r>
      <w:r>
        <w:rPr>
          <w:rFonts w:ascii="Helvetica" w:hAnsi="Helvetica"/>
        </w:rPr>
      </w:r>
      <w:r>
        <w:rPr>
          <w:rFonts w:ascii="Helvetica" w:hAnsi="Helvetica"/>
        </w:rPr>
      </w:r>
    </w:p>
    <w:tbl>
      <w:tblPr>
        <w:jc w:val="center"/>
        <w:tblInd w:w="0" w:type="dxa"/>
        <w:tblW w:w="0" w:type="auto"/>
        <w:tblCellMar>
          <w:left w:w="80" w:type="dxa"/>
          <w:top w:w="0" w:type="dxa"/>
          <w:right w:w="8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1880"/>
        <w:gridCol w:w="3960"/>
        <w:gridCol w:w="1440"/>
        <w:gridCol w:w="2160"/>
      </w:tblGrid>
      <w:tr>
        <w:trPr>
          <w:cantSplit/>
        </w:trPr>
        <w:tc>
          <w:tcPr>
            <w:tcBorders/>
            <w:tcW w:w="18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 xml:space="preserve">Definition Name:</w:t>
            </w:r>
            <w:r>
              <w:rPr>
                <w:rFonts w:ascii="Helvetica" w:hAnsi="Helvetica"/>
                <w:sz w:val="22"/>
              </w:rPr>
            </w:r>
            <w:r>
              <w:rPr>
                <w:rFonts w:ascii="Helvetica" w:hAnsi="Helvetica"/>
                <w:sz w:val="22"/>
              </w:rPr>
            </w:r>
          </w:p>
        </w:tc>
        <w:tc>
          <w:tcPr>
            <w:tcBorders>
              <w:bottom w:val="single" w:color="auto" w:sz="6" w:space="0"/>
            </w:tcBorders>
            <w:tcW w:w="39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  <w:lang w:val="es-ES"/>
              </w:rPr>
              <w:t xml:space="preserve">2a</w:t>
            </w:r>
            <w:r>
              <w:rPr>
                <w:rFonts w:ascii="Helvetica" w:hAnsi="Helvetica"/>
                <w:sz w:val="22"/>
              </w:rPr>
            </w:r>
            <w:r>
              <w:rPr>
                <w:rFonts w:ascii="Helvetica" w:hAnsi="Helvetica"/>
                <w:sz w:val="22"/>
              </w:rPr>
            </w:r>
          </w:p>
        </w:tc>
        <w:tc>
          <w:tcPr>
            <w:tcBorders/>
            <w:tcW w:w="144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 xml:space="preserve">Language:</w:t>
            </w:r>
            <w:r>
              <w:rPr>
                <w:rFonts w:ascii="Helvetica" w:hAnsi="Helvetica"/>
                <w:sz w:val="22"/>
              </w:rPr>
            </w:r>
            <w:r>
              <w:rPr>
                <w:rFonts w:ascii="Helvetica" w:hAnsi="Helvetica"/>
                <w:sz w:val="22"/>
              </w:rPr>
            </w:r>
          </w:p>
        </w:tc>
        <w:tc>
          <w:tcPr>
            <w:tcBorders>
              <w:bottom w:val="single" w:color="auto" w:sz="6" w:space="0"/>
            </w:tcBorders>
            <w:tcW w:w="21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  <w:lang w:val="es-ES"/>
              </w:rPr>
              <w:t xml:space="preserve">Java</w:t>
            </w:r>
            <w:r>
              <w:rPr>
                <w:rFonts w:ascii="Helvetica" w:hAnsi="Helvetica"/>
                <w:sz w:val="22"/>
              </w:rPr>
            </w:r>
            <w:r>
              <w:rPr>
                <w:rFonts w:ascii="Helvetica" w:hAnsi="Helvetica"/>
                <w:sz w:val="22"/>
              </w:rPr>
            </w:r>
          </w:p>
        </w:tc>
      </w:tr>
      <w:tr>
        <w:trPr>
          <w:cantSplit/>
        </w:trPr>
        <w:tc>
          <w:tcPr>
            <w:tcBorders/>
            <w:tcW w:w="18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 xml:space="preserve">Author:</w:t>
            </w:r>
            <w:r>
              <w:rPr>
                <w:rFonts w:ascii="Helvetica" w:hAnsi="Helvetica"/>
                <w:sz w:val="22"/>
              </w:rPr>
            </w:r>
            <w:r>
              <w:rPr>
                <w:rFonts w:ascii="Helvetica" w:hAnsi="Helvetica"/>
                <w:sz w:val="22"/>
              </w:rPr>
            </w:r>
          </w:p>
        </w:tc>
        <w:tc>
          <w:tcPr>
            <w:tcBorders>
              <w:top w:val="single" w:color="auto" w:sz="6" w:space="0"/>
              <w:bottom w:val="single" w:color="auto" w:sz="6" w:space="0"/>
            </w:tcBorders>
            <w:tcW w:w="39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  <w:lang w:val="es-ES"/>
              </w:rPr>
              <w:t xml:space="preserve">Evelyn Aguilar Sanchez</w:t>
            </w:r>
            <w:r>
              <w:rPr>
                <w:rFonts w:ascii="Helvetica" w:hAnsi="Helvetica"/>
                <w:sz w:val="22"/>
              </w:rPr>
            </w:r>
            <w:r>
              <w:rPr>
                <w:rFonts w:ascii="Helvetica" w:hAnsi="Helvetica"/>
                <w:sz w:val="22"/>
              </w:rPr>
            </w:r>
          </w:p>
        </w:tc>
        <w:tc>
          <w:tcPr>
            <w:tcBorders/>
            <w:tcW w:w="144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 xml:space="preserve">Date:</w:t>
            </w:r>
            <w:r>
              <w:rPr>
                <w:rFonts w:ascii="Helvetica" w:hAnsi="Helvetica"/>
                <w:sz w:val="22"/>
              </w:rPr>
            </w:r>
            <w:r>
              <w:rPr>
                <w:rFonts w:ascii="Helvetica" w:hAnsi="Helvetica"/>
                <w:sz w:val="22"/>
              </w:rPr>
            </w:r>
          </w:p>
        </w:tc>
        <w:tc>
          <w:tcPr>
            <w:tcBorders>
              <w:top w:val="single" w:color="auto" w:sz="6" w:space="0"/>
              <w:bottom w:val="single" w:color="auto" w:sz="6" w:space="0"/>
            </w:tcBorders>
            <w:tcW w:w="21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  <w:lang w:val="es-ES"/>
              </w:rPr>
              <w:t xml:space="preserve">30/10/2025</w:t>
            </w:r>
            <w:r>
              <w:rPr>
                <w:rFonts w:ascii="Helvetica" w:hAnsi="Helvetica"/>
                <w:sz w:val="22"/>
              </w:rPr>
            </w:r>
            <w:r>
              <w:rPr>
                <w:rFonts w:ascii="Helvetica" w:hAnsi="Helvetica"/>
                <w:sz w:val="22"/>
              </w:rPr>
            </w:r>
          </w:p>
        </w:tc>
      </w:tr>
    </w:tbl>
    <w:p>
      <w:pPr>
        <w:pStyle w:val="902"/>
        <w:pBdr/>
        <w:spacing/>
        <w:ind/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</w:r>
      <w:r>
        <w:rPr>
          <w:rFonts w:ascii="Helvetica" w:hAnsi="Helvetica"/>
          <w:sz w:val="16"/>
          <w:szCs w:val="16"/>
        </w:rPr>
      </w:r>
      <w:r>
        <w:rPr>
          <w:rFonts w:ascii="Helvetica" w:hAnsi="Helvetica"/>
          <w:sz w:val="16"/>
          <w:szCs w:val="16"/>
        </w:rPr>
      </w:r>
    </w:p>
    <w:tbl>
      <w:tblPr>
        <w:jc w:val="center"/>
        <w:tblInd w:w="0" w:type="dxa"/>
        <w:tblW w:w="0" w:type="auto"/>
        <w:tblCellMar>
          <w:left w:w="80" w:type="dxa"/>
          <w:top w:w="0" w:type="dxa"/>
          <w:right w:w="8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2600"/>
        <w:gridCol w:w="1260"/>
        <w:gridCol w:w="5580"/>
      </w:tblGrid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 xml:space="preserve">Count Type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 xml:space="preserve">Type</w:t>
            </w:r>
            <w:r>
              <w:rPr>
                <w:rFonts w:ascii="Helvetica" w:hAnsi="Helvetica"/>
                <w:b/>
                <w:sz w:val="20"/>
              </w:rPr>
            </w:r>
            <w:r>
              <w:rPr>
                <w:rFonts w:ascii="Helvetica" w:hAnsi="Helvetica"/>
                <w:b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 xml:space="preserve">Comments</w:t>
            </w:r>
            <w:r>
              <w:rPr>
                <w:rFonts w:ascii="Helvetica" w:hAnsi="Helvetica"/>
                <w:b/>
                <w:sz w:val="20"/>
              </w:rPr>
            </w:r>
            <w:r>
              <w:rPr>
                <w:rFonts w:ascii="Helvetica" w:hAnsi="Helvetica"/>
                <w:b/>
                <w:sz w:val="20"/>
              </w:rPr>
            </w:r>
          </w:p>
        </w:tc>
      </w:tr>
      <w:tr>
        <w:trPr>
          <w:cantSplit/>
        </w:trPr>
        <w:tc>
          <w:tcPr>
            <w:tcBorders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Physical/Logical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  <w:t xml:space="preserve">Logical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  <w:t xml:space="preserve">Se cuentan líneas lógicas de código (LOC) en archivos fuente Java. Se excluyen comentarios y líneas en blanco. Cada sentencia lógica (aunque esté en varias líneas físicas) cuenta como 1 LOC.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 xml:space="preserve">Statement Type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 xml:space="preserve">Included</w:t>
            </w:r>
            <w:r>
              <w:rPr>
                <w:rFonts w:ascii="Helvetica" w:hAnsi="Helvetica"/>
                <w:b/>
                <w:sz w:val="20"/>
              </w:rPr>
            </w:r>
            <w:r>
              <w:rPr>
                <w:rFonts w:ascii="Helvetica" w:hAnsi="Helvetica"/>
                <w:b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 xml:space="preserve">Comments</w:t>
            </w:r>
            <w:r>
              <w:rPr>
                <w:rFonts w:ascii="Helvetica" w:hAnsi="Helvetica"/>
                <w:b/>
                <w:sz w:val="20"/>
              </w:rPr>
            </w:r>
            <w:r>
              <w:rPr>
                <w:rFonts w:ascii="Helvetica" w:hAnsi="Helvetica"/>
                <w:b/>
                <w:sz w:val="20"/>
              </w:rPr>
            </w:r>
          </w:p>
        </w:tc>
      </w:tr>
      <w:tr>
        <w:trPr>
          <w:cantSplit/>
        </w:trPr>
        <w:tc>
          <w:tcPr>
            <w:tcBorders>
              <w:left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Executable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  <w:lang w:val="es-ES"/>
              </w:rPr>
              <w:t xml:space="preserve">si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  <w:t xml:space="preserve">Instrucciones que producen acciones en tiempo de ejecución: asignaciones, llamadas a métodos, expresiones evaluadas como sentencias.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  <w:tr>
        <w:trPr>
          <w:cantSplit/>
        </w:trPr>
        <w:tc>
          <w:tcPr>
            <w:tcBorders>
              <w:left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Nonexecutable: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  <w:lang w:val="es-ES"/>
              </w:rPr>
              <w:t xml:space="preserve">si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  <w:t xml:space="preserve">Declaraciones de tipos y firmas que aportan estructura (por ejemplo, declaraciones de campos y firmas de métodos) se cuentan según su regla específica.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  <w:tr>
        <w:trPr>
          <w:cantSplit/>
        </w:trPr>
        <w:tc>
          <w:tcPr>
            <w:tcBorders>
              <w:left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Declarations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  <w:lang w:val="es-ES"/>
              </w:rPr>
              <w:t xml:space="preserve">si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  <w:lang w:val="es-ES"/>
              </w:rPr>
            </w:r>
            <w:r>
              <w:rPr>
                <w:rFonts w:ascii="Helvetica" w:hAnsi="Helvetica"/>
                <w:sz w:val="20"/>
                <w:lang w:val="es-ES"/>
              </w:rPr>
              <w:t xml:space="preserve">Cada declaración de variable de clase o campo, así como parámetros en la declaración de métodos, cuenta como 1 LOC por declaración individual según Note 3.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  <w:tr>
        <w:trPr>
          <w:cantSplit/>
        </w:trPr>
        <w:tc>
          <w:tcPr>
            <w:tcBorders>
              <w:left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Compiler Directives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  <w:lang w:val="es-ES"/>
              </w:rPr>
              <w:t xml:space="preserve">no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  <w:t xml:space="preserve">Java no utiliza directivas de preprocesador tipo #define; no se cuentan.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  <w:tr>
        <w:trPr>
          <w:cantSplit/>
        </w:trPr>
        <w:tc>
          <w:tcPr>
            <w:tcBorders>
              <w:left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Comments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  <w:lang w:val="es-ES"/>
              </w:rPr>
              <w:t xml:space="preserve">no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  <w:t xml:space="preserve">Todas las formas de comentario (//, /* ... */, /** ... */) se excluyen del conteo.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  <w:tr>
        <w:trPr>
          <w:cantSplit/>
        </w:trPr>
        <w:tc>
          <w:tcPr>
            <w:tcBorders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Blank lines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  <w:lang w:val="es-ES"/>
              </w:rPr>
              <w:t xml:space="preserve">no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  <w:t xml:space="preserve">No se cuentan.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  <w:tr>
        <w:trPr>
          <w:cantSplit/>
        </w:trPr>
        <w:tc>
          <w:tcPr>
            <w:tcBorders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Other elements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  <w:lang w:val="es-ES"/>
              </w:rPr>
              <w:t xml:space="preserve">si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  <w:t xml:space="preserve">Annotations (ej. @Override) se consideran parte de la declaración que anotan y no se cuentan por separado; literales de texto largos que aparezcan en varias líneas se cuentan según la regla de la sentencia lógica que los contiene.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 xml:space="preserve">Clarifications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 xml:space="preserve">Examples/Cases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  <w:t xml:space="preserve">Contar 1 LOC por cada sentencia lógica ejecutable o declarativa en Java.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  <w:t xml:space="preserve">- Sentencia simple:  int x = 0;                           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  <w:szCs w:val="20"/>
              </w:rPr>
            </w:r>
          </w:p>
          <w:p>
            <w:pPr>
              <w:pBdr/>
              <w:spacing w:after="40" w:before="40"/>
              <w:ind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</w:rPr>
              <w:t xml:space="preserve">-&gt; 1 LOC
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  <w:szCs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  <w:t xml:space="preserve">Una sentencia que se extienda en varias líneas físicas (por ejemplo, una llamada a método con parámetros en líneas separadas) se cuenta como 1 LOC.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  <w:t xml:space="preserve">- Declaración múltiple: int a, b;                         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  <w:szCs w:val="20"/>
              </w:rPr>
            </w:r>
          </w:p>
          <w:p>
            <w:pPr>
              <w:pBdr/>
              <w:spacing w:after="40" w:before="40"/>
              <w:ind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</w:rPr>
              <w:t xml:space="preserve">-&gt; 2 LOC (una por cada variable declarada)
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  <w:szCs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  <w:t xml:space="preserve">No se cuentan import, package ni comentarios ni líneas en blanco.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  <w:t xml:space="preserve">- Método/Constructor: public void foo() { ... }          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  <w:szCs w:val="20"/>
              </w:rPr>
            </w:r>
          </w:p>
          <w:p>
            <w:pPr>
              <w:pBdr/>
              <w:spacing w:after="40" w:before="40"/>
              <w:ind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</w:rPr>
              <w:t xml:space="preserve">-&gt; 1 item, las sentencias dentro se cuentan por separado
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  <w:szCs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  <w:t xml:space="preserve">Cada declaración de método o constructor se considera un item y cuenta como 1 ítem en el recuento de items.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  <w:t xml:space="preserve">- Estructuras de control: if (cond) { ... }              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  <w:szCs w:val="20"/>
              </w:rPr>
            </w:r>
          </w:p>
          <w:p>
            <w:pPr>
              <w:pBdr/>
              <w:spacing w:after="40" w:before="40"/>
              <w:ind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</w:rPr>
              <w:t xml:space="preserve">-&gt; 1 LOC por la condición (el contenido se cuenta aparte)
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  <w:szCs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  <w:t xml:space="preserve">Cada clase o interfaz se considera una parte (part) y cuenta como una unidad a reportar en el resumen de tamaños.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  <w:t xml:space="preserve">- For/While: for (...) { ... }                           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  <w:szCs w:val="20"/>
              </w:rPr>
            </w:r>
          </w:p>
          <w:p>
            <w:pPr>
              <w:pBdr/>
              <w:spacing w:after="40" w:before="40"/>
              <w:ind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</w:rPr>
              <w:t xml:space="preserve">-&gt; 1 LOC por la sentencia de control (el cuerpo se cuenta aparte)
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  <w:szCs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  <w:t xml:space="preserve">Los bloques anónimos internos, inicializadores estáticos o de instancia se cuentan contando las sentencias ejecutables que contienen.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  <w:t xml:space="preserve">- Sentencias continuadas en varias líneas:                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  <w:szCs w:val="20"/>
              </w:rPr>
            </w:r>
          </w:p>
          <w:p>
            <w:pPr>
              <w:pBdr/>
              <w:spacing w:after="40" w:before="40"/>
              <w:ind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</w:rPr>
              <w:t xml:space="preserve">-&gt; 1 LOC  foo(a,      b,      c);
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  <w:szCs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  <w:t xml:space="preserve">Las declaraciones múltiples en una sola línea se cuentan por declaración (p. ej. int a, b, c; se cuenta como 3 declaraciones si aplica).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  <w:t xml:space="preserve">- Anotaciones: @Override public String toString() { ... } 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  <w:szCs w:val="20"/>
              </w:rPr>
            </w:r>
          </w:p>
          <w:p>
            <w:pPr>
              <w:pBdr/>
              <w:spacing w:after="40" w:before="40"/>
              <w:ind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</w:rPr>
              <w:t xml:space="preserve">-&gt; @Override NO cuenta por separado; el método cuenta como 1 item
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  <w:szCs w:val="20"/>
              </w:rPr>
            </w:r>
          </w:p>
        </w:tc>
      </w:tr>
      <w:tr>
        <w:trPr>
          <w:cantSplit/>
        </w:trPr>
        <w:tc>
          <w:tcPr>
            <w:tcBorders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Note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  <w:t xml:space="preserve">Contar una LOC por cada ocurrencia de sentencias clave: CASE, DO, ELSE, FOR, IF, SWITCH, WHILE, TRY, CATCH, FINALLY.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  <w:tr>
        <w:trPr>
          <w:cantSplit/>
        </w:trPr>
        <w:tc>
          <w:tcPr>
            <w:tcBorders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Note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  <w:t xml:space="preserve">Contar como separadores los puntos y comas que terminan sentencias; no contar los que aparecen dentro de literales o expresiones entre paréntesis.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W w:w="260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Note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6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5580" w:type="dxa"/>
            <w:vAlign w:val="top"/>
            <w:textDirection w:val="lrTb"/>
            <w:noWrap w:val="false"/>
          </w:tcPr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  <w:t xml:space="preserve">Cada método o constructor se cuenta como 1 item para el recuento de ítems por parte (parte = clase o interfaz).</w:t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  <w:p>
            <w:pPr>
              <w:pStyle w:val="902"/>
              <w:pBdr/>
              <w:spacing w:after="40" w:before="40"/>
              <w:ind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  <w:r>
              <w:rPr>
                <w:rFonts w:ascii="Helvetica" w:hAnsi="Helvetica"/>
                <w:sz w:val="20"/>
              </w:rPr>
            </w:r>
          </w:p>
        </w:tc>
      </w:tr>
    </w:tbl>
    <w:p>
      <w:pPr>
        <w:pStyle w:val="902"/>
        <w:pBdr/>
        <w:spacing/>
        <w:ind/>
        <w:rPr>
          <w:rFonts w:ascii="Helvetica" w:hAnsi="Helvetica"/>
        </w:rPr>
      </w:pPr>
      <w:r>
        <w:rPr>
          <w:rFonts w:ascii="Helvetica" w:hAnsi="Helvetica"/>
        </w:rPr>
      </w:r>
      <w:r>
        <w:rPr>
          <w:rFonts w:ascii="Helvetica" w:hAnsi="Helvetica"/>
        </w:rPr>
      </w:r>
      <w:r>
        <w:rPr>
          <w:rFonts w:ascii="Helvetica" w:hAnsi="Helvetica"/>
        </w:rPr>
      </w:r>
    </w:p>
    <w:p>
      <w:pPr>
        <w:pStyle w:val="902"/>
        <w:pBdr/>
        <w:spacing/>
        <w:ind/>
        <w:rPr>
          <w:rFonts w:ascii="Helvetica" w:hAnsi="Helvetica"/>
        </w:rPr>
      </w:pPr>
      <w:r>
        <w:rPr>
          <w:rFonts w:ascii="Helvetica" w:hAnsi="Helvetica"/>
        </w:rPr>
      </w:r>
      <w:r>
        <w:rPr>
          <w:rFonts w:ascii="Helvetica" w:hAnsi="Helvetica"/>
        </w:rPr>
      </w:r>
      <w:r>
        <w:rPr>
          <w:rFonts w:ascii="Helvetica" w:hAnsi="Helvetica"/>
        </w:rPr>
      </w:r>
    </w:p>
    <w:p>
      <w:pPr>
        <w:pStyle w:val="905"/>
        <w:pBdr/>
        <w:spacing/>
        <w:ind/>
        <w:rPr/>
      </w:pPr>
      <w:r>
        <w:t xml:space="preserve">E</w:t>
      </w:r>
      <w:r>
        <w:t xml:space="preserve">valuation </w:t>
      </w:r>
      <w:r>
        <w:t xml:space="preserve">criteria and suggestions</w:t>
      </w:r>
      <w:r/>
    </w:p>
    <w:p>
      <w:pPr>
        <w:pStyle w:val="932"/>
        <w:pBdr/>
        <w:spacing/>
        <w:ind/>
        <w:rPr/>
      </w:pPr>
      <w:r/>
      <w:r/>
    </w:p>
    <w:tbl>
      <w:tblPr>
        <w:tblInd w:w="0" w:type="dxa"/>
        <w:tblW w:w="0" w:type="auto"/>
        <w:tblCellMar>
          <w:left w:w="180" w:type="dxa"/>
          <w:top w:w="0" w:type="dxa"/>
          <w:right w:w="18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2160"/>
        <w:gridCol w:w="8010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2160" w:type="dxa"/>
            <w:vAlign w:val="top"/>
            <w:textDirection w:val="lrTb"/>
            <w:noWrap w:val="false"/>
          </w:tcPr>
          <w:p>
            <w:pPr>
              <w:pStyle w:val="906"/>
              <w:pBdr/>
              <w:spacing/>
              <w:ind w:right="0"/>
              <w:rPr/>
            </w:pPr>
            <w:r>
              <w:t xml:space="preserve">Evaluation c</w:t>
            </w:r>
            <w:r>
              <w:t xml:space="preserve">riteria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8010" w:type="dxa"/>
            <w:vAlign w:val="top"/>
            <w:textDirection w:val="lrTb"/>
            <w:noWrap w:val="false"/>
          </w:tcPr>
          <w:p>
            <w:pPr>
              <w:pStyle w:val="925"/>
              <w:pBdr/>
              <w:spacing/>
              <w:ind/>
              <w:jc w:val="both"/>
              <w:rPr/>
            </w:pPr>
            <w:r>
              <w:t xml:space="preserve">Your standard must be</w:t>
            </w:r>
            <w:r/>
          </w:p>
          <w:p>
            <w:pPr>
              <w:pStyle w:val="937"/>
              <w:pBdr/>
              <w:spacing/>
              <w:ind/>
              <w:rPr/>
            </w:pPr>
            <w:r>
              <w:t xml:space="preserve">•</w:t>
              <w:tab/>
              <w:t xml:space="preserve">complete</w:t>
            </w:r>
            <w:r/>
          </w:p>
          <w:p>
            <w:pPr>
              <w:pStyle w:val="937"/>
              <w:pBdr/>
              <w:spacing/>
              <w:ind/>
              <w:rPr/>
            </w:pPr>
            <w:r>
              <w:t xml:space="preserve">•</w:t>
              <w:tab/>
              <w:t xml:space="preserve">legible</w:t>
            </w:r>
            <w:r/>
          </w:p>
        </w:tc>
      </w:tr>
    </w:tbl>
    <w:p>
      <w:pPr>
        <w:pStyle w:val="932"/>
        <w:pBdr/>
        <w:spacing/>
        <w:ind/>
        <w:rPr/>
      </w:pPr>
      <w:r/>
      <w:r/>
    </w:p>
    <w:tbl>
      <w:tblPr>
        <w:tblInd w:w="0" w:type="dxa"/>
        <w:tblW w:w="0" w:type="auto"/>
        <w:tblCellMar>
          <w:left w:w="180" w:type="dxa"/>
          <w:top w:w="0" w:type="dxa"/>
          <w:right w:w="18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2160"/>
        <w:gridCol w:w="8010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2160" w:type="dxa"/>
            <w:vAlign w:val="top"/>
            <w:textDirection w:val="lrTb"/>
            <w:noWrap w:val="false"/>
          </w:tcPr>
          <w:p>
            <w:pPr>
              <w:pStyle w:val="906"/>
              <w:pBdr/>
              <w:spacing/>
              <w:ind w:right="0"/>
              <w:rPr/>
            </w:pPr>
            <w:r>
              <w:t xml:space="preserve">Suggestions</w:t>
            </w:r>
            <w:r/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8010" w:type="dxa"/>
            <w:vAlign w:val="top"/>
            <w:textDirection w:val="lrTb"/>
            <w:noWrap w:val="false"/>
          </w:tcPr>
          <w:p>
            <w:pPr>
              <w:pStyle w:val="925"/>
              <w:pBdr/>
              <w:spacing/>
              <w:ind/>
              <w:rPr/>
            </w:pPr>
            <w:r>
              <w:t xml:space="preserve">Keep </w:t>
            </w:r>
            <w:r>
              <w:t xml:space="preserve">your</w:t>
            </w:r>
            <w:r>
              <w:t xml:space="preserve"> standards simple and short.</w:t>
            </w:r>
            <w:r/>
          </w:p>
          <w:p>
            <w:pPr>
              <w:pStyle w:val="925"/>
              <w:pBdr/>
              <w:spacing/>
              <w:ind/>
              <w:rPr/>
            </w:pPr>
            <w:r/>
            <w:r/>
          </w:p>
          <w:p>
            <w:pPr>
              <w:pStyle w:val="925"/>
              <w:pBdr/>
              <w:spacing/>
              <w:ind/>
              <w:rPr/>
            </w:pPr>
            <w:r>
              <w:t xml:space="preserve">Do not hesitate to copy or build on the PSP materials.</w:t>
            </w:r>
            <w:r/>
          </w:p>
        </w:tc>
      </w:tr>
    </w:tbl>
    <w:p>
      <w:pPr>
        <w:pStyle w:val="902"/>
        <w:pBdr/>
        <w:spacing/>
        <w:ind/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</w:r>
      <w:r>
        <w:rPr>
          <w:rFonts w:ascii="Helvetica" w:hAnsi="Helvetica"/>
          <w:sz w:val="16"/>
          <w:szCs w:val="16"/>
        </w:rPr>
      </w:r>
      <w:r>
        <w:rPr>
          <w:rFonts w:ascii="Helvetica" w:hAnsi="Helvetica"/>
          <w:sz w:val="16"/>
          <w:szCs w:val="16"/>
        </w:rPr>
      </w:r>
    </w:p>
    <w:sectPr>
      <w:footerReference w:type="default" r:id="rId9"/>
      <w:footnotePr/>
      <w:endnotePr/>
      <w:type w:val="nextPage"/>
      <w:pgSz w:h="15840" w:orient="portrait" w:w="12240"/>
      <w:pgMar w:top="1080" w:right="1080" w:bottom="1080" w:left="1080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New Century Schlbk">
    <w:panose1 w:val="05040102010807070707"/>
  </w:font>
  <w:font w:name="Symbol">
    <w:panose1 w:val="05010000000000000000"/>
  </w:font>
  <w:font w:name="Times New Roman">
    <w:panose1 w:val="02020603050405020304"/>
  </w:font>
  <w:font w:name="Tahoma">
    <w:panose1 w:val="020B0502040504020204"/>
  </w:font>
  <w:font w:name="Comic Sans MS">
    <w:panose1 w:val="020F0502020204030204"/>
  </w:font>
  <w:font w:name="Helvetica">
    <w:panose1 w:val="020B0604020202020204"/>
  </w:font>
  <w:font w:name="Times">
    <w:panose1 w:val="050401020108070707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9"/>
      <w:pBdr/>
      <w:spacing/>
      <w:ind/>
      <w:rPr>
        <w:rFonts w:ascii="New Century Schlbk" w:hAnsi="New Century Schlbk"/>
        <w:sz w:val="20"/>
      </w:rPr>
    </w:pPr>
    <w:r>
      <w:rPr>
        <w:rFonts w:ascii="New Century Schlbk" w:hAnsi="New Century Schlbk"/>
        <w:sz w:val="20"/>
      </w:rPr>
      <w:t xml:space="preserve">Size Counting Standard        </w:t>
    </w:r>
    <w:r>
      <w:rPr>
        <w:rFonts w:ascii="New Century Schlbk" w:hAnsi="New Century Schlbk"/>
        <w:sz w:val="20"/>
      </w:rPr>
      <w:t xml:space="preserve">January</w:t>
    </w:r>
    <w:r>
      <w:rPr>
        <w:rFonts w:ascii="New Century Schlbk" w:hAnsi="New Century Schlbk"/>
        <w:sz w:val="20"/>
      </w:rPr>
      <w:t xml:space="preserve"> 200</w:t>
    </w:r>
    <w:r>
      <w:rPr>
        <w:rFonts w:ascii="New Century Schlbk" w:hAnsi="New Century Schlbk"/>
        <w:sz w:val="20"/>
      </w:rPr>
      <w:t xml:space="preserve">6</w:t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tab/>
    </w:r>
    <w:r>
      <w:rPr>
        <w:rFonts w:ascii="Symbol" w:hAnsi="Symbol" w:eastAsia="Symbol" w:cs="Symbol"/>
        <w:sz w:val="20"/>
      </w:rPr>
      <w:t xml:space="preserve">Ó</w:t>
    </w:r>
    <w:r>
      <w:rPr>
        <w:rFonts w:ascii="New Century Schlbk" w:hAnsi="New Century Schlbk"/>
        <w:sz w:val="20"/>
      </w:rPr>
      <w:t xml:space="preserve"> 200</w:t>
    </w:r>
    <w:r>
      <w:rPr>
        <w:rFonts w:ascii="New Century Schlbk" w:hAnsi="New Century Schlbk"/>
        <w:sz w:val="20"/>
      </w:rPr>
      <w:t xml:space="preserve">6</w:t>
    </w:r>
    <w:r>
      <w:rPr>
        <w:rFonts w:ascii="New Century Schlbk" w:hAnsi="New Century Schlbk"/>
        <w:sz w:val="20"/>
      </w:rPr>
      <w:t xml:space="preserve"> by Carnegie Mellon University</w:t>
    </w:r>
    <w:r>
      <w:rPr>
        <w:rFonts w:ascii="New Century Schlbk" w:hAnsi="New Century Schlbk"/>
        <w:sz w:val="20"/>
      </w:rPr>
    </w:r>
    <w:r>
      <w:rPr>
        <w:rFonts w:ascii="New Century Schlbk" w:hAnsi="New Century Schlbk"/>
        <w:sz w:val="2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A4E61"/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ascii="Symbol" w:hAnsi="Symbol" w:eastAsia="Times" w:cs="Times New Roman"/>
        <w:color w:val="000000"/>
      </w:rPr>
      <w:start w:val="0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ascii="Wingdings" w:hAnsi="Wingdings"/>
      </w:rPr>
      <w:start w:val="1"/>
      <w:suff w:val="tab"/>
    </w:lvl>
  </w:abstractNum>
  <w:abstractNum w:abstractNumId="1">
    <w:nsid w:val="521E0BB9"/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ascii="Symbol" w:hAnsi="Symbol" w:eastAsia="Times" w:cs="Times New Roman"/>
        <w:color w:val="000000"/>
      </w:rPr>
      <w:start w:val="0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ascii="Wingdings" w:hAnsi="Wingdings"/>
      </w:rPr>
      <w:start w:val="1"/>
      <w:suff w:val="tab"/>
    </w:lvl>
  </w:abstractNum>
  <w:abstractNum w:abstractNumId="2">
    <w:nsid w:val="60CD5FE4"/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144" w:left="144"/>
      </w:pPr>
      <w:rPr>
        <w:rFonts w:ascii="Symbol" w:hAnsi="Symbol"/>
        <w:color w:val="auto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3">
    <w:nsid w:val="76C12984"/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144" w:left="144"/>
      </w:pPr>
      <w:rPr>
        <w:rFonts w:ascii="Symbol" w:hAnsi="Symbol"/>
        <w:color w:val="auto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33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Table Grid"/>
    <w:basedOn w:val="73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Table Grid Light"/>
    <w:basedOn w:val="73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Plain Table 1"/>
    <w:basedOn w:val="73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Plain Table 2"/>
    <w:basedOn w:val="73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Plain Table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"/>
    <w:basedOn w:val="7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- Accent 1"/>
    <w:basedOn w:val="7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- Accent 2"/>
    <w:basedOn w:val="7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 - Accent 3"/>
    <w:basedOn w:val="7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- Accent 4"/>
    <w:basedOn w:val="7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- Accent 5"/>
    <w:basedOn w:val="7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6"/>
    <w:basedOn w:val="7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d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a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a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a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a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4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4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4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4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9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9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9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9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a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4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9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 1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ned - Accent 2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 3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 4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 5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6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 1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&amp; Lined - Accent 2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 3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 4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 5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6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0">
    <w:name w:val="Heading 1 Char"/>
    <w:basedOn w:val="912"/>
    <w:link w:val="90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61">
    <w:name w:val="Heading 2 Char"/>
    <w:basedOn w:val="912"/>
    <w:link w:val="90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62">
    <w:name w:val="Heading 3 Char"/>
    <w:basedOn w:val="912"/>
    <w:link w:val="90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3">
    <w:name w:val="Heading 4 Char"/>
    <w:basedOn w:val="912"/>
    <w:link w:val="90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4">
    <w:name w:val="Heading 5 Char"/>
    <w:basedOn w:val="912"/>
    <w:link w:val="90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5">
    <w:name w:val="Heading 6 Char"/>
    <w:basedOn w:val="912"/>
    <w:link w:val="90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6">
    <w:name w:val="Heading 7 Char"/>
    <w:basedOn w:val="912"/>
    <w:link w:val="90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7">
    <w:name w:val="Heading 8 Char"/>
    <w:basedOn w:val="912"/>
    <w:link w:val="91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8">
    <w:name w:val="Heading 9 Char"/>
    <w:basedOn w:val="912"/>
    <w:link w:val="91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9">
    <w:name w:val="Title Char"/>
    <w:basedOn w:val="912"/>
    <w:link w:val="94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70">
    <w:name w:val="Subtitle"/>
    <w:basedOn w:val="902"/>
    <w:next w:val="902"/>
    <w:link w:val="87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71">
    <w:name w:val="Subtitle Char"/>
    <w:basedOn w:val="912"/>
    <w:link w:val="87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2">
    <w:name w:val="Quote"/>
    <w:basedOn w:val="902"/>
    <w:next w:val="902"/>
    <w:link w:val="87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3">
    <w:name w:val="Quote Char"/>
    <w:basedOn w:val="912"/>
    <w:link w:val="87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74">
    <w:name w:val="List Paragraph"/>
    <w:basedOn w:val="902"/>
    <w:uiPriority w:val="34"/>
    <w:qFormat/>
    <w:pPr>
      <w:pBdr/>
      <w:spacing/>
      <w:ind w:left="720"/>
      <w:contextualSpacing w:val="true"/>
    </w:pPr>
  </w:style>
  <w:style w:type="character" w:styleId="875">
    <w:name w:val="Intense Emphasis"/>
    <w:basedOn w:val="91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6">
    <w:name w:val="Intense Quote"/>
    <w:basedOn w:val="902"/>
    <w:next w:val="902"/>
    <w:link w:val="87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7">
    <w:name w:val="Intense Quote Char"/>
    <w:basedOn w:val="912"/>
    <w:link w:val="87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8">
    <w:name w:val="Intense Reference"/>
    <w:basedOn w:val="91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79">
    <w:name w:val="No Spacing"/>
    <w:basedOn w:val="902"/>
    <w:uiPriority w:val="1"/>
    <w:qFormat/>
    <w:pPr>
      <w:pBdr/>
      <w:spacing w:after="0" w:line="240" w:lineRule="auto"/>
      <w:ind/>
    </w:pPr>
  </w:style>
  <w:style w:type="character" w:styleId="880">
    <w:name w:val="Subtle Emphasis"/>
    <w:basedOn w:val="91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81">
    <w:name w:val="Emphasis"/>
    <w:basedOn w:val="912"/>
    <w:uiPriority w:val="20"/>
    <w:qFormat/>
    <w:pPr>
      <w:pBdr/>
      <w:spacing/>
      <w:ind/>
    </w:pPr>
    <w:rPr>
      <w:i/>
      <w:iCs/>
    </w:rPr>
  </w:style>
  <w:style w:type="character" w:styleId="882">
    <w:name w:val="Strong"/>
    <w:basedOn w:val="912"/>
    <w:uiPriority w:val="22"/>
    <w:qFormat/>
    <w:pPr>
      <w:pBdr/>
      <w:spacing/>
      <w:ind/>
    </w:pPr>
    <w:rPr>
      <w:b/>
      <w:bCs/>
    </w:rPr>
  </w:style>
  <w:style w:type="character" w:styleId="883">
    <w:name w:val="Subtle Reference"/>
    <w:basedOn w:val="91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4">
    <w:name w:val="Book Title"/>
    <w:basedOn w:val="912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885">
    <w:name w:val="Header Char"/>
    <w:basedOn w:val="912"/>
    <w:link w:val="920"/>
    <w:uiPriority w:val="99"/>
    <w:pPr>
      <w:pBdr/>
      <w:spacing/>
      <w:ind/>
    </w:pPr>
  </w:style>
  <w:style w:type="character" w:styleId="886">
    <w:name w:val="Footer Char"/>
    <w:basedOn w:val="912"/>
    <w:link w:val="919"/>
    <w:uiPriority w:val="99"/>
    <w:pPr>
      <w:pBdr/>
      <w:spacing/>
      <w:ind/>
    </w:pPr>
  </w:style>
  <w:style w:type="paragraph" w:styleId="887">
    <w:name w:val="Caption"/>
    <w:basedOn w:val="902"/>
    <w:next w:val="90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character" w:styleId="888">
    <w:name w:val="Footnote Text Char"/>
    <w:basedOn w:val="912"/>
    <w:link w:val="922"/>
    <w:uiPriority w:val="99"/>
    <w:semiHidden/>
    <w:pPr>
      <w:pBdr/>
      <w:spacing/>
      <w:ind/>
    </w:pPr>
    <w:rPr>
      <w:sz w:val="20"/>
      <w:szCs w:val="20"/>
    </w:rPr>
  </w:style>
  <w:style w:type="paragraph" w:styleId="889">
    <w:name w:val="endnote text"/>
    <w:basedOn w:val="902"/>
    <w:link w:val="89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0">
    <w:name w:val="Endnote Text Char"/>
    <w:basedOn w:val="912"/>
    <w:link w:val="889"/>
    <w:uiPriority w:val="99"/>
    <w:semiHidden/>
    <w:pPr>
      <w:pBdr/>
      <w:spacing/>
      <w:ind/>
    </w:pPr>
    <w:rPr>
      <w:sz w:val="20"/>
      <w:szCs w:val="20"/>
    </w:rPr>
  </w:style>
  <w:style w:type="character" w:styleId="891">
    <w:name w:val="endnote reference"/>
    <w:basedOn w:val="912"/>
    <w:uiPriority w:val="99"/>
    <w:semiHidden/>
    <w:unhideWhenUsed/>
    <w:pPr>
      <w:pBdr/>
      <w:spacing/>
      <w:ind/>
    </w:pPr>
    <w:rPr>
      <w:vertAlign w:val="superscript"/>
    </w:rPr>
  </w:style>
  <w:style w:type="character" w:styleId="892">
    <w:name w:val="Hyperlink"/>
    <w:basedOn w:val="91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3">
    <w:name w:val="FollowedHyperlink"/>
    <w:basedOn w:val="91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4">
    <w:name w:val="toc 5"/>
    <w:basedOn w:val="902"/>
    <w:next w:val="902"/>
    <w:uiPriority w:val="39"/>
    <w:unhideWhenUsed/>
    <w:pPr>
      <w:pBdr/>
      <w:spacing w:after="100"/>
      <w:ind w:left="880"/>
    </w:pPr>
  </w:style>
  <w:style w:type="paragraph" w:styleId="895">
    <w:name w:val="toc 6"/>
    <w:basedOn w:val="902"/>
    <w:next w:val="902"/>
    <w:uiPriority w:val="39"/>
    <w:unhideWhenUsed/>
    <w:pPr>
      <w:pBdr/>
      <w:spacing w:after="100"/>
      <w:ind w:left="1100"/>
    </w:pPr>
  </w:style>
  <w:style w:type="paragraph" w:styleId="896">
    <w:name w:val="toc 7"/>
    <w:basedOn w:val="902"/>
    <w:next w:val="902"/>
    <w:uiPriority w:val="39"/>
    <w:unhideWhenUsed/>
    <w:pPr>
      <w:pBdr/>
      <w:spacing w:after="100"/>
      <w:ind w:left="1320"/>
    </w:pPr>
  </w:style>
  <w:style w:type="paragraph" w:styleId="897">
    <w:name w:val="toc 8"/>
    <w:basedOn w:val="902"/>
    <w:next w:val="902"/>
    <w:uiPriority w:val="39"/>
    <w:unhideWhenUsed/>
    <w:pPr>
      <w:pBdr/>
      <w:spacing w:after="100"/>
      <w:ind w:left="1540"/>
    </w:pPr>
  </w:style>
  <w:style w:type="paragraph" w:styleId="898">
    <w:name w:val="toc 9"/>
    <w:basedOn w:val="902"/>
    <w:next w:val="902"/>
    <w:uiPriority w:val="39"/>
    <w:unhideWhenUsed/>
    <w:pPr>
      <w:pBdr/>
      <w:spacing w:after="100"/>
      <w:ind w:left="1760"/>
    </w:pPr>
  </w:style>
  <w:style w:type="character" w:styleId="899">
    <w:name w:val="Placeholder Text"/>
    <w:basedOn w:val="912"/>
    <w:uiPriority w:val="99"/>
    <w:semiHidden/>
    <w:pPr>
      <w:pBdr/>
      <w:spacing/>
      <w:ind/>
    </w:pPr>
    <w:rPr>
      <w:color w:val="666666"/>
    </w:rPr>
  </w:style>
  <w:style w:type="paragraph" w:styleId="900">
    <w:name w:val="TOC Heading"/>
    <w:uiPriority w:val="39"/>
    <w:unhideWhenUsed/>
    <w:pPr>
      <w:pBdr/>
      <w:spacing/>
      <w:ind/>
    </w:pPr>
  </w:style>
  <w:style w:type="paragraph" w:styleId="901">
    <w:name w:val="table of figures"/>
    <w:basedOn w:val="902"/>
    <w:next w:val="902"/>
    <w:uiPriority w:val="99"/>
    <w:unhideWhenUsed/>
    <w:pPr>
      <w:pBdr/>
      <w:spacing w:after="0" w:afterAutospacing="0"/>
      <w:ind/>
    </w:pPr>
  </w:style>
  <w:style w:type="paragraph" w:styleId="902" w:default="1">
    <w:name w:val="Normal"/>
    <w:next w:val="902"/>
    <w:link w:val="902"/>
    <w:pPr>
      <w:pBdr/>
      <w:spacing/>
      <w:ind/>
    </w:pPr>
    <w:rPr>
      <w:rFonts w:ascii="Times" w:hAnsi="Times"/>
      <w:sz w:val="24"/>
      <w:lang w:val="en-US" w:eastAsia="en-US" w:bidi="ar-SA"/>
    </w:rPr>
  </w:style>
  <w:style w:type="paragraph" w:styleId="903">
    <w:name w:val="Heading 1"/>
    <w:basedOn w:val="902"/>
    <w:next w:val="930"/>
    <w:link w:val="902"/>
    <w:pPr>
      <w:pageBreakBefore w:val="true"/>
      <w:pBdr/>
      <w:tabs>
        <w:tab w:val="left" w:leader="none" w:pos="9980"/>
      </w:tabs>
      <w:spacing w:before="240"/>
      <w:ind/>
      <w:jc w:val="center"/>
    </w:pPr>
    <w:rPr>
      <w:rFonts w:ascii="Helvetica" w:hAnsi="Helvetica"/>
      <w:b/>
      <w:sz w:val="32"/>
    </w:rPr>
  </w:style>
  <w:style w:type="paragraph" w:styleId="904">
    <w:name w:val="Heading 2"/>
    <w:basedOn w:val="902"/>
    <w:next w:val="930"/>
    <w:link w:val="902"/>
    <w:pPr>
      <w:pageBreakBefore w:val="true"/>
      <w:pBdr/>
      <w:tabs>
        <w:tab w:val="left" w:leader="none" w:pos="9980"/>
      </w:tabs>
      <w:spacing w:after="240"/>
      <w:ind/>
      <w:jc w:val="center"/>
    </w:pPr>
    <w:rPr>
      <w:rFonts w:ascii="Helvetica" w:hAnsi="Helvetica"/>
      <w:b/>
      <w:sz w:val="32"/>
    </w:rPr>
  </w:style>
  <w:style w:type="paragraph" w:styleId="905">
    <w:name w:val="Heading 3"/>
    <w:basedOn w:val="930"/>
    <w:next w:val="932"/>
    <w:link w:val="902"/>
    <w:pPr>
      <w:pageBreakBefore w:val="true"/>
      <w:pBdr/>
      <w:spacing/>
      <w:ind w:right="-5400"/>
    </w:pPr>
  </w:style>
  <w:style w:type="paragraph" w:styleId="906">
    <w:name w:val="Heading 4"/>
    <w:basedOn w:val="902"/>
    <w:next w:val="925"/>
    <w:link w:val="902"/>
    <w:pPr>
      <w:pBdr/>
      <w:spacing/>
      <w:ind w:right="8280"/>
    </w:pPr>
    <w:rPr>
      <w:b/>
    </w:rPr>
  </w:style>
  <w:style w:type="paragraph" w:styleId="907">
    <w:name w:val="Heading 5"/>
    <w:basedOn w:val="902"/>
    <w:next w:val="941"/>
    <w:link w:val="902"/>
    <w:pPr>
      <w:pBdr/>
      <w:spacing/>
      <w:ind w:left="720"/>
    </w:pPr>
    <w:rPr>
      <w:b/>
      <w:sz w:val="20"/>
    </w:rPr>
  </w:style>
  <w:style w:type="paragraph" w:styleId="908">
    <w:name w:val="Heading 6"/>
    <w:basedOn w:val="902"/>
    <w:next w:val="941"/>
    <w:link w:val="902"/>
    <w:pPr>
      <w:pBdr/>
      <w:spacing/>
      <w:ind w:left="720"/>
    </w:pPr>
    <w:rPr>
      <w:sz w:val="20"/>
      <w:u w:val="single"/>
    </w:rPr>
  </w:style>
  <w:style w:type="paragraph" w:styleId="909">
    <w:name w:val="Heading 7"/>
    <w:basedOn w:val="902"/>
    <w:next w:val="941"/>
    <w:link w:val="902"/>
    <w:pPr>
      <w:pBdr/>
      <w:spacing/>
      <w:ind w:left="720"/>
    </w:pPr>
    <w:rPr>
      <w:i/>
      <w:sz w:val="20"/>
    </w:rPr>
  </w:style>
  <w:style w:type="paragraph" w:styleId="910">
    <w:name w:val="Heading 8"/>
    <w:basedOn w:val="902"/>
    <w:next w:val="941"/>
    <w:link w:val="902"/>
    <w:pPr>
      <w:pBdr/>
      <w:spacing/>
      <w:ind w:left="720"/>
    </w:pPr>
    <w:rPr>
      <w:i/>
      <w:sz w:val="20"/>
    </w:rPr>
  </w:style>
  <w:style w:type="paragraph" w:styleId="911">
    <w:name w:val="Heading 9"/>
    <w:basedOn w:val="902"/>
    <w:next w:val="941"/>
    <w:link w:val="902"/>
    <w:pPr>
      <w:pBdr/>
      <w:spacing/>
      <w:ind w:left="720"/>
    </w:pPr>
    <w:rPr>
      <w:i/>
      <w:sz w:val="20"/>
    </w:rPr>
  </w:style>
  <w:style w:type="character" w:styleId="912" w:default="1">
    <w:name w:val="Default Paragraph Font"/>
    <w:next w:val="912"/>
    <w:link w:val="902"/>
    <w:semiHidden/>
    <w:pPr>
      <w:pBdr/>
      <w:spacing/>
      <w:ind/>
    </w:pPr>
  </w:style>
  <w:style w:type="table" w:styleId="913">
    <w:name w:val="Table Normal"/>
    <w:next w:val="913"/>
    <w:link w:val="902"/>
    <w:semiHidden/>
    <w:pPr>
      <w:pBdr/>
      <w:spacing/>
      <w:ind/>
    </w:pPr>
    <w:tblPr>
      <w:tblInd w:w="0" w:type="dxa"/>
      <w:tblW w:w="0" w:type="auto"/>
      <w:tblCellMar>
        <w:left w:w="108" w:type="dxa"/>
        <w:top w:w="0" w:type="dxa"/>
        <w:right w:w="108" w:type="dxa"/>
        <w:bottom w:w="0" w:type="dxa"/>
      </w:tblCellMar>
      <w:tblBorders/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4" w:default="1">
    <w:name w:val="No List"/>
    <w:next w:val="914"/>
    <w:link w:val="902"/>
    <w:semiHidden/>
    <w:pPr>
      <w:pBdr/>
      <w:spacing/>
      <w:ind/>
    </w:pPr>
  </w:style>
  <w:style w:type="paragraph" w:styleId="915">
    <w:name w:val="toc 4"/>
    <w:basedOn w:val="902"/>
    <w:next w:val="902"/>
    <w:link w:val="902"/>
    <w:semiHidden/>
    <w:pPr>
      <w:pBdr/>
      <w:tabs>
        <w:tab w:val="left" w:leader="dot" w:pos="8280"/>
        <w:tab w:val="right" w:leader="none" w:pos="8640"/>
      </w:tabs>
      <w:spacing/>
      <w:ind w:right="720" w:left="2160"/>
    </w:pPr>
    <w:rPr>
      <w:i/>
      <w:sz w:val="20"/>
    </w:rPr>
  </w:style>
  <w:style w:type="paragraph" w:styleId="916">
    <w:name w:val="toc 3"/>
    <w:basedOn w:val="902"/>
    <w:next w:val="902"/>
    <w:link w:val="902"/>
    <w:semiHidden/>
    <w:pPr>
      <w:pBdr/>
      <w:tabs>
        <w:tab w:val="left" w:leader="dot" w:pos="8280"/>
        <w:tab w:val="right" w:leader="none" w:pos="8640"/>
      </w:tabs>
      <w:spacing/>
      <w:ind w:right="720" w:left="900"/>
    </w:pPr>
    <w:rPr>
      <w:sz w:val="20"/>
    </w:rPr>
  </w:style>
  <w:style w:type="paragraph" w:styleId="917">
    <w:name w:val="toc 2"/>
    <w:basedOn w:val="902"/>
    <w:next w:val="902"/>
    <w:link w:val="902"/>
    <w:semiHidden/>
    <w:pPr>
      <w:pBdr/>
      <w:tabs>
        <w:tab w:val="left" w:leader="none" w:pos="1440"/>
        <w:tab w:val="left" w:leader="dot" w:pos="8280"/>
        <w:tab w:val="right" w:leader="none" w:pos="8640"/>
      </w:tabs>
      <w:spacing/>
      <w:ind w:right="720" w:left="360"/>
    </w:pPr>
    <w:rPr>
      <w:sz w:val="20"/>
    </w:rPr>
  </w:style>
  <w:style w:type="paragraph" w:styleId="918">
    <w:name w:val="toc 1"/>
    <w:basedOn w:val="902"/>
    <w:next w:val="902"/>
    <w:link w:val="902"/>
    <w:semiHidden/>
    <w:pPr>
      <w:pBdr/>
      <w:tabs>
        <w:tab w:val="left" w:leader="none" w:pos="1620"/>
        <w:tab w:val="left" w:leader="dot" w:pos="8280"/>
        <w:tab w:val="right" w:leader="none" w:pos="8640"/>
      </w:tabs>
      <w:spacing w:before="80"/>
      <w:ind w:right="720" w:left="180"/>
    </w:pPr>
    <w:rPr>
      <w:b/>
      <w:sz w:val="20"/>
    </w:rPr>
  </w:style>
  <w:style w:type="paragraph" w:styleId="919">
    <w:name w:val="Footer"/>
    <w:basedOn w:val="902"/>
    <w:next w:val="919"/>
    <w:link w:val="902"/>
    <w:pPr>
      <w:pBdr/>
      <w:tabs>
        <w:tab w:val="center" w:leader="none" w:pos="5040"/>
        <w:tab w:val="right" w:leader="none" w:pos="9980"/>
      </w:tabs>
      <w:spacing/>
      <w:ind/>
    </w:pPr>
  </w:style>
  <w:style w:type="paragraph" w:styleId="920">
    <w:name w:val="Header"/>
    <w:basedOn w:val="902"/>
    <w:next w:val="920"/>
    <w:link w:val="902"/>
    <w:pPr>
      <w:pBdr/>
      <w:tabs>
        <w:tab w:val="center" w:leader="none" w:pos="4320"/>
        <w:tab w:val="right" w:leader="none" w:pos="8640"/>
      </w:tabs>
      <w:spacing/>
      <w:ind/>
    </w:pPr>
  </w:style>
  <w:style w:type="character" w:styleId="921">
    <w:name w:val="footnote reference"/>
    <w:basedOn w:val="912"/>
    <w:next w:val="921"/>
    <w:link w:val="902"/>
    <w:semiHidden/>
    <w:pPr>
      <w:pBdr/>
      <w:spacing/>
      <w:ind/>
    </w:pPr>
    <w:rPr>
      <w:position w:val="6"/>
      <w:sz w:val="16"/>
    </w:rPr>
  </w:style>
  <w:style w:type="paragraph" w:styleId="922">
    <w:name w:val="footnote text"/>
    <w:basedOn w:val="902"/>
    <w:next w:val="922"/>
    <w:link w:val="902"/>
    <w:semiHidden/>
    <w:pPr>
      <w:pBdr/>
      <w:spacing/>
      <w:ind/>
    </w:pPr>
    <w:rPr>
      <w:sz w:val="20"/>
    </w:rPr>
  </w:style>
  <w:style w:type="paragraph" w:styleId="923">
    <w:name w:val="Block label"/>
    <w:basedOn w:val="902"/>
    <w:next w:val="925"/>
    <w:link w:val="902"/>
    <w:pPr>
      <w:pBdr/>
      <w:spacing/>
      <w:ind w:right="8280"/>
    </w:pPr>
    <w:rPr>
      <w:b/>
    </w:rPr>
  </w:style>
  <w:style w:type="paragraph" w:styleId="924">
    <w:name w:val="Continued on next page"/>
    <w:basedOn w:val="932"/>
    <w:next w:val="930"/>
    <w:link w:val="902"/>
    <w:pPr>
      <w:pBdr>
        <w:top w:val="single" w:color="000000" w:sz="6" w:space="4"/>
      </w:pBdr>
      <w:spacing w:line="260" w:lineRule="atLeast"/>
      <w:ind/>
      <w:jc w:val="right"/>
    </w:pPr>
    <w:rPr>
      <w:i/>
    </w:rPr>
  </w:style>
  <w:style w:type="paragraph" w:styleId="925">
    <w:name w:val="Block text"/>
    <w:basedOn w:val="902"/>
    <w:next w:val="925"/>
    <w:link w:val="902"/>
    <w:pPr>
      <w:pBdr/>
      <w:spacing/>
      <w:ind/>
    </w:pPr>
  </w:style>
  <w:style w:type="paragraph" w:styleId="926">
    <w:name w:val="Table text"/>
    <w:basedOn w:val="902"/>
    <w:next w:val="926"/>
    <w:link w:val="902"/>
    <w:pPr>
      <w:pBdr/>
      <w:spacing/>
      <w:ind/>
    </w:pPr>
  </w:style>
  <w:style w:type="paragraph" w:styleId="927">
    <w:name w:val="Continued table label"/>
    <w:basedOn w:val="923"/>
    <w:next w:val="925"/>
    <w:link w:val="902"/>
    <w:pPr>
      <w:pBdr/>
      <w:spacing/>
      <w:ind w:right="0"/>
    </w:pPr>
  </w:style>
  <w:style w:type="paragraph" w:styleId="928">
    <w:name w:val="Chapter title"/>
    <w:basedOn w:val="930"/>
    <w:next w:val="930"/>
    <w:link w:val="902"/>
    <w:pPr>
      <w:pBdr/>
      <w:spacing/>
      <w:ind/>
      <w:jc w:val="center"/>
    </w:pPr>
  </w:style>
  <w:style w:type="paragraph" w:styleId="929">
    <w:name w:val="Bullet text 1"/>
    <w:basedOn w:val="925"/>
    <w:next w:val="929"/>
    <w:link w:val="902"/>
    <w:pPr>
      <w:keepNext w:val="true"/>
      <w:pBdr/>
      <w:spacing/>
      <w:ind w:hanging="180" w:left="180"/>
    </w:pPr>
  </w:style>
  <w:style w:type="paragraph" w:styleId="930">
    <w:name w:val="Map title"/>
    <w:basedOn w:val="902"/>
    <w:next w:val="932"/>
    <w:link w:val="902"/>
    <w:pPr>
      <w:pBdr/>
      <w:spacing w:after="240"/>
      <w:ind/>
    </w:pPr>
    <w:rPr>
      <w:rFonts w:ascii="Helvetica" w:hAnsi="Helvetica"/>
      <w:b/>
      <w:sz w:val="32"/>
    </w:rPr>
  </w:style>
  <w:style w:type="paragraph" w:styleId="931">
    <w:name w:val="Memo line"/>
    <w:basedOn w:val="932"/>
    <w:next w:val="923"/>
    <w:link w:val="902"/>
    <w:pPr>
      <w:pBdr/>
      <w:spacing/>
      <w:ind w:left="0"/>
    </w:pPr>
    <w:rPr>
      <w:rFonts w:ascii="Helvetica" w:hAnsi="Helvetica"/>
      <w:sz w:val="18"/>
    </w:rPr>
  </w:style>
  <w:style w:type="paragraph" w:styleId="932">
    <w:name w:val="Block line"/>
    <w:basedOn w:val="925"/>
    <w:next w:val="906"/>
    <w:link w:val="902"/>
    <w:pPr>
      <w:pBdr>
        <w:top w:val="single" w:color="000000" w:sz="6" w:space="0"/>
      </w:pBdr>
      <w:spacing w:before="240"/>
      <w:ind w:right="100" w:left="1980"/>
    </w:pPr>
    <w:rPr>
      <w:sz w:val="20"/>
    </w:rPr>
  </w:style>
  <w:style w:type="paragraph" w:styleId="933">
    <w:name w:val="Embedded table"/>
    <w:basedOn w:val="902"/>
    <w:next w:val="933"/>
    <w:link w:val="902"/>
    <w:pPr>
      <w:pBdr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between w:val="single" w:color="000000" w:sz="6" w:space="0"/>
      </w:pBdr>
      <w:tabs>
        <w:tab w:val="left" w:leader="none" w:pos="260"/>
        <w:tab w:val="bar" w:leader="none" w:pos="3240"/>
        <w:tab w:val="left" w:leader="none" w:pos="3420"/>
      </w:tabs>
      <w:spacing w:line="260" w:lineRule="atLeast"/>
      <w:ind w:right="120" w:left="80"/>
    </w:pPr>
  </w:style>
  <w:style w:type="paragraph" w:styleId="934">
    <w:name w:val="Large serif text"/>
    <w:basedOn w:val="902"/>
    <w:next w:val="934"/>
    <w:link w:val="902"/>
    <w:pPr>
      <w:pBdr/>
      <w:spacing/>
      <w:ind/>
      <w:jc w:val="center"/>
    </w:pPr>
    <w:rPr>
      <w:sz w:val="48"/>
    </w:rPr>
  </w:style>
  <w:style w:type="paragraph" w:styleId="935">
    <w:name w:val="Bullet text 2"/>
    <w:basedOn w:val="929"/>
    <w:next w:val="935"/>
    <w:link w:val="902"/>
    <w:pPr>
      <w:pBdr/>
      <w:spacing/>
      <w:ind w:left="2600"/>
    </w:pPr>
  </w:style>
  <w:style w:type="paragraph" w:styleId="936">
    <w:name w:val="Figure"/>
    <w:basedOn w:val="902"/>
    <w:next w:val="936"/>
    <w:link w:val="902"/>
    <w:pPr>
      <w:pBdr/>
      <w:spacing w:after="60"/>
      <w:ind/>
      <w:jc w:val="center"/>
    </w:pPr>
    <w:rPr>
      <w:rFonts w:ascii="Helvetica" w:hAnsi="Helvetica"/>
      <w:b/>
    </w:rPr>
  </w:style>
  <w:style w:type="paragraph" w:styleId="937">
    <w:name w:val="Table bullets 1"/>
    <w:basedOn w:val="926"/>
    <w:next w:val="937"/>
    <w:link w:val="902"/>
    <w:pPr>
      <w:pBdr/>
      <w:spacing/>
      <w:ind w:hanging="180" w:left="180"/>
    </w:pPr>
  </w:style>
  <w:style w:type="paragraph" w:styleId="938">
    <w:name w:val="Table bullets 2"/>
    <w:basedOn w:val="937"/>
    <w:next w:val="938"/>
    <w:link w:val="902"/>
    <w:pPr>
      <w:pBdr/>
      <w:spacing/>
      <w:ind w:left="360"/>
    </w:pPr>
  </w:style>
  <w:style w:type="paragraph" w:styleId="939">
    <w:name w:val="Table Entry"/>
    <w:basedOn w:val="902"/>
    <w:next w:val="939"/>
    <w:link w:val="902"/>
    <w:pPr>
      <w:pBdr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pBdr>
      <w:spacing/>
      <w:ind/>
    </w:pPr>
    <w:rPr>
      <w:rFonts w:ascii="Helvetica" w:hAnsi="Helvetica"/>
    </w:rPr>
  </w:style>
  <w:style w:type="paragraph" w:styleId="940">
    <w:name w:val="Text"/>
    <w:basedOn w:val="902"/>
    <w:next w:val="940"/>
    <w:link w:val="902"/>
    <w:pPr>
      <w:pBdr/>
      <w:spacing w:after="60"/>
      <w:ind/>
    </w:pPr>
    <w:rPr>
      <w:rFonts w:ascii="Helvetica" w:hAnsi="Helvetica"/>
    </w:rPr>
  </w:style>
  <w:style w:type="paragraph" w:styleId="941">
    <w:name w:val="Normal indent"/>
    <w:basedOn w:val="902"/>
    <w:next w:val="941"/>
    <w:link w:val="902"/>
    <w:pPr>
      <w:pBdr/>
      <w:spacing/>
      <w:ind w:left="720"/>
    </w:pPr>
    <w:rPr>
      <w:sz w:val="20"/>
    </w:rPr>
  </w:style>
  <w:style w:type="paragraph" w:styleId="942">
    <w:name w:val="Title"/>
    <w:basedOn w:val="902"/>
    <w:next w:val="943"/>
    <w:link w:val="902"/>
    <w:pPr>
      <w:pBdr/>
      <w:spacing w:before="2240"/>
      <w:ind w:right="-360" w:left="3510"/>
    </w:pPr>
    <w:rPr>
      <w:rFonts w:ascii="Helvetica" w:hAnsi="Helvetica"/>
      <w:b/>
      <w:sz w:val="40"/>
    </w:rPr>
  </w:style>
  <w:style w:type="paragraph" w:styleId="943">
    <w:name w:val="Author"/>
    <w:basedOn w:val="902"/>
    <w:next w:val="944"/>
    <w:link w:val="902"/>
    <w:pPr>
      <w:pBdr/>
      <w:spacing w:before="280"/>
      <w:ind w:left="4050"/>
    </w:pPr>
    <w:rPr>
      <w:rFonts w:ascii="Helvetica" w:hAnsi="Helvetica"/>
      <w:b/>
      <w:sz w:val="22"/>
    </w:rPr>
  </w:style>
  <w:style w:type="paragraph" w:styleId="944">
    <w:name w:val="Date"/>
    <w:basedOn w:val="902"/>
    <w:next w:val="944"/>
    <w:link w:val="902"/>
    <w:pPr>
      <w:pBdr/>
      <w:spacing w:before="120"/>
      <w:ind w:left="4590"/>
    </w:pPr>
    <w:rPr>
      <w:rFonts w:ascii="Helvetica" w:hAnsi="Helvetica"/>
      <w:b/>
      <w:sz w:val="22"/>
    </w:rPr>
  </w:style>
  <w:style w:type="paragraph" w:styleId="945">
    <w:name w:val="logo"/>
    <w:basedOn w:val="902"/>
    <w:next w:val="945"/>
    <w:link w:val="902"/>
    <w:pPr>
      <w:pBdr/>
      <w:spacing w:before="80"/>
      <w:ind/>
    </w:pPr>
    <w:rPr>
      <w:rFonts w:ascii="Helvetica" w:hAnsi="Helvetica"/>
      <w:sz w:val="20"/>
    </w:rPr>
  </w:style>
  <w:style w:type="paragraph" w:styleId="946">
    <w:name w:val="bars"/>
    <w:basedOn w:val="902"/>
    <w:next w:val="946"/>
    <w:link w:val="902"/>
    <w:pPr>
      <w:pBdr/>
      <w:tabs>
        <w:tab w:val="left" w:leader="underscore" w:pos="8640"/>
      </w:tabs>
      <w:spacing w:after="280" w:before="180" w:line="60" w:lineRule="exact"/>
      <w:ind w:left="1080"/>
      <w:jc w:val="right"/>
    </w:pPr>
    <w:rPr>
      <w:rFonts w:ascii="Helvetica" w:hAnsi="Helvetica"/>
      <w:sz w:val="20"/>
    </w:rPr>
  </w:style>
  <w:style w:type="paragraph" w:styleId="947">
    <w:name w:val="approval"/>
    <w:basedOn w:val="902"/>
    <w:next w:val="947"/>
    <w:link w:val="902"/>
    <w:pPr>
      <w:pBdr/>
      <w:spacing w:before="3600" w:line="220" w:lineRule="atLeast"/>
      <w:ind/>
      <w:jc w:val="right"/>
    </w:pPr>
    <w:rPr>
      <w:rFonts w:ascii="Helvetica" w:hAnsi="Helvetica"/>
      <w:sz w:val="18"/>
    </w:rPr>
  </w:style>
  <w:style w:type="paragraph" w:styleId="948">
    <w:name w:val="Title"/>
    <w:basedOn w:val="902"/>
    <w:next w:val="948"/>
    <w:link w:val="902"/>
    <w:pPr>
      <w:pBdr/>
      <w:spacing w:before="2000" w:line="520" w:lineRule="atLeast"/>
      <w:ind/>
      <w:jc w:val="right"/>
    </w:pPr>
    <w:rPr>
      <w:rFonts w:ascii="Helvetica" w:hAnsi="Helvetica"/>
      <w:b/>
      <w:sz w:val="40"/>
    </w:rPr>
  </w:style>
  <w:style w:type="paragraph" w:styleId="949">
    <w:name w:val="author"/>
    <w:basedOn w:val="902"/>
    <w:next w:val="949"/>
    <w:link w:val="902"/>
    <w:pPr>
      <w:pBdr/>
      <w:spacing w:before="200" w:line="340" w:lineRule="atLeast"/>
      <w:ind/>
      <w:jc w:val="right"/>
    </w:pPr>
    <w:rPr>
      <w:rFonts w:ascii="Helvetica" w:hAnsi="Helvetica"/>
      <w:b/>
      <w:sz w:val="32"/>
    </w:rPr>
  </w:style>
  <w:style w:type="paragraph" w:styleId="950">
    <w:name w:val="project"/>
    <w:basedOn w:val="902"/>
    <w:next w:val="950"/>
    <w:link w:val="902"/>
    <w:pPr>
      <w:pBdr/>
      <w:spacing w:before="80" w:line="240" w:lineRule="atLeast"/>
      <w:ind/>
      <w:jc w:val="right"/>
    </w:pPr>
    <w:rPr>
      <w:rFonts w:ascii="Helvetica" w:hAnsi="Helvetica"/>
      <w:sz w:val="20"/>
    </w:rPr>
  </w:style>
  <w:style w:type="paragraph" w:styleId="951">
    <w:name w:val="Normal + (Latin) Comic Sans MS"/>
    <w:basedOn w:val="902"/>
    <w:next w:val="951"/>
    <w:link w:val="902"/>
    <w:pPr>
      <w:pBdr/>
      <w:spacing/>
      <w:ind/>
    </w:pPr>
    <w:rPr>
      <w:rFonts w:ascii="Comic Sans MS" w:hAnsi="Comic Sans MS" w:cs="Helvetica"/>
      <w:b/>
      <w:bCs/>
      <w:color w:val="000000"/>
    </w:rPr>
  </w:style>
  <w:style w:type="paragraph" w:styleId="952">
    <w:name w:val="Balloon Text"/>
    <w:basedOn w:val="902"/>
    <w:next w:val="952"/>
    <w:link w:val="902"/>
    <w:semiHidden/>
    <w:pPr>
      <w:pBdr/>
      <w:spacing/>
      <w:ind/>
    </w:pPr>
    <w:rPr>
      <w:rFonts w:ascii="Tahoma" w:hAnsi="Tahoma" w:cs="Tahoma"/>
      <w:sz w:val="16"/>
      <w:szCs w:val="16"/>
    </w:rPr>
  </w:style>
  <w:style w:type="paragraph" w:styleId="953" w:customStyle="1">
    <w:name w:val="+li-10"/>
    <w:basedOn w:val="920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0" w:afterAutospacing="0" w:before="0" w:beforeAutospacing="0" w:line="240" w:lineRule="auto"/>
      <w:ind w:right="0" w:firstLine="0" w:left="720"/>
      <w:contextualSpacing w:val="true"/>
      <w:jc w:val="left"/>
    </w:pPr>
    <w:rPr>
      <w:rFonts w:ascii="Times New Roman" w:hAnsi="Times New Roman" w:cs="Times New Roman" w:eastAsiaTheme="minorEastAsia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en-US" w:eastAsia="zh-CN" w:bidi="ar-SA"/>
      <w14:ligatures w14:val="none"/>
    </w:rPr>
  </w:style>
  <w:style w:type="character" w:styleId="954" w:customStyle="1">
    <w:name w:val="+li-10-c"/>
    <w:pPr>
      <w:pBdr/>
      <w:spacing/>
      <w:ind/>
    </w:pPr>
    <w:rPr>
      <w:rFonts w:ascii="Arial" w:hAnsi="Arial" w:eastAsia="Arial" w:cs="Arial"/>
      <w:sz w:val="22"/>
      <w:szCs w:val="2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media1.sv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Application>ONLYOFFICE/9.1.0.173</Application>
  <DocSecurity>0</DocSecurity>
  <ScaleCrop>0</ScaleCrop>
  <HeadingPairs>
    <vt:vector size="0" baseType="variant"/>
  </HeadingPairs>
  <TitlesOfParts>
    <vt:vector size="0" baseType="lpstr"/>
  </TitlesOfParts>
  <Company>SEI</Company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revision>35</cp:revision>
  <dcterms:created xsi:type="dcterms:W3CDTF">2004-08-19T00:55:00Z</dcterms:created>
  <dcterms:modified xsi:type="dcterms:W3CDTF">2025-10-31T22:19:09Z</dcterms:modified>
  <cp:version>658861</cp:version>
</cp:coreProperties>
</file>