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/>
      </w:pPr>
      <w:r>
        <w:rPr>
          <w:rFonts w:ascii="Calibri" w:hAnsi="Calibri" w:eastAsia="Hiragino Sans GB"/>
          <w:b/>
          <w:i w:val="0"/>
          <w:color w:val="8A6500"/>
          <w:sz w:val="18"/>
        </w:rPr>
        <w:t>PRODUCT HANDBOOK · V0.2</w:t>
      </w:r>
    </w:p>
    <w:p>
      <w:pPr>
        <w:spacing w:before="0" w:after="100"/>
        <w:keepLines/>
        <w:keepNext/>
      </w:pPr>
      <w:r>
        <w:rPr>
          <w:rFonts w:ascii="Calibri" w:hAnsi="Calibri" w:eastAsia="Hiragino Sans GB"/>
          <w:b/>
          <w:i w:val="0"/>
          <w:color w:val="17365D"/>
          <w:sz w:val="50"/>
        </w:rPr>
        <w:t>Adsure 广告合规 AI</w:t>
      </w:r>
    </w:p>
    <w:p>
      <w:pPr>
        <w:spacing w:before="0" w:after="240"/>
      </w:pPr>
      <w:r>
        <w:rPr>
          <w:rFonts w:ascii="Calibri" w:hAnsi="Calibri" w:eastAsia="Hiragino Sans GB"/>
          <w:i w:val="0"/>
          <w:color w:val="5B6573"/>
          <w:sz w:val="23"/>
        </w:rPr>
        <w:t>产品使用手册（参赛提交初版）｜基于当前 Git 项目代码与本地实测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AD5E2"/>
          <w:left w:val="single" w:sz="5" w:space="0" w:color="CAD5E2"/>
          <w:bottom w:val="single" w:sz="5" w:space="0" w:color="CAD5E2"/>
          <w:right w:val="single" w:sz="5" w:space="0" w:color="CAD5E2"/>
          <w:insideH w:val="single" w:sz="5" w:space="0" w:color="CAD5E2"/>
          <w:insideV w:val="single" w:sz="5" w:space="0" w:color="CAD5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FF6D8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Hiragino Sans GB"/>
                <w:b/>
                <w:i w:val="0"/>
                <w:color w:val="8A6500"/>
                <w:sz w:val="18"/>
              </w:rPr>
              <w:t xml:space="preserve">当前版本说明　</w:t>
            </w:r>
            <w:r>
              <w:rPr>
                <w:rFonts w:ascii="Calibri" w:hAnsi="Calibri" w:eastAsia="Hiragino Sans GB"/>
                <w:i w:val="0"/>
                <w:color w:val="1F2937"/>
                <w:sz w:val="18"/>
              </w:rPr>
              <w:t>本仓库交付的是广告审核案例 RAG 与接口联调能力，不含公开网页前端。候选案例仅用于 candidate_debug，必须显示“待来源核验”，不能作为已确认处罚事实。</w:t>
            </w:r>
          </w:p>
          <w:p>
            <w:r>
              <w:rPr>
                <w:rFonts w:ascii="Calibri" w:hAnsi="Calibri"/>
                <w:color w:val="1F2937"/>
                <w:sz w:val="18"/>
              </w:rPr>
              <w:t>2026-09-18 新增：视频广告合规审核能力（取证层 + 逐秒证据回看）已并入第 4 节；文案审核与案例检索流程不变。</w:t>
            </w:r>
          </w:p>
        </w:tc>
      </w:tr>
    </w:tbl>
    <w:p>
      <w:pPr>
        <w:spacing w:after="20"/>
      </w:pPr>
    </w:p>
    <w:p>
      <w:pPr>
        <w:pStyle w:val="Heading1"/>
      </w:pPr>
      <w:r>
        <w:t>1. 访问方式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AD5E2"/>
          <w:left w:val="single" w:sz="5" w:space="0" w:color="CAD5E2"/>
          <w:bottom w:val="single" w:sz="5" w:space="0" w:color="CAD5E2"/>
          <w:right w:val="single" w:sz="5" w:space="0" w:color="CAD5E2"/>
          <w:insideH w:val="single" w:sz="5" w:space="0" w:color="CAD5E2"/>
          <w:insideV w:val="single" w:sz="5" w:space="0" w:color="CAD5E2"/>
        </w:tblBorders>
      </w:tblPr>
      <w:tblGrid>
        <w:gridCol w:w="1500"/>
        <w:gridCol w:w="3000"/>
        <w:gridCol w:w="4860"/>
      </w:tblGrid>
      <w:tr>
        <w:trPr>
          <w:tblHeader w:val="true"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7"/>
              </w:rPr>
              <w:t>项目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7"/>
              </w:rPr>
              <w:t>当前初版填写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7"/>
              </w:rPr>
              <w:t>评委使用说明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7"/>
              </w:rPr>
              <w:t>产品审核接口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7"/>
              </w:rPr>
              <w:t>http://124.223.111.170:8504/audit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7"/>
              </w:rPr>
              <w:t>来自现有联调记录；属于 API 地址，不是网页首页。赛前须再次验证可达性与版本。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7"/>
              </w:rPr>
              <w:t>案例 RAG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7"/>
              </w:rPr>
              <w:t>http://127.0.0.1:8505/cases/retrieve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7"/>
              </w:rPr>
              <w:t>本仓库默认本机/内网服务。评委样例需显式启用 candidate 模式。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7"/>
              </w:rPr>
              <w:t>账号 / 密码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7"/>
              </w:rPr>
              <w:t>当前仓库无网页登录账号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7"/>
              </w:rPr>
              <w:t>接口使用 X-API-Key；测试 Key 通过安全渠道单独交付，不写入手册、代码或 Git。</w:t>
            </w:r>
          </w:p>
        </w:tc>
      </w:tr>
      <w:t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7"/>
              </w:rPr>
              <w:t>浏览器 / 系统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7"/>
              </w:rPr>
              <w:t>Windows、macOS、Linux</w:t>
            </w:r>
          </w:p>
        </w:tc>
        <w:tc>
          <w:tcPr>
            <w:tcW w:type="dxa" w:w="4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7"/>
              </w:rPr>
              <w:t>HTTP/JSON 接口与系统无关；可用 Postman/curl。FastAPI 本地文档可在现代 Chrome、Edge、Firefox、Safari 查看。</w:t>
            </w:r>
          </w:p>
        </w:tc>
      </w:tr>
    </w:tbl>
    <w:p>
      <w:pPr>
        <w:spacing w:before="0" w:after="40"/>
      </w:pPr>
    </w:p>
    <w:p>
      <w:pPr>
        <w:spacing w:before="0" w:after="60" w:line="293" w:lineRule="auto"/>
      </w:pPr>
      <w:r>
        <w:rPr>
          <w:rFonts w:ascii="Calibri" w:hAnsi="Calibri" w:eastAsia="Hiragino Sans GB"/>
          <w:i w:val="0"/>
          <w:color w:val="1F2937"/>
          <w:sz w:val="18"/>
        </w:rPr>
        <w:t>赛前必填项：如最终交付包含飞书或网页工作台，请将其真实链接、测试账号、密码有效期及登录步骤补入本节，并完成一次无缓存、非管理员账号验证。</w:t>
      </w:r>
    </w:p>
    <w:p>
      <w:r>
        <w:br w:type="page"/>
      </w:r>
    </w:p>
    <w:p>
      <w:pPr>
        <w:pStyle w:val="Heading1"/>
      </w:pPr>
      <w:r>
        <w:t>2. 典型使用流程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AD5E2"/>
          <w:left w:val="single" w:sz="5" w:space="0" w:color="CAD5E2"/>
          <w:bottom w:val="single" w:sz="5" w:space="0" w:color="CAD5E2"/>
          <w:right w:val="single" w:sz="5" w:space="0" w:color="CAD5E2"/>
          <w:insideH w:val="single" w:sz="5" w:space="0" w:color="CAD5E2"/>
          <w:insideV w:val="single" w:sz="5" w:space="0" w:color="CAD5E2"/>
        </w:tblBorders>
      </w:tblPr>
      <w:tblGrid>
        <w:gridCol w:w="1350"/>
        <w:gridCol w:w="3100"/>
        <w:gridCol w:w="3480"/>
        <w:gridCol w:w="1430"/>
      </w:tblGrid>
      <w:tr>
        <w:trPr>
          <w:tblHeader w:val="true"/>
        </w:trP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6"/>
              </w:rPr>
              <w:t>步骤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6"/>
              </w:rPr>
              <w:t>用户操作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6"/>
              </w:rPr>
              <w:t>系统响应</w:t>
            </w:r>
          </w:p>
        </w:tc>
        <w:tc>
          <w:tcPr>
            <w:tcW w:type="dxa" w:w="1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6"/>
              </w:rPr>
              <w:t>预计耗时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6"/>
              </w:rPr>
              <w:t>1 准备物料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6"/>
              </w:rPr>
              <w:t>选择行业、平台和物料类型；粘贴完整文案，按需补产品属性、备案或活动条件。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6"/>
              </w:rPr>
              <w:t>校验必填字段与枚举；不合格请求返回明确错误。</w:t>
            </w:r>
          </w:p>
        </w:tc>
        <w:tc>
          <w:tcPr>
            <w:tcW w:type="dxa" w:w="1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6"/>
              </w:rPr>
              <w:t>1–2 分钟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6"/>
              </w:rPr>
              <w:t>2 提交审核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6"/>
              </w:rPr>
              <w:t>在工作台点击“开启 AI 审核”，或向 /audit 发送 JSON。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6"/>
              </w:rPr>
              <w:t>生成请求标识，启动规则判断、风险归类和案例检索。</w:t>
            </w:r>
          </w:p>
        </w:tc>
        <w:tc>
          <w:tcPr>
            <w:tcW w:type="dxa" w:w="1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6"/>
              </w:rPr>
              <w:t>操作 20–40 秒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6"/>
              </w:rPr>
              <w:t>3 查看结论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6"/>
              </w:rPr>
              <w:t>核对风险等级、命中要点、修改建议、推荐违规类型和审核意见。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6"/>
              </w:rPr>
              <w:t>高风险优先路由法务；依赖证明材料时提示补资料。</w:t>
            </w:r>
          </w:p>
        </w:tc>
        <w:tc>
          <w:tcPr>
            <w:tcW w:type="dxa" w:w="1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6"/>
              </w:rPr>
              <w:t>预计 5–15 秒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6"/>
              </w:rPr>
              <w:t>4 核对类案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6"/>
              </w:rPr>
              <w:t>查看 case_id、风险维度和监管逻辑；候选模式检查三项状态字段。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6"/>
              </w:rPr>
              <w:t>同一案例去重后返回 Top 1–3；三条最终样例均首条命中。</w:t>
            </w:r>
          </w:p>
        </w:tc>
        <w:tc>
          <w:tcPr>
            <w:tcW w:type="dxa" w:w="1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6"/>
              </w:rPr>
              <w:t>本机 6–11 ms；端到端通常 &lt;1 秒</w:t>
            </w:r>
          </w:p>
        </w:tc>
      </w:tr>
      <w:tr>
        <w:tc>
          <w:tcPr>
            <w:tcW w:type="dxa" w:w="13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6"/>
              </w:rPr>
              <w:t>5 处理流转</w:t>
            </w:r>
          </w:p>
        </w:tc>
        <w:tc>
          <w:tcPr>
            <w:tcW w:type="dxa" w:w="3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6"/>
              </w:rPr>
              <w:t>修改文案、补充材料，或提交法务复核；保留原物料和请求标识。</w:t>
            </w:r>
          </w:p>
        </w:tc>
        <w:tc>
          <w:tcPr>
            <w:tcW w:type="dxa" w:w="348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6"/>
              </w:rPr>
              <w:t>上层状态机回写审核字段，并把“法务”映射为“待法务复核”。</w:t>
            </w:r>
          </w:p>
        </w:tc>
        <w:tc>
          <w:tcPr>
            <w:tcW w:type="dxa" w:w="143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6"/>
              </w:rPr>
              <w:t>人工 1–3 分钟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3. 一次测试的通过标准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AD5E2"/>
          <w:left w:val="single" w:sz="5" w:space="0" w:color="CAD5E2"/>
          <w:bottom w:val="single" w:sz="5" w:space="0" w:color="CAD5E2"/>
          <w:right w:val="single" w:sz="5" w:space="0" w:color="CAD5E2"/>
          <w:insideH w:val="single" w:sz="5" w:space="0" w:color="CAD5E2"/>
          <w:insideV w:val="single" w:sz="5" w:space="0" w:color="CAD5E2"/>
        </w:tblBorders>
      </w:tblPr>
      <w:tblGrid>
        <w:gridCol w:w="1900"/>
        <w:gridCol w:w="7460"/>
      </w:tblGrid>
      <w:tr>
        <w:trPr>
          <w:tblHeader w:val="true"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7"/>
              </w:rPr>
              <w:t>检查点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7"/>
              </w:rPr>
              <w:t>通过条件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7"/>
              </w:rPr>
              <w:t>接口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7"/>
              </w:rPr>
              <w:t>HTTP 200，code=0；错误 Key 返回 401 且不泄露服务端凭证。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7"/>
              </w:rPr>
              <w:t>审核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7"/>
              </w:rPr>
              <w:t>风险、违规类型、修改建议、routing 字段结构完整；高风险样例路由法务。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7"/>
              </w:rPr>
              <w:t>RAG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7"/>
              </w:rPr>
              <w:t>candidate_debug 显式开启；对应 case_id 位于首条；candidate_data=true。</w:t>
            </w:r>
          </w:p>
        </w:tc>
      </w:tr>
      <w:t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7"/>
              </w:rPr>
              <w:t>边界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7"/>
              </w:rPr>
              <w:t>页面显著提示“待来源核验，不得对外引用”，不把 BM25 score 显示为百分比相似度。</w:t>
            </w:r>
          </w:p>
        </w:tc>
      </w:tr>
    </w:tbl>
    <w:p>
      <w:pPr>
        <w:spacing w:before="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AD5E2"/>
          <w:left w:val="single" w:sz="5" w:space="0" w:color="CAD5E2"/>
          <w:bottom w:val="single" w:sz="5" w:space="0" w:color="CAD5E2"/>
          <w:right w:val="single" w:sz="5" w:space="0" w:color="CAD5E2"/>
          <w:insideH w:val="single" w:sz="5" w:space="0" w:color="CAD5E2"/>
          <w:insideV w:val="single" w:sz="5" w:space="0" w:color="CAD5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Hiragino Sans GB"/>
                <w:b/>
                <w:i w:val="0"/>
                <w:color w:val="2E74B5"/>
                <w:sz w:val="18"/>
              </w:rPr>
              <w:t xml:space="preserve">验收记录　</w:t>
            </w:r>
            <w:r>
              <w:rPr>
                <w:rFonts w:ascii="Calibri" w:hAnsi="Calibri" w:eastAsia="Hiragino Sans GB"/>
                <w:i w:val="0"/>
                <w:color w:val="1F2937"/>
                <w:sz w:val="18"/>
              </w:rPr>
              <w:t>2026-07-19 本地候选索引 a3163af401760571：106 个候选案例、212 个切片；三条最终样例均 HTTP 200 且预期 case_id 为第一条命中。21 项 API/测试集回归测试通过。</w:t>
            </w:r>
          </w:p>
        </w:tc>
      </w:tr>
    </w:tbl>
    <w:p>
      <w:r>
        <w:br w:type="page"/>
      </w:r>
    </w:p>
    <w:p>
      <w:pPr>
        <w:pStyle w:val="Heading1"/>
      </w:pPr>
      <w:r>
        <w:t>4. 产品差异化</w:t>
      </w:r>
    </w:p>
    <w:p>
      <w:pPr>
        <w:spacing w:after="80"/>
      </w:pPr>
      <w:r>
        <w:rPr>
          <w:rFonts w:ascii="Calibri" w:hAnsi="Calibri"/>
          <w:b/>
          <w:color w:val="17365D"/>
          <w:sz w:val="25"/>
        </w:rPr>
        <w:t>视频广告合规审核（新增能力）</w:t>
      </w:r>
    </w:p>
    <w:p>
      <w:pPr>
        <w:spacing w:after="120"/>
      </w:pPr>
      <w:r>
        <w:rPr>
          <w:rFonts w:ascii="Calibri" w:hAnsi="Calibri"/>
          <w:b w:val="0"/>
          <w:color w:val="1F2937"/>
          <w:sz w:val="20"/>
        </w:rPr>
        <w:t>视频广告合规审核是文案审核的延伸：把视频拆成带时间戳的可审证据流——口播交给违禁词库，画面花字交给 OCR 与 IP 底库——让已跑通的「找法 / 用法」原样复用。每条风险都定位到秒与画面位置，点开即见证据。</w:t>
      </w:r>
    </w:p>
    <w:tbl>
      <w:tblPr>
        <w:tblW w:type="dxa" w:w="9360"/>
        <w:tblBorders>
          <w:top w:val="single" w:sz="5" w:space="0" w:color="CAD5E2"/>
          <w:left w:val="single" w:sz="5" w:space="0" w:color="CAD5E2"/>
          <w:bottom w:val="single" w:sz="5" w:space="0" w:color="CAD5E2"/>
          <w:right w:val="single" w:sz="5" w:space="0" w:color="CAD5E2"/>
          <w:insideH w:val="single" w:sz="5" w:space="0" w:color="CAD5E2"/>
          <w:insideV w:val="single" w:sz="5" w:space="0" w:color="CAD5E2"/>
        </w:tblBorders>
      </w:tblPr>
      <w:tblGrid>
        <w:gridCol w:w="1350"/>
        <w:gridCol w:w="3100"/>
        <w:gridCol w:w="3480"/>
        <w:gridCol w:w="1430"/>
      </w:tblGrid>
      <w:tr>
        <w:tc>
          <w:tcPr>
            <w:tcW w:w="1350" w:type="dxa"/>
            <w:shd w:val="clear" w:fill="E8EEF5"/>
          </w:tcPr>
          <w:p>
            <w:r/>
            <w:r>
              <w:rPr>
                <w:rFonts w:ascii="Calibri" w:hAnsi="Calibri"/>
                <w:b/>
                <w:color w:val="17365D"/>
                <w:sz w:val="16"/>
              </w:rPr>
              <w:t>步骤</w:t>
            </w:r>
          </w:p>
        </w:tc>
        <w:tc>
          <w:tcPr>
            <w:tcW w:w="3100" w:type="dxa"/>
            <w:shd w:val="clear" w:fill="E8EEF5"/>
          </w:tcPr>
          <w:p>
            <w:r/>
            <w:r>
              <w:rPr>
                <w:rFonts w:ascii="Calibri" w:hAnsi="Calibri"/>
                <w:b/>
                <w:color w:val="17365D"/>
                <w:sz w:val="16"/>
              </w:rPr>
              <w:t>用户操作</w:t>
            </w:r>
          </w:p>
        </w:tc>
        <w:tc>
          <w:tcPr>
            <w:tcW w:w="3480" w:type="dxa"/>
            <w:shd w:val="clear" w:fill="E8EEF5"/>
          </w:tcPr>
          <w:p>
            <w:r/>
            <w:r>
              <w:rPr>
                <w:rFonts w:ascii="Calibri" w:hAnsi="Calibri"/>
                <w:b/>
                <w:color w:val="17365D"/>
                <w:sz w:val="16"/>
              </w:rPr>
              <w:t>系统响应</w:t>
            </w:r>
          </w:p>
        </w:tc>
        <w:tc>
          <w:tcPr>
            <w:tcW w:w="1430" w:type="dxa"/>
            <w:shd w:val="clear" w:fill="E8EEF5"/>
          </w:tcPr>
          <w:p>
            <w:r/>
            <w:r>
              <w:rPr>
                <w:rFonts w:ascii="Calibri" w:hAnsi="Calibri"/>
                <w:b/>
                <w:color w:val="17365D"/>
                <w:sz w:val="16"/>
              </w:rPr>
              <w:t>预计耗时</w:t>
            </w:r>
          </w:p>
        </w:tc>
      </w:tr>
      <w:tr>
        <w:tc>
          <w:tcPr>
            <w:tcW w:w="135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6"/>
              </w:rPr>
              <w:t>1 准备物料</w:t>
            </w:r>
          </w:p>
        </w:tc>
        <w:tc>
          <w:tcPr>
            <w:tcW w:w="310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6"/>
              </w:rPr>
              <w:t>在飞书多维表格新建一行，上传视频附件，填写行业（如保健食品）、投放平台与补充背景（已取得的认证/授权）。</w:t>
            </w:r>
          </w:p>
        </w:tc>
        <w:tc>
          <w:tcPr>
            <w:tcW w:w="348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6"/>
              </w:rPr>
              <w:t>校验视频规格与必填字段；不合格请求返回明确错误。</w:t>
            </w:r>
          </w:p>
        </w:tc>
        <w:tc>
          <w:tcPr>
            <w:tcW w:w="143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6"/>
              </w:rPr>
              <w:t>1–2 分钟</w:t>
            </w:r>
          </w:p>
        </w:tc>
      </w:tr>
      <w:tr>
        <w:tc>
          <w:tcPr>
            <w:tcW w:w="135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6"/>
              </w:rPr>
              <w:t>2 提交审核</w:t>
            </w:r>
          </w:p>
        </w:tc>
        <w:tc>
          <w:tcPr>
            <w:tcW w:w="310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6"/>
              </w:rPr>
              <w:t>点机器人互动卡片上的「开启 AI 审核」，或调用审核接口上传视频。</w:t>
            </w:r>
          </w:p>
        </w:tc>
        <w:tc>
          <w:tcPr>
            <w:tcW w:w="348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6"/>
              </w:rPr>
              <w:t>后台拆解视频：分镜抽帧、pHash 去重、口播转写（字级时间戳）、画面 OCR、IP 底库比对。</w:t>
            </w:r>
          </w:p>
        </w:tc>
        <w:tc>
          <w:tcPr>
            <w:tcW w:w="143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6"/>
              </w:rPr>
              <w:t>操作约 20 秒</w:t>
            </w:r>
          </w:p>
        </w:tc>
      </w:tr>
      <w:tr>
        <w:tc>
          <w:tcPr>
            <w:tcW w:w="135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6"/>
              </w:rPr>
              <w:t>3 等待结果</w:t>
            </w:r>
          </w:p>
        </w:tc>
        <w:tc>
          <w:tcPr>
            <w:tcW w:w="310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6"/>
              </w:rPr>
              <w:t>卡片回填风险等级与摘要，全程有进度回调。</w:t>
            </w:r>
          </w:p>
        </w:tc>
        <w:tc>
          <w:tcPr>
            <w:tcW w:w="348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6"/>
              </w:rPr>
              <w:t>30 秒广告约 90 秒出结果；OCR ≤20 次、VLM ≤4 次成本红线超限即报错，不静默截断。</w:t>
            </w:r>
          </w:p>
        </w:tc>
        <w:tc>
          <w:tcPr>
            <w:tcW w:w="143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6"/>
              </w:rPr>
              <w:t>约 90 秒</w:t>
            </w:r>
          </w:p>
        </w:tc>
      </w:tr>
      <w:tr>
        <w:tc>
          <w:tcPr>
            <w:tcW w:w="135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6"/>
              </w:rPr>
              <w:t>4 查看逐秒证据</w:t>
            </w:r>
          </w:p>
        </w:tc>
        <w:tc>
          <w:tcPr>
            <w:tcW w:w="310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6"/>
              </w:rPr>
              <w:t>点卡片「查看逐秒证据」打开 Web 报告页：点时间轴圆点或右侧风险条，跳到那一秒并叠上取证框。</w:t>
            </w:r>
          </w:p>
        </w:tc>
        <w:tc>
          <w:tcPr>
            <w:tcW w:w="348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6"/>
              </w:rPr>
              <w:t>每条风险挂 t_start/t_end、画面 bbox 与证据帧；口播命中精确到字。</w:t>
            </w:r>
          </w:p>
        </w:tc>
        <w:tc>
          <w:tcPr>
            <w:tcW w:w="143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6"/>
              </w:rPr>
              <w:t>3 秒内看见证据</w:t>
            </w:r>
          </w:p>
        </w:tc>
      </w:tr>
      <w:tr>
        <w:tc>
          <w:tcPr>
            <w:tcW w:w="135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6"/>
              </w:rPr>
              <w:t>5 展开六段式报告</w:t>
            </w:r>
          </w:p>
        </w:tc>
        <w:tc>
          <w:tcPr>
            <w:tcW w:w="310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6"/>
              </w:rPr>
              <w:t>在风险条上展开：风险定性、风险表达、违规类型、法律依据、修改建议、风险定级。</w:t>
            </w:r>
          </w:p>
        </w:tc>
        <w:tc>
          <w:tcPr>
            <w:tcW w:w="348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6"/>
              </w:rPr>
              <w:t>法律依据给法条原文；需举证条目列出「需补材料」清单（材料齐备则解除，无材料升级高风险）。</w:t>
            </w:r>
          </w:p>
        </w:tc>
        <w:tc>
          <w:tcPr>
            <w:tcW w:w="143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6"/>
              </w:rPr>
              <w:t>1–2 分钟</w:t>
            </w:r>
          </w:p>
        </w:tc>
      </w:tr>
      <w:tr>
        <w:tc>
          <w:tcPr>
            <w:tcW w:w="135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6"/>
              </w:rPr>
              <w:t>6 处理流转</w:t>
            </w:r>
          </w:p>
        </w:tc>
        <w:tc>
          <w:tcPr>
            <w:tcW w:w="310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6"/>
              </w:rPr>
              <w:t>按建议修改文案、补充授权/资质材料，或提交法务复核。</w:t>
            </w:r>
          </w:p>
        </w:tc>
        <w:tc>
          <w:tcPr>
            <w:tcW w:w="348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6"/>
              </w:rPr>
              <w:t>裁决结果沉淀回规则库、类案库与 IP 底库。</w:t>
            </w:r>
          </w:p>
        </w:tc>
        <w:tc>
          <w:tcPr>
            <w:tcW w:w="143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6"/>
              </w:rPr>
              <w:t>人工 1–3 分钟</w:t>
            </w:r>
          </w:p>
        </w:tc>
      </w:tr>
    </w:tbl>
    <w:p>
      <w:pPr>
        <w:spacing w:after="80"/>
      </w:pPr>
      <w:r>
        <w:rPr>
          <w:b/>
          <w:color w:val="1F4D78"/>
          <w:sz w:val="20"/>
        </w:rPr>
        <w:t>风险分层与处置方式</w:t>
      </w:r>
    </w:p>
    <w:tbl>
      <w:tblPr>
        <w:tblW w:type="dxa" w:w="9360"/>
        <w:tblBorders>
          <w:top w:val="single" w:sz="5" w:space="0" w:color="CAD5E2"/>
          <w:left w:val="single" w:sz="5" w:space="0" w:color="CAD5E2"/>
          <w:bottom w:val="single" w:sz="5" w:space="0" w:color="CAD5E2"/>
          <w:right w:val="single" w:sz="5" w:space="0" w:color="CAD5E2"/>
          <w:insideH w:val="single" w:sz="5" w:space="0" w:color="CAD5E2"/>
          <w:insideV w:val="single" w:sz="5" w:space="0" w:color="CAD5E2"/>
        </w:tblBorders>
      </w:tblPr>
      <w:tblGrid>
        <w:gridCol w:w="2300"/>
        <w:gridCol w:w="3900"/>
        <w:gridCol w:w="3160"/>
      </w:tblGrid>
      <w:tr>
        <w:tc>
          <w:tcPr>
            <w:tcW w:w="2300" w:type="dxa"/>
            <w:shd w:val="clear" w:fill="E8EEF5"/>
          </w:tcPr>
          <w:p>
            <w:r/>
            <w:r>
              <w:rPr>
                <w:rFonts w:ascii="Calibri" w:hAnsi="Calibri"/>
                <w:b/>
                <w:color w:val="17365D"/>
                <w:sz w:val="17"/>
              </w:rPr>
              <w:t>层级</w:t>
            </w:r>
          </w:p>
        </w:tc>
        <w:tc>
          <w:tcPr>
            <w:tcW w:w="3900" w:type="dxa"/>
            <w:shd w:val="clear" w:fill="E8EEF5"/>
          </w:tcPr>
          <w:p>
            <w:r/>
            <w:r>
              <w:rPr>
                <w:rFonts w:ascii="Calibri" w:hAnsi="Calibri"/>
                <w:b/>
                <w:color w:val="17365D"/>
                <w:sz w:val="17"/>
              </w:rPr>
              <w:t>查什么</w:t>
            </w:r>
          </w:p>
        </w:tc>
        <w:tc>
          <w:tcPr>
            <w:tcW w:w="3160" w:type="dxa"/>
            <w:shd w:val="clear" w:fill="E8EEF5"/>
          </w:tcPr>
          <w:p>
            <w:r/>
            <w:r>
              <w:rPr>
                <w:rFonts w:ascii="Calibri" w:hAnsi="Calibri"/>
                <w:b/>
                <w:color w:val="17365D"/>
                <w:sz w:val="17"/>
              </w:rPr>
              <w:t>处置方式</w:t>
            </w:r>
          </w:p>
        </w:tc>
      </w:tr>
      <w:tr>
        <w:tc>
          <w:tcPr>
            <w:tcW w:w="230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7"/>
              </w:rPr>
              <w:t>L1 绝对化用语</w:t>
            </w:r>
          </w:p>
        </w:tc>
        <w:tc>
          <w:tcPr>
            <w:tcW w:w="390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7"/>
              </w:rPr>
              <w:t>「国家级」「最高级」「第一」等《广告法》第九条禁用语，带白名单语境抑制（如「第一时间」）。</w:t>
            </w:r>
          </w:p>
        </w:tc>
        <w:tc>
          <w:tcPr>
            <w:tcW w:w="316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7"/>
              </w:rPr>
              <w:t>命中即提示；属执法指南豁免情形的由模型复判排除。</w:t>
            </w:r>
          </w:p>
        </w:tc>
      </w:tr>
      <w:tr>
        <w:tc>
          <w:tcPr>
            <w:tcW w:w="230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7"/>
              </w:rPr>
              <w:t>L2 行业禁用语</w:t>
            </w:r>
          </w:p>
        </w:tc>
        <w:tc>
          <w:tcPr>
            <w:tcW w:w="390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7"/>
              </w:rPr>
              <w:t>疾病治疗宣称、医疗用语等，词条从真实行政处罚决定书反挖，自带案号。</w:t>
            </w:r>
          </w:p>
        </w:tc>
        <w:tc>
          <w:tcPr>
            <w:tcW w:w="316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7"/>
              </w:rPr>
              <w:t>命中即提示，报告可引用「该表述在 XX 案中被认定为……」。</w:t>
            </w:r>
          </w:p>
        </w:tc>
      </w:tr>
      <w:tr>
        <w:tc>
          <w:tcPr>
            <w:tcW w:w="230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7"/>
              </w:rPr>
              <w:t>L3 需资质 / 需授权</w:t>
            </w:r>
          </w:p>
        </w:tc>
        <w:tc>
          <w:tcPr>
            <w:tcW w:w="390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7"/>
              </w:rPr>
              <w:t>「发明专利」「独家授权」「3C 认证」等真假取决于材料的表述；画面出现知名 IP 同走此路。</w:t>
            </w:r>
          </w:p>
        </w:tc>
        <w:tc>
          <w:tcPr>
            <w:tcW w:w="316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7"/>
              </w:rPr>
              <w:t>产出「需核验的授权材料清单」，不是侵权/违法认定；材料齐备则解除。</w:t>
            </w:r>
          </w:p>
        </w:tc>
      </w:tr>
      <w:tr>
        <w:tc>
          <w:tcPr>
            <w:tcW w:w="230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7"/>
              </w:rPr>
              <w:t>L4 必备要素与显著性</w:t>
            </w:r>
          </w:p>
        </w:tc>
        <w:tc>
          <w:tcPr>
            <w:tcW w:w="390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7"/>
              </w:rPr>
              <w:t>免责声明、警示语有没有出现；出现了是否显著（时长、字号占比、是否贴边）。</w:t>
            </w:r>
          </w:p>
        </w:tc>
        <w:tc>
          <w:tcPr>
            <w:tcW w:w="3160" w:type="dxa"/>
          </w:tcPr>
          <w:p>
            <w:r/>
            <w:r>
              <w:rPr>
                <w:rFonts w:ascii="Calibri" w:hAnsi="Calibri"/>
                <w:b w:val="0"/>
                <w:color w:val="1F2937"/>
                <w:sz w:val="17"/>
              </w:rPr>
              <w:t>「写了但不显著」触发人工复核——这是文本审核工具做不到的视频差异化能力。</w:t>
            </w:r>
          </w:p>
        </w:tc>
      </w:tr>
    </w:tbl>
    <w:p>
      <w:pPr>
        <w:spacing w:after="80"/>
      </w:pPr>
      <w:r>
        <w:rPr>
          <w:b/>
          <w:color w:val="1F4D78"/>
          <w:sz w:val="20"/>
        </w:rPr>
        <w:t>画面 IP 识别（双层校验）</w:t>
      </w:r>
    </w:p>
    <w:p>
      <w:pPr>
        <w:spacing w:after="120"/>
      </w:pPr>
      <w:r>
        <w:rPr>
          <w:rFonts w:ascii="Calibri" w:hAnsi="Calibri"/>
          <w:b w:val="0"/>
          <w:color w:val="1F2937"/>
          <w:sz w:val="20"/>
        </w:rPr>
        <w:t>先走本地 IP 底库比对（成本为零、证据可呈堂，如「与 mickey_003.jpg 相似度 0.91」），底库未命中的场景关键帧再交视觉大模型兜底。仅模型单独命中的一律标「疑似待确认」，不进正式风险清单——防止把普通卡通形象错认成知名 IP。</w:t>
      </w:r>
    </w:p>
    <w:tbl>
      <w:tblPr>
        <w:tblW w:type="dxa" w:w="9360"/>
        <w:tblBorders>
          <w:top w:val="single" w:sz="5" w:space="0" w:color="CAD5E2"/>
          <w:left w:val="single" w:sz="5" w:space="0" w:color="CAD5E2"/>
          <w:bottom w:val="single" w:sz="5" w:space="0" w:color="CAD5E2"/>
          <w:right w:val="single" w:sz="5" w:space="0" w:color="CAD5E2"/>
          <w:insideH w:val="single" w:sz="5" w:space="0" w:color="CAD5E2"/>
          <w:insideV w:val="single" w:sz="5" w:space="0" w:color="CAD5E2"/>
        </w:tblBorders>
      </w:tblPr>
      <w:tblGrid>
        <w:gridCol w:w="9360"/>
      </w:tblGrid>
      <w:tr>
        <w:tc>
          <w:tcPr>
            <w:tcW w:w="9360" w:type="dxa"/>
            <w:shd w:val="clear" w:fill="FFF6D8"/>
          </w:tcPr>
          <w:p>
            <w:r/>
            <w:r>
              <w:rPr>
                <w:rFonts w:ascii="Calibri" w:hAnsi="Calibri"/>
                <w:b/>
                <w:color w:val="8A6500"/>
                <w:sz w:val="18"/>
              </w:rPr>
              <w:t xml:space="preserve">重要边界　</w:t>
            </w:r>
            <w:r>
              <w:rPr>
                <w:rFonts w:ascii="Calibri" w:hAnsi="Calibri"/>
                <w:b w:val="0"/>
                <w:color w:val="1F2937"/>
                <w:sz w:val="18"/>
              </w:rPr>
              <w:t>系统输出永远是「风险自查提示 + 需核验的授权材料清单」，不构成侵权 / 违法认定，不构成法律意见。「需核验」条目请提供材料后由法务复核确认。</w:t>
            </w:r>
          </w:p>
        </w:tc>
      </w:tr>
    </w:tbl>
    <w:p>
      <w:pPr>
        <w:spacing w:after="80"/>
      </w:pPr>
      <w:r>
        <w:rPr>
          <w:rFonts w:ascii="Calibri" w:hAnsi="Calibri"/>
          <w:b/>
          <w:color w:val="17365D"/>
          <w:sz w:val="22"/>
        </w:rPr>
        <w:t>文案审核与案例检索（现有能力）</w:t>
      </w:r>
    </w:p>
    <w:p>
      <w:pPr>
        <w:spacing w:before="0" w:after="100" w:line="293" w:lineRule="auto"/>
      </w:pPr>
      <w:r>
        <w:rPr>
          <w:rFonts w:ascii="Calibri" w:hAnsi="Calibri" w:eastAsia="Hiragino Sans GB"/>
          <w:i w:val="0"/>
          <w:color w:val="1F2937"/>
          <w:sz w:val="20"/>
        </w:rPr>
        <w:t>Adsure 解决的是“广告物料进入发布前，如何快速、可追溯地识别风险并把结果送到正确的人”的问题。它把规则结论、案例解释和流程路由拆开，避免用单一模型输出冒充法律事实。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AD5E2"/>
          <w:left w:val="single" w:sz="5" w:space="0" w:color="CAD5E2"/>
          <w:bottom w:val="single" w:sz="5" w:space="0" w:color="CAD5E2"/>
          <w:right w:val="single" w:sz="5" w:space="0" w:color="CAD5E2"/>
          <w:insideH w:val="single" w:sz="5" w:space="0" w:color="CAD5E2"/>
          <w:insideV w:val="single" w:sz="5" w:space="0" w:color="CAD5E2"/>
        </w:tblBorders>
      </w:tblPr>
      <w:tblGrid>
        <w:gridCol w:w="1700"/>
        <w:gridCol w:w="3000"/>
        <w:gridCol w:w="4660"/>
      </w:tblGrid>
      <w:tr>
        <w:trPr>
          <w:tblHeader w:val="true"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7"/>
              </w:rPr>
              <w:t>对比维度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7"/>
              </w:rPr>
              <w:t>常见方案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7"/>
              </w:rPr>
              <w:t>Adsure 当前实现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7"/>
              </w:rPr>
              <w:t>审核效率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7"/>
              </w:rPr>
              <w:t>人工逐条检索、复制规则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7"/>
              </w:rPr>
              <w:t>一次请求返回风险字段、修改建议、路由及相关案例。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7"/>
              </w:rPr>
              <w:t>可追溯性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7"/>
              </w:rPr>
              <w:t>通用 AI 常缺少来源边界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7"/>
              </w:rPr>
              <w:t>正式案例保留 source_url/raw_text_path；候选数据强制标记状态。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7"/>
              </w:rPr>
              <w:t>判断稳定性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7"/>
              </w:rPr>
              <w:t>纯关键词容易漏场景，纯模型难复核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7"/>
              </w:rPr>
              <w:t>规则决定风险，RAG 提供类案解释；两者不互相覆盖。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7"/>
              </w:rPr>
              <w:t>协作闭环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7"/>
              </w:rPr>
              <w:t>结论停留在聊天或报告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7"/>
              </w:rPr>
              <w:t>接口字段可回写飞书状态机，支持运营修改、补资料和法务复核。</w:t>
            </w:r>
          </w:p>
        </w:tc>
      </w:tr>
      <w:t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7"/>
              </w:rPr>
              <w:t>安全边界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7"/>
              </w:rPr>
              <w:t>测试数据可能混入生产</w:t>
            </w:r>
          </w:p>
        </w:tc>
        <w:tc>
          <w:tcPr>
            <w:tcW w:type="dxa" w:w="4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7"/>
              </w:rPr>
              <w:t>production 与 candidate 索引隔离；生产为空时绝不自动回退候选库。</w:t>
            </w:r>
          </w:p>
        </w:tc>
      </w:tr>
    </w:tbl>
    <w:p>
      <w:pPr>
        <w:spacing w:before="0" w:after="40"/>
      </w:pPr>
    </w:p>
    <w:p>
      <w:pPr>
        <w:pStyle w:val="Heading1"/>
      </w:pPr>
      <w:r>
        <w:t>5. 已知问题与边界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AD5E2"/>
          <w:left w:val="single" w:sz="5" w:space="0" w:color="CAD5E2"/>
          <w:bottom w:val="single" w:sz="5" w:space="0" w:color="CAD5E2"/>
          <w:right w:val="single" w:sz="5" w:space="0" w:color="CAD5E2"/>
          <w:insideH w:val="single" w:sz="5" w:space="0" w:color="CAD5E2"/>
          <w:insideV w:val="single" w:sz="5" w:space="0" w:color="CAD5E2"/>
        </w:tblBorders>
      </w:tblPr>
      <w:tblGrid>
        <w:gridCol w:w="2600"/>
        <w:gridCol w:w="6760"/>
      </w:tblGrid>
      <w:tr>
        <w:trPr>
          <w:tblHeader w:val="true"/>
        </w:trP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7"/>
              </w:rPr>
              <w:t>当前问题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E8EEF5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7"/>
              </w:rPr>
              <w:t>影响与建议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7"/>
              </w:rPr>
              <w:t>无公开网页前端/测试账号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7"/>
              </w:rPr>
              <w:t>当前只能按 API 联调；赛前补真实入口并单独交付限时凭证。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7"/>
              </w:rPr>
              <w:t>候选案例待核验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7"/>
              </w:rPr>
              <w:t>106 个候选案例不得作为处罚事实；candidate_debug 仅限项目成员和评委测试。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7"/>
              </w:rPr>
              <w:t>正式库覆盖有限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7"/>
              </w:rPr>
              <w:t>production 为同一市场监管总局公开页的 10 起典型案例，不代表全行业覆盖。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7"/>
              </w:rPr>
              <w:t>仅 BM25 词法检索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7"/>
              </w:rPr>
              <w:t>尚无 Embedding/生产向量库；同义改写、极短文案可能零召回或排序波动。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7"/>
              </w:rPr>
              <w:t>赛道枚举有限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7"/>
              </w:rPr>
              <w:t>当前接口支持美妆、游戏、保健食品、通用；跨行业物料需人工选择最相关赛道。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center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7"/>
              </w:rPr>
              <w:t>案例不是最终结论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7"/>
              </w:rPr>
              <w:t>RAG 只用于规则解释，风险仍以规则命中、产品事实与人工复核为准。</w:t>
            </w:r>
          </w:p>
        </w:tc>
      </w:tr>
      <w:tr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/>
                <w:i w:val="0"/>
                <w:color w:val="17365D"/>
                <w:sz w:val="17"/>
              </w:rPr>
              <w:t>外部 /audit 不在本仓库</w:t>
            </w:r>
          </w:p>
        </w:tc>
        <w:tc>
          <w:tcPr>
            <w:tcW w:type="dxa" w:w="67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before="0" w:after="0" w:line="269" w:lineRule="auto"/>
              <w:jc w:val="left"/>
            </w:pPr>
            <w:r>
              <w:rPr>
                <w:rFonts w:ascii="Calibri" w:hAnsi="Calibri" w:eastAsia="Hiragino Sans GB"/>
                <w:b w:val="0"/>
                <w:i w:val="0"/>
                <w:color w:val="1F2937"/>
                <w:sz w:val="17"/>
              </w:rPr>
              <w:t>审核引擎与 RAG 需冻结同一测试版本；IP 地址、超时和字段映射赛前复测。</w:t>
            </w:r>
          </w:p>
        </w:tc>
      </w:tr>
    </w:tbl>
    <w:p>
      <w:pPr>
        <w:spacing w:before="0" w:after="4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5" w:space="0" w:color="CAD5E2"/>
          <w:left w:val="single" w:sz="5" w:space="0" w:color="CAD5E2"/>
          <w:bottom w:val="single" w:sz="5" w:space="0" w:color="CAD5E2"/>
          <w:right w:val="single" w:sz="5" w:space="0" w:color="CAD5E2"/>
          <w:insideH w:val="single" w:sz="5" w:space="0" w:color="CAD5E2"/>
          <w:insideV w:val="single" w:sz="5" w:space="0" w:color="CAD5E2"/>
        </w:tblBorders>
      </w:tblPr>
      <w:tblGrid>
        <w:gridCol w:w="9360"/>
      </w:tblGrid>
      <w:tr>
        <w:tc>
          <w:tcPr>
            <w:tcW w:type="dxa" w:w="9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before="20" w:after="20" w:line="276" w:lineRule="auto"/>
            </w:pPr>
            <w:r>
              <w:rPr>
                <w:rFonts w:ascii="Calibri" w:hAnsi="Calibri" w:eastAsia="Hiragino Sans GB"/>
                <w:b/>
                <w:i w:val="0"/>
                <w:color w:val="1F4D78"/>
                <w:sz w:val="18"/>
              </w:rPr>
              <w:t xml:space="preserve">异常应对　</w:t>
            </w:r>
            <w:r>
              <w:rPr>
                <w:rFonts w:ascii="Calibri" w:hAnsi="Calibri" w:eastAsia="Hiragino Sans GB"/>
                <w:i w:val="0"/>
                <w:color w:val="1F2937"/>
                <w:sz w:val="18"/>
              </w:rPr>
              <w:t>若无案例命中：保留规则审核结果并显示“未命中可用案例”；若服务超时/503：不切换候选库，记录请求标识后重试；若行业或材料信息不足：转“运营补资料”或人工复核。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Hiragino Sans GB"/>
        <w:i w:val="0"/>
        <w:color w:val="5B6573"/>
        <w:sz w:val="16"/>
      </w:rPr>
      <w:t xml:space="preserve">内部初版  ·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Hiragino Sans GB"/>
        <w:b/>
        <w:i w:val="0"/>
        <w:color w:val="5B6573"/>
        <w:sz w:val="17"/>
      </w:rPr>
      <w:t>ADSURE  ·  产品使用手册（初版）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Hiragino Sans GB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Hiragino Sans GB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Hiragino Sans GB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