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eastAsia="方正小标宋简体"/>
          <w:b w:val="false"/>
          <w:bCs w:val="false"/>
          <w:i w:val="false"/>
          <w:iCs w:val="false"/>
          <w:sz w:val="32"/>
          <w:szCs w:val="32"/>
        </w:rPr>
        <w:t xml:space="preserve">美妆广告合规案例库</w:t>
      </w:r>
    </w:p>
    <w:p>
      <w:pPr>
        <w:spacing w:line="360" w:lineRule="auto"/>
        <w:ind w:firstLine="560"/>
        <w:jc w:val="both"/>
      </w:pPr>
      <w:r>
        <w:rPr>
          <w:rFonts w:ascii="Times New Roman" w:eastAsia="SimHei"/>
          <w:b w:val="false"/>
          <w:bCs w:val="false"/>
          <w:i w:val="false"/>
          <w:iCs w:val="false"/>
          <w:sz w:val="30"/>
          <w:szCs w:val="30"/>
        </w:rPr>
        <w:t xml:space="preserve">一、化妆品虚假广告违法</w:t>
      </w:r>
    </w:p>
    <w:p>
      <w:pPr>
        <w:spacing w:line="360" w:lineRule="auto"/>
        <w:ind w:firstLine="560"/>
        <w:jc w:val="both"/>
      </w:pPr>
      <w:r>
        <w:rPr>
          <w:rFonts w:ascii="Times New Roman" w:eastAsia="SimHei"/>
          <w:b w:val="false"/>
          <w:bCs w:val="false"/>
          <w:i w:val="false"/>
          <w:iCs w:val="false"/>
          <w:sz w:val="28"/>
          <w:szCs w:val="28"/>
        </w:rPr>
        <w:t xml:space="preserve">案例1：苏州开禧医药有限公司诉苏州市吴江区市场监督管理局案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案号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：（2018）苏0508行初268号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审理法院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：苏州市姑苏区人民法院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审理日期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：2018年12月28日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基本事实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：原告在天猫店铺销售“舒盈补水保湿蚕丝玻尿酸面膜”（非特殊用途化妆品），使用“渗透力高达70倍”“渗透力比普通的提高70倍”及“袪皱、袪痘”等宣传用语，无法提供“渗透力70倍”依据。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违反条款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：《广告法》第十七条（非医疗广告涉及疾病治疗功能）、第二十八条（虚假广告）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处罚结果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：责令停止发布广告并消除影响，罚款200000元。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裁判要点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：“渗透力高达70倍”无依据，构成虚假广告；“袪皱、袪痘”涉及疾病治疗功能，违反第十七条；同一广告违反数个法条，择一重罚；原告曾因化妆品违法广告被处罚，不符合减轻或不予处罚条件。</w:t>
      </w:r>
    </w:p>
    <w:p>
      <w:pPr>
        <w:spacing w:line="360" w:lineRule="auto"/>
        <w:ind w:firstLine="560"/>
        <w:jc w:val="both"/>
      </w:pPr>
      <w:r>
        <w:rPr>
          <w:rFonts w:ascii="Times New Roman" w:eastAsia="SimHei"/>
          <w:b w:val="false"/>
          <w:bCs w:val="false"/>
          <w:i w:val="false"/>
          <w:iCs w:val="false"/>
          <w:sz w:val="28"/>
          <w:szCs w:val="28"/>
        </w:rPr>
        <w:t xml:space="preserve">案例2：建德市艾氏贸易有限公司虚假广告案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案号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：（2016）粤0111民初9365号（关联民事判决）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审理法院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：广州市白云区人民法院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审理日期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：2017年7月19日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基本事实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：被告在天猫网店销售“玫琳凯幻时三件日常护肤套装”和“玫琳凯亮采精华液”，宣传具有“防晒”“祛斑”功效，但涉案产品均为非特殊用途化妆品，不具备上述特殊用途化妆品功效。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违反条款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：《广告法》第二十八条第二款第（二）项（虚假广告）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处罚结果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：责令删除违法广告，在网页发布范围内消除影响，罚款10500元。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裁判要点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：以特殊用途化妆品的功效宣传普通用途化妆品，宣传的商品功能、用途等信息与实际情况不符，构成虚假广告；广告费用能够计算时，处广告费用三倍以上五倍以下罚款。</w:t>
      </w:r>
    </w:p>
    <w:p>
      <w:pPr>
        <w:spacing w:line="360" w:lineRule="auto"/>
        <w:ind w:firstLine="560"/>
        <w:jc w:val="both"/>
      </w:pPr>
      <w:r>
        <w:rPr>
          <w:rFonts w:ascii="Times New Roman" w:eastAsia="SimHei"/>
          <w:b w:val="false"/>
          <w:bCs w:val="false"/>
          <w:i w:val="false"/>
          <w:iCs w:val="false"/>
          <w:sz w:val="28"/>
          <w:szCs w:val="28"/>
        </w:rPr>
        <w:t xml:space="preserve">案例3：杭州滨研生物科技有限公司非诉执行案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案号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：（2019）浙0105行审2号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审理法院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：杭州市拱墅区人民法院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审理日期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：2019年4月8日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基本事实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被执行人在淘宝店铺销售“息敏乐益生菌”时，使用“防治过敏，3天起效”“改善过敏体质”“抗敏生物制剂”“高效对抗过敏原，提高免疫力”等涉及疾病治疗功能的用语，另使用“双层包埋专利技术”未标明专利号和专利种类。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违反条款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：《广告法》第十七条（非医疗广告涉及疾病治疗功能）、第十二条第一款（涉及专利未标明专利号和专利种类）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处罚结果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：责令停止发布广告，罚款10800元（涉及疾病治疗功能罚款1800元+专利违法罚款9000元）。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裁判要点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：益生菌产品广告使用医疗用语，违反第十七条；广告中涉及专利产品未标明专利号和专利种类，违反第十二条；两项违法行为分别处罚。</w:t>
      </w:r>
    </w:p>
    <w:p>
      <w:pPr>
        <w:spacing w:line="360" w:lineRule="auto"/>
        <w:ind w:firstLine="560"/>
        <w:jc w:val="both"/>
      </w:pPr>
      <w:r>
        <w:rPr>
          <w:rFonts w:ascii="Times New Roman" w:eastAsia="SimHei"/>
          <w:b w:val="false"/>
          <w:bCs w:val="false"/>
          <w:i w:val="false"/>
          <w:iCs w:val="false"/>
          <w:sz w:val="28"/>
          <w:szCs w:val="28"/>
        </w:rPr>
        <w:t xml:space="preserve">案例4：临邑县临南镇双丰至尚洗化百货商店非诉执行案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案号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：（2019）鲁1424行审75号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审理法院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：临邑县人民法院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审理日期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：2019年8月1日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基本事实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被执行人通过微信朋友圈转发蓝某内衣广告，宣传内容含有“治疗抬头纹、皱眉纹、鱼尾纹、法令纹”“不管你是弯腰驼背！还是脖子后面的富贵包！肩颈有问题的！脊柱弯曲的！还是严重的宫寒！体寒！湿气！妇科病！乳腺结节！乳腺增生！有以上病症的！我们身材管理器通通能给你治好”等医疗用语。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违反条款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：《广告法》第十七条（非医疗广告涉及疾病治疗功能）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处罚结果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：责令停止发布广告，在相应范围内消除影响，罚款100000元（从轻处罚）。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裁判要点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：内衣产品广告使用医疗用语宣传疾病治疗功能，违反第十七条；微信朋友圈转发广告属于商业广告发布行为；广告费用无法计算时，处10万元以上20万元以下罚款。</w:t>
      </w:r>
    </w:p>
    <w:p>
      <w:pPr>
        <w:spacing w:line="360" w:lineRule="auto"/>
        <w:ind w:firstLine="560"/>
        <w:jc w:val="both"/>
      </w:pPr>
      <w:r>
        <w:rPr>
          <w:rFonts w:ascii="Times New Roman" w:eastAsia="SimHei"/>
          <w:b w:val="false"/>
          <w:bCs w:val="false"/>
          <w:i w:val="false"/>
          <w:iCs w:val="false"/>
          <w:sz w:val="28"/>
          <w:szCs w:val="28"/>
        </w:rPr>
        <w:t xml:space="preserve">案例5：宜兴市市场监督管理局申请执行孙某行政处罚案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案号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：（2025）苏0282行审5号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审理法院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：宜兴市人民法院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审理日期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：2025年1月13日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基本事实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被执行人在其经营的美容店设置广告立牌及易拉宝，宣传“焕体回春，调节疑难杂症而生”“有效缓解：胃炎、慢性胃炎、浅表性胃炎、胃病、胃痉挛…胃黏膜增生、胃病变”“药汤纯天然外洗内服皆可”“养脑抗衰”等内容，广告制作费用200元。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违反条款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：《广告法》第十七条（非医疗广告涉及疾病治疗功能）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处罚结果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：责令改正违法行为，罚款10600元（含化妆品进货查验违法罚款600元）。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裁判要点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：美容服务广告使用医疗用语宣传疾病治疗功能，违反第十七条；广告费用能够计算时，处广告费用一倍以上三倍以下罚款；同时存在化妆品进货查验违法行为的，分别处罚。</w:t>
      </w:r>
    </w:p>
    <w:p>
      <w:pPr>
        <w:spacing w:line="360" w:lineRule="auto"/>
        <w:ind w:firstLine="560"/>
        <w:jc w:val="both"/>
      </w:pPr>
      <w:r>
        <w:rPr>
          <w:rFonts w:ascii="Times New Roman" w:eastAsia="SimHei"/>
          <w:b w:val="false"/>
          <w:bCs w:val="false"/>
          <w:i w:val="false"/>
          <w:iCs w:val="false"/>
          <w:sz w:val="28"/>
          <w:szCs w:val="28"/>
        </w:rPr>
        <w:t xml:space="preserve">案例6：上海美狄莎思美奇商贸有限公司诉上海市长宁区市场监督管理局案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案号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：（2024）沪7101行初94号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审理法院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：上海铁路运输法院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审理日期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：2024年4月29日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基本事实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：原告在淘宝网店销售非医用口罩，在产品页面图文详情中使用“抗病毒”“抗菌抗病毒”等广告宣传用语，广告系原告自行设计制作发布，广告费用无法计算。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违反条款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：《广告法》第十七条（非医疗广告涉及疾病治疗功能）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处罚结果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：责令停止发布违法广告，在相应范围内消除影响，罚款30000元（减轻处罚）。</w:t>
      </w:r>
    </w:p>
    <w:p>
      <w:pPr>
        <w:spacing w:line="360" w:lineRule="auto"/>
        <w:ind w:firstLine="560"/>
        <w:jc w:val="both"/>
      </w:pPr>
      <w:r>
        <w:rPr>
          <w:rFonts w:ascii="Times New Roman" w:eastAsia="仿宋_GB2312"/>
          <w:b/>
          <w:bCs/>
          <w:i w:val="false"/>
          <w:iCs w:val="false"/>
          <w:sz w:val="28"/>
          <w:szCs w:val="28"/>
        </w:rPr>
        <w:t xml:space="preserve">裁判要点</w:t>
      </w:r>
      <w:r>
        <w:rPr>
          <w:rFonts w:ascii="Times New Roman" w:eastAsia="仿宋_GB2312"/>
          <w:b w:val="false"/>
          <w:bCs w:val="false"/>
          <w:i w:val="false"/>
          <w:iCs w:val="false"/>
          <w:sz w:val="28"/>
          <w:szCs w:val="28"/>
        </w:rPr>
        <w:t xml:space="preserve">：“抗病毒”属于医疗用语，非医用口罩广告使用该用语违反第十七条；广告费用无法计算时，处10万元以上20万元以下罚款；主动删除涉案广告、违法行为持续时间较短可减轻处罚。</w:t>
      </w:r>
    </w:p>
    <w:p>
      <w:pPr>
        <w:spacing w:line="360" w:lineRule="auto"/>
        <w:ind w:firstLine="560"/>
        <w:jc w:val="both"/>
      </w:pPr>
      <w:r>
        <w:rPr>
          <w:rFonts w:ascii="Times New Roman" w:eastAsia="SimHei"/>
          <w:b w:val="false"/>
          <w:bCs w:val="false"/>
          <w:i w:val="false"/>
          <w:iCs w:val="false"/>
          <w:sz w:val="30"/>
          <w:szCs w:val="30"/>
        </w:rPr>
        <w:t xml:space="preserve">案号索引表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9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3F2F1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案例序号</w:t>
            </w:r>
          </w:p>
        </w:tc>
        <w:tc>
          <w:tcPr>
            <w:tcW w:type="pct" w:w="42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3F2F1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案号</w:t>
            </w:r>
          </w:p>
        </w:tc>
        <w:tc>
          <w:tcPr>
            <w:tcW w:type="pct" w:w="23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3F2F1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审理法院</w:t>
            </w:r>
          </w:p>
        </w:tc>
        <w:tc>
          <w:tcPr>
            <w:tcW w:type="pct" w:w="26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3F2F1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审理日期</w:t>
            </w:r>
          </w:p>
        </w:tc>
      </w:tr>
      <w:tr>
        <w:tc>
          <w:tcPr>
            <w:tcW w:type="pct" w:w="9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FFFFF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案例1</w:t>
            </w:r>
          </w:p>
        </w:tc>
        <w:tc>
          <w:tcPr>
            <w:tcW w:type="pct" w:w="42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FFFFF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（2018）苏0508行初268号</w:t>
            </w:r>
          </w:p>
        </w:tc>
        <w:tc>
          <w:tcPr>
            <w:tcW w:type="pct" w:w="23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FFFFF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苏州市姑苏区人民法院</w:t>
            </w:r>
          </w:p>
        </w:tc>
        <w:tc>
          <w:tcPr>
            <w:tcW w:type="pct" w:w="26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FFFFF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2018年12月28日</w:t>
            </w:r>
          </w:p>
        </w:tc>
      </w:tr>
      <w:tr>
        <w:tc>
          <w:tcPr>
            <w:tcW w:type="pct" w:w="9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9F9F9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案例2</w:t>
            </w:r>
          </w:p>
        </w:tc>
        <w:tc>
          <w:tcPr>
            <w:tcW w:type="pct" w:w="42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9F9F9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（2016）粤0111民初9365号</w:t>
            </w:r>
          </w:p>
        </w:tc>
        <w:tc>
          <w:tcPr>
            <w:tcW w:type="pct" w:w="23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9F9F9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广州市白云区人民法院</w:t>
            </w:r>
          </w:p>
        </w:tc>
        <w:tc>
          <w:tcPr>
            <w:tcW w:type="pct" w:w="26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9F9F9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2017年7月19日</w:t>
            </w:r>
          </w:p>
        </w:tc>
      </w:tr>
      <w:tr>
        <w:tc>
          <w:tcPr>
            <w:tcW w:type="pct" w:w="9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FFFFF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案例3</w:t>
            </w:r>
          </w:p>
        </w:tc>
        <w:tc>
          <w:tcPr>
            <w:tcW w:type="pct" w:w="42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FFFFF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（2019）浙0105行审2号</w:t>
            </w:r>
          </w:p>
        </w:tc>
        <w:tc>
          <w:tcPr>
            <w:tcW w:type="pct" w:w="23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FFFFF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杭州市拱墅区人民法院</w:t>
            </w:r>
          </w:p>
        </w:tc>
        <w:tc>
          <w:tcPr>
            <w:tcW w:type="pct" w:w="26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FFFFF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2019年4月8日</w:t>
            </w:r>
          </w:p>
        </w:tc>
      </w:tr>
      <w:tr>
        <w:tc>
          <w:tcPr>
            <w:tcW w:type="pct" w:w="9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9F9F9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案例4</w:t>
            </w:r>
          </w:p>
        </w:tc>
        <w:tc>
          <w:tcPr>
            <w:tcW w:type="pct" w:w="42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9F9F9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（2019）鲁1424行审75号</w:t>
            </w:r>
          </w:p>
        </w:tc>
        <w:tc>
          <w:tcPr>
            <w:tcW w:type="pct" w:w="23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9F9F9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临邑县人民法院</w:t>
            </w:r>
          </w:p>
        </w:tc>
        <w:tc>
          <w:tcPr>
            <w:tcW w:type="pct" w:w="26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9F9F9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2019年8月1日</w:t>
            </w:r>
          </w:p>
        </w:tc>
      </w:tr>
      <w:tr>
        <w:tc>
          <w:tcPr>
            <w:tcW w:type="pct" w:w="9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FFFFF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案例5</w:t>
            </w:r>
          </w:p>
        </w:tc>
        <w:tc>
          <w:tcPr>
            <w:tcW w:type="pct" w:w="42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FFFFF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（2025）苏0282行审5号</w:t>
            </w:r>
          </w:p>
        </w:tc>
        <w:tc>
          <w:tcPr>
            <w:tcW w:type="pct" w:w="23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FFFFF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宜兴市人民法院</w:t>
            </w:r>
          </w:p>
        </w:tc>
        <w:tc>
          <w:tcPr>
            <w:tcW w:type="pct" w:w="26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FFFFF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2025年1月13日</w:t>
            </w:r>
          </w:p>
        </w:tc>
      </w:tr>
      <w:tr>
        <w:tc>
          <w:tcPr>
            <w:tcW w:type="pct" w:w="9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9F9F9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案例6</w:t>
            </w:r>
          </w:p>
        </w:tc>
        <w:tc>
          <w:tcPr>
            <w:tcW w:type="pct" w:w="42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9F9F9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（2024）沪7101行初94号</w:t>
            </w:r>
          </w:p>
        </w:tc>
        <w:tc>
          <w:tcPr>
            <w:tcW w:type="pct" w:w="23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9F9F9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上海铁路运输法院</w:t>
            </w:r>
          </w:p>
        </w:tc>
        <w:tc>
          <w:tcPr>
            <w:tcW w:type="pct" w:w="26%"/>
            <w:tcBorders>
              <w:top w:val="single" w:color="E7E7E7" w:sz="1"/>
              <w:left w:val="single" w:color="E7E7E7" w:sz="1"/>
              <w:bottom w:val="single" w:color="E7E7E7" w:sz="1"/>
              <w:right w:val="single" w:color="E7E7E7" w:sz="1"/>
            </w:tcBorders>
            <w:shd w:fill="F9F9F9"/>
            <w:vAlign w:val="top"/>
          </w:tcPr>
          <w:p>
            <w:pPr>
              <w:spacing w:line="360" w:lineRule="auto"/>
              <w:jc w:val="left"/>
            </w:pPr>
            <w:r>
              <w:rPr>
                <w:rFonts w:ascii="Times New Roman" w:eastAsia="仿宋_GB2312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2024年4月29日</w:t>
            </w:r>
          </w:p>
        </w:tc>
      </w:tr>
    </w:tbl>
    <w:p>
      <w:pPr>
        <w:spacing w:line="360" w:lineRule="auto"/>
        <w:ind w:firstLine="560"/>
        <w:jc w:val="both"/>
      </w:pPr>
    </w:p>
    <w:sectPr>
      <w:pgSz w:w="11906" w:h="16838" w:orient="portrait"/>
      <w:pgMar w:top="1440" w:right="1440" w:bottom="1440" w:left="1440" w:header="705" w:footer="705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2026-07-20T01:43:41.734Z</dcterms:created>
  <dcterms:modified xsi:type="dcterms:W3CDTF">2026-07-20T01:43:41.734Z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