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Times New Roman" w:eastAsia="方正小标宋简体"/>
          <w:b w:val="false"/>
          <w:bCs w:val="false"/>
          <w:i w:val="false"/>
          <w:iCs w:val="false"/>
          <w:sz w:val="32"/>
          <w:szCs w:val="32"/>
        </w:rPr>
        <w:t xml:space="preserve">游戏广告合规案例库</w:t>
      </w:r>
    </w:p>
    <w:p>
      <w:pPr>
        <w:spacing w:line="360" w:lineRule="auto"/>
        <w:ind w:firstLine="560"/>
        <w:jc w:val="both"/>
      </w:pPr>
      <w:r>
        <w:rPr>
          <w:rFonts w:ascii="Times New Roman" w:eastAsia="SimHei"/>
          <w:b w:val="false"/>
          <w:bCs w:val="false"/>
          <w:i w:val="false"/>
          <w:iCs w:val="false"/>
          <w:sz w:val="30"/>
          <w:szCs w:val="30"/>
        </w:rPr>
        <w:t xml:space="preserve">一、游戏行业广告违法</w:t>
      </w:r>
    </w:p>
    <w:p>
      <w:pPr>
        <w:spacing w:line="360" w:lineRule="auto"/>
        <w:ind w:firstLine="560"/>
        <w:jc w:val="both"/>
      </w:pPr>
      <w:r>
        <w:rPr>
          <w:rFonts w:ascii="Times New Roman" w:eastAsia="SimHei"/>
          <w:b w:val="false"/>
          <w:bCs w:val="false"/>
          <w:i w:val="false"/>
          <w:iCs w:val="false"/>
          <w:sz w:val="28"/>
          <w:szCs w:val="28"/>
        </w:rPr>
        <w:t xml:space="preserve">案例1：广州鑫晨网络科技有限公司虚假广告案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案号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：（2023）粤0192民初1448号（关联民事判决）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审理法院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：广州互联网法院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审理日期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：2023年4月12日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基本事实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被告在抖音发布短视频广告，宣传游戏《赤沙龙城》“充三元送一只狗，充六元送神兽白虎，充十元就送召唤月灵”“这里面怪都是十倍爆率的啊，只要脸不太黑都能爆光柱”等内容，但广告中对奖励的允诺未表示准确、清楚、明白，奖励系随机抽取。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违反条款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：《广告法》第八条第一款（广告内容应准确、清楚、明白）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处罚结果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：责令停止发布违法广告，罚款20000元。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裁判要点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：游戏广告中对奖励的允诺未准确、清楚、明白表示，违反第八条第一款；广告中宣传的奖励内容与实际游戏机制不符，构成广告违法行为；游戏广告应真实、准确描述游戏内奖励机制。</w:t>
      </w:r>
    </w:p>
    <w:p>
      <w:pPr>
        <w:spacing w:line="360" w:lineRule="auto"/>
        <w:ind w:firstLine="560"/>
        <w:jc w:val="both"/>
      </w:pPr>
      <w:r>
        <w:rPr>
          <w:rFonts w:ascii="Times New Roman" w:eastAsia="SimHei"/>
          <w:b w:val="false"/>
          <w:bCs w:val="false"/>
          <w:i w:val="false"/>
          <w:iCs w:val="false"/>
          <w:sz w:val="30"/>
          <w:szCs w:val="30"/>
        </w:rPr>
        <w:t xml:space="preserve">违法类型-案号索引表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3F2F1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违法类型</w:t>
            </w:r>
          </w:p>
        </w:tc>
        <w:tc>
          <w:tcPr>
            <w:tcW w:type="pct" w:w="15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3F2F1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案例序号</w:t>
            </w:r>
          </w:p>
        </w:tc>
        <w:tc>
          <w:tcPr>
            <w:tcW w:type="pct" w:w="69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3F2F1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案号</w:t>
            </w:r>
          </w:p>
        </w:tc>
      </w:tr>
      <w:tr>
        <w:tc>
          <w:tcPr>
            <w:tcW w:type="pct" w:w="15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FFFFF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游戏行业</w:t>
            </w:r>
          </w:p>
        </w:tc>
        <w:tc>
          <w:tcPr>
            <w:tcW w:type="pct" w:w="15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FFFFF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案例1</w:t>
            </w:r>
          </w:p>
        </w:tc>
        <w:tc>
          <w:tcPr>
            <w:tcW w:type="pct" w:w="69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FFFFF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（2023）粤0192民初1448号</w:t>
            </w:r>
          </w:p>
        </w:tc>
      </w:tr>
    </w:tbl>
    <w:p>
      <w:pPr>
        <w:spacing w:line="360" w:lineRule="auto"/>
        <w:ind w:firstLine="560"/>
        <w:jc w:val="both"/>
      </w:pPr>
    </w:p>
    <w:sectPr>
      <w:pgSz w:w="11906" w:h="16838" w:orient="portrait"/>
      <w:pgMar w:top="1440" w:right="1440" w:bottom="1440" w:left="1440" w:header="705" w:footer="705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2026-07-20T01:44:28.514Z</dcterms:created>
  <dcterms:modified xsi:type="dcterms:W3CDTF">2026-07-20T01:44:28.514Z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