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6a1hfekx5h3" w:id="0"/>
      <w:bookmarkEnd w:id="0"/>
      <w:r w:rsidDel="00000000" w:rsidR="00000000" w:rsidRPr="00000000">
        <w:rPr>
          <w:rtl w:val="0"/>
        </w:rPr>
        <w:t xml:space="preserve">Harness</w:t>
      </w:r>
    </w:p>
    <w:p w:rsidR="00000000" w:rsidDel="00000000" w:rsidP="00000000" w:rsidRDefault="00000000" w:rsidRPr="00000000" w14:paraId="00000002">
      <w:pPr>
        <w:rPr/>
      </w:pPr>
      <w:r w:rsidDel="00000000" w:rsidR="00000000" w:rsidRPr="00000000">
        <w:rPr>
          <w:rtl w:val="0"/>
        </w:rPr>
        <w:t xml:space="preserve">1.The term "Harness"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The term "Harness" has emerged as a shorthand for everything within an AI agent—except for the model itself (Agent = Model + Harness). This is a very broad definition, so it needs to be narrowed down for common agent categories. Here, I would like to define what it means in the context of a programming agent. In programming agents, part of the harness is built-in (for example, via system prompts, source code retrieval mechanisms, or even a sophisticated orchestration system).</w:t>
      </w:r>
    </w:p>
    <w:p w:rsidR="00000000" w:rsidDel="00000000" w:rsidP="00000000" w:rsidRDefault="00000000" w:rsidRPr="00000000" w14:paraId="00000004">
      <w:pPr>
        <w:ind w:left="0" w:firstLine="0"/>
        <w:rPr/>
      </w:pPr>
      <w:r w:rsidDel="00000000" w:rsidR="00000000" w:rsidRPr="00000000">
        <w:rPr>
          <w:rtl w:val="0"/>
        </w:rPr>
        <w:t xml:space="preserve">2.Harness Ability</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Ambient affordances: My colleague, Ned Letcher, uses the term "ambient affordances" to describe properties of an agent's environment that make it easier to harness: "structural attributes of the environment itself that render it readable, navigable, and easily manipulable for the agents operating within it." (Greenfield projects are easier to harness, whereas legacy projects burdened with significant technical debt are far more difficult).</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Harness Templates: Most businesses have a few common service topologies that cover 80% of their needs. These topologies have been coded into service templates. In the future, these could evolve into harness templates: a package of instructions and sensors that leash programmatic agents into the structure, conventions, and tech stack of a topology.</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Ashby's Law:Ashby's Law of Requisite Variety states that a regulator must have at least an amount of variety equivalent to the system it manages. LLMs can create almost anything, but limiting it to a topology narrows that space, making the creation of a comprehensive harness more feasible (Variety-reduction move).</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