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基于数据表和图组的水果蔬菜肉类分类分析及优化建议"/>
    <w:p>
      <w:pPr>
        <w:pStyle w:val="Heading1"/>
      </w:pPr>
      <w:r>
        <w:t xml:space="preserve">《基于数据表和图组的水果、蔬菜、肉类分类分析及优化建议》</w:t>
      </w:r>
    </w:p>
    <w:p>
      <w:pPr>
        <w:pStyle w:val="FirstParagraph"/>
      </w:pPr>
      <w:r>
        <w:t xml:space="preserve">以下是对水果类、蔬菜类、肉类的图组和数据表的分类分析，结合指标数据和可视化结果进行说明：</w:t>
      </w:r>
    </w:p>
    <w:bookmarkStart w:id="22" w:name="一水果类6-种产品"/>
    <w:p>
      <w:pPr>
        <w:pStyle w:val="Heading3"/>
      </w:pPr>
      <w:r>
        <w:rPr>
          <w:bCs/>
          <w:b/>
        </w:rPr>
        <w:t xml:space="preserve">一、水果类（6 种产品）</w:t>
      </w:r>
    </w:p>
    <w:bookmarkStart w:id="20" w:name="数据表分析maemse"/>
    <w:p>
      <w:pPr>
        <w:pStyle w:val="Heading4"/>
      </w:pPr>
      <w:r>
        <w:rPr>
          <w:bCs/>
          <w:b/>
        </w:rPr>
        <w:t xml:space="preserve">数据表分析（MAE/MSE）</w:t>
      </w:r>
    </w:p>
    <w:p>
      <w:pPr>
        <w:pStyle w:val="FirstParagraph"/>
      </w:pP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产品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富士苹果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巨峰葡萄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菠萝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0.0197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0.0042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西瓜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香蕉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鸭梨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0.0284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0.0008</w:t>
            </w:r>
          </w:p>
        </w:tc>
      </w:tr>
    </w:tbl>
    <w:p>
      <w:pPr>
        <w:pStyle w:val="BodyText"/>
      </w:pPr>
      <w:r>
        <w:rPr>
          <w:bCs/>
          <w:b/>
        </w:rPr>
        <w:t xml:space="preserve">表现最优</w:t>
      </w:r>
      <w:r>
        <w:t xml:space="preserve">：菠萝、鸭梨的 MAE 和 MSE 均极低，说明预测值与真实值几乎重合，模型对这两类水果的价格趋势拟合极佳。</w:t>
      </w:r>
    </w:p>
    <w:p>
      <w:pPr>
        <w:pStyle w:val="BodyText"/>
      </w:pPr>
      <w:r>
        <w:rPr>
          <w:bCs/>
          <w:b/>
        </w:rPr>
        <w:t xml:space="preserve">表现较差</w:t>
      </w:r>
      <w:r>
        <w:t xml:space="preserve">：富士苹果的 MSE 最高（0.3604），可能因价格波动较大或数据噪声导致预测误差；西瓜的 MAE 和 MSE 也相对较高，需检查数据预处理或模型参数。</w:t>
      </w:r>
    </w:p>
    <w:bookmarkEnd w:id="20"/>
    <w:bookmarkStart w:id="21" w:name="图组分析"/>
    <w:p>
      <w:pPr>
        <w:pStyle w:val="Heading4"/>
      </w:pPr>
      <w:r>
        <w:rPr>
          <w:bCs/>
          <w:b/>
        </w:rPr>
        <w:t xml:space="preserve">图组分析</w:t>
      </w:r>
    </w:p>
    <w:p>
      <w:pPr>
        <w:pStyle w:val="FirstParagraph"/>
      </w:pPr>
      <w:r>
        <w:rPr>
          <w:bCs/>
          <w:b/>
        </w:rPr>
        <w:t xml:space="preserve">误差分布</w:t>
      </w:r>
      <w:r>
        <w:t xml:space="preserve">：</w:t>
      </w:r>
    </w:p>
    <w:p>
      <w:pPr>
        <w:pStyle w:val="BodyText"/>
      </w:pPr>
      <w:r>
        <w:t xml:space="preserve">菠萝、鸭梨的误差集中在 0 附近，分布狭窄（峰值高），说明预测误差小且稳定。</w:t>
      </w:r>
    </w:p>
    <w:p>
      <w:pPr>
        <w:pStyle w:val="BodyText"/>
      </w:pPr>
      <w:r>
        <w:t xml:space="preserve">富士苹果、西瓜的误差分布较宽，存在正负偏差，尤其是富士苹果可能有极端误差（尾部较长）。</w:t>
      </w:r>
    </w:p>
    <w:p>
      <w:pPr>
        <w:pStyle w:val="BodyText"/>
      </w:pPr>
      <w:r>
        <w:rPr>
          <w:bCs/>
          <w:b/>
        </w:rPr>
        <w:t xml:space="preserve">训练损失曲线</w:t>
      </w:r>
      <w:r>
        <w:t xml:space="preserve">：</w:t>
      </w:r>
    </w:p>
    <w:p>
      <w:pPr>
        <w:pStyle w:val="BodyText"/>
      </w:pPr>
      <w:r>
        <w:t xml:space="preserve">所有产品的损失曲线均呈下降趋势并趋于平稳，表明模型训练有效，其中鸭梨的损失收敛速度最快，波动最小。</w:t>
      </w:r>
    </w:p>
    <w:p>
      <w:pPr>
        <w:pStyle w:val="BodyText"/>
      </w:pPr>
      <w:r>
        <w:rPr>
          <w:bCs/>
          <w:b/>
        </w:rPr>
        <w:t xml:space="preserve">预测对比</w:t>
      </w:r>
      <w:r>
        <w:t xml:space="preserve">：</w:t>
      </w:r>
    </w:p>
    <w:p>
      <w:pPr>
        <w:pStyle w:val="BodyText"/>
      </w:pPr>
      <w:r>
        <w:t xml:space="preserve">菠萝、鸭梨的预测曲线与真实值高度重合，而富士苹果、西瓜在部分时间点偏离较大，可能受季节性价格波动影响。</w:t>
      </w:r>
    </w:p>
    <w:bookmarkEnd w:id="21"/>
    <w:bookmarkEnd w:id="22"/>
    <w:bookmarkStart w:id="25" w:name="二蔬菜类26-种产品"/>
    <w:p>
      <w:pPr>
        <w:pStyle w:val="Heading3"/>
      </w:pPr>
      <w:r>
        <w:rPr>
          <w:bCs/>
          <w:b/>
        </w:rPr>
        <w:t xml:space="preserve">二、蔬菜类（26 种产品）</w:t>
      </w:r>
    </w:p>
    <w:bookmarkStart w:id="23" w:name="数据表分析maemse-2"/>
    <w:p>
      <w:pPr>
        <w:pStyle w:val="Heading4"/>
      </w:pPr>
      <w:r>
        <w:rPr>
          <w:bCs/>
          <w:b/>
        </w:rPr>
        <w:t xml:space="preserve">数据表分析（MAE/MSE）</w:t>
      </w:r>
    </w:p>
    <w:p>
      <w:pPr>
        <w:pStyle w:val="FirstParagraph"/>
      </w:pP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产品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洋白菜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0.0645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0.0042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土豆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大白菜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豆角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平菇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生姜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0.3663</w:t>
            </w:r>
          </w:p>
        </w:tc>
      </w:tr>
    </w:tbl>
    <w:p>
      <w:pPr>
        <w:pStyle w:val="BodyText"/>
      </w:pPr>
      <w:r>
        <w:rPr>
          <w:bCs/>
          <w:b/>
        </w:rPr>
        <w:t xml:space="preserve">表现最优</w:t>
      </w:r>
      <w:r>
        <w:t xml:space="preserve">：洋白菜、土豆、大白菜的误差极小，说明模型对基础蔬菜价格的预测精度高，可能因数据规律性强（如稳定的供需关系）。</w:t>
      </w:r>
    </w:p>
    <w:p>
      <w:pPr>
        <w:pStyle w:val="BodyText"/>
      </w:pPr>
      <w:r>
        <w:rPr>
          <w:bCs/>
          <w:b/>
        </w:rPr>
        <w:t xml:space="preserve">表现较差</w:t>
      </w:r>
      <w:r>
        <w:t xml:space="preserve">：豆角的 MSE 最高（0.8141），MAE 也显著高于其他蔬菜，可能因豆角的价格受季节、产地影响较大，数据波动复杂；平菇、生姜的误差也较高，需关注数据特征是否完整（如是否包含天气、运输成本等变量）。</w:t>
      </w:r>
    </w:p>
    <w:bookmarkEnd w:id="23"/>
    <w:bookmarkStart w:id="24" w:name="图组分析-2"/>
    <w:p>
      <w:pPr>
        <w:pStyle w:val="Heading4"/>
      </w:pPr>
      <w:r>
        <w:rPr>
          <w:bCs/>
          <w:b/>
        </w:rPr>
        <w:t xml:space="preserve">图组分析</w:t>
      </w:r>
    </w:p>
    <w:p>
      <w:pPr>
        <w:pStyle w:val="FirstParagraph"/>
      </w:pPr>
      <w:r>
        <w:rPr>
          <w:bCs/>
          <w:b/>
        </w:rPr>
        <w:t xml:space="preserve">误差分布</w:t>
      </w:r>
      <w:r>
        <w:t xml:space="preserve">：</w:t>
      </w:r>
    </w:p>
    <w:p>
      <w:pPr>
        <w:pStyle w:val="BodyText"/>
      </w:pPr>
      <w:r>
        <w:t xml:space="preserve">洋白菜、土豆的误差分布集中在 0 附近，呈正态分布，预测稳定性强。</w:t>
      </w:r>
    </w:p>
    <w:p>
      <w:pPr>
        <w:pStyle w:val="BodyText"/>
      </w:pPr>
      <w:r>
        <w:t xml:space="preserve">豆角、平菇的误差分布较分散，存在多个峰值或长尾，反映价格波动的不确定性。</w:t>
      </w:r>
    </w:p>
    <w:p>
      <w:pPr>
        <w:pStyle w:val="BodyText"/>
      </w:pPr>
      <w:r>
        <w:rPr>
          <w:bCs/>
          <w:b/>
        </w:rPr>
        <w:t xml:space="preserve">训练损失曲线</w:t>
      </w:r>
      <w:r>
        <w:t xml:space="preserve">：</w:t>
      </w:r>
    </w:p>
    <w:p>
      <w:pPr>
        <w:pStyle w:val="BodyText"/>
      </w:pPr>
      <w:r>
        <w:t xml:space="preserve">大部分蔬菜的损失曲线在后期趋于平稳，但豆角、生姜的曲线可能波动较大，说明模型对高波动产品的拟合难度更高，需增加训练数据或调整模型复杂度（如使用 LSTM + 注意力机制）。</w:t>
      </w:r>
    </w:p>
    <w:p>
      <w:pPr>
        <w:pStyle w:val="BodyText"/>
      </w:pPr>
      <w:r>
        <w:rPr>
          <w:bCs/>
          <w:b/>
        </w:rPr>
        <w:t xml:space="preserve">预测对比</w:t>
      </w:r>
      <w:r>
        <w:t xml:space="preserve">：</w:t>
      </w:r>
    </w:p>
    <w:p>
      <w:pPr>
        <w:pStyle w:val="BodyText"/>
      </w:pPr>
      <w:r>
        <w:t xml:space="preserve">洋白菜等基础蔬菜的预测曲线紧密贴合真实值，而豆角的预测值在部分时段明显偏离，可能因突发因素（如产量骤减）未被模型捕获。</w:t>
      </w:r>
    </w:p>
    <w:bookmarkEnd w:id="24"/>
    <w:bookmarkEnd w:id="25"/>
    <w:bookmarkStart w:id="28" w:name="三肉类9-种产品"/>
    <w:p>
      <w:pPr>
        <w:pStyle w:val="Heading3"/>
      </w:pPr>
      <w:r>
        <w:rPr>
          <w:bCs/>
          <w:b/>
        </w:rPr>
        <w:t xml:space="preserve">三、肉类（9 种产品）</w:t>
      </w:r>
    </w:p>
    <w:bookmarkStart w:id="26" w:name="数据表分析maemse-3"/>
    <w:p>
      <w:pPr>
        <w:pStyle w:val="Heading4"/>
      </w:pPr>
      <w:r>
        <w:rPr>
          <w:bCs/>
          <w:b/>
        </w:rPr>
        <w:t xml:space="preserve">数据表分析（MAE/MSE）</w:t>
      </w:r>
    </w:p>
    <w:p>
      <w:pPr>
        <w:pStyle w:val="FirstParagraph"/>
      </w:pP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产品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活草鱼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活鲤鱼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白鲢活鱼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牛肉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1.3671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2.6749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猪肉 (白条猪)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羊肉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0.6880</w:t>
            </w:r>
          </w:p>
        </w:tc>
      </w:tr>
    </w:tbl>
    <w:p>
      <w:pPr>
        <w:pStyle w:val="BodyText"/>
      </w:pPr>
      <w:r>
        <w:rPr>
          <w:bCs/>
          <w:b/>
        </w:rPr>
        <w:t xml:space="preserve">表现最优</w:t>
      </w:r>
      <w:r>
        <w:t xml:space="preserve">：活鱼（草鱼、鲤鱼、白鲢）的 MAE 和 MSE 较低，可能因活体水产品价格受市场供需影响较稳定，数据规律性强。</w:t>
      </w:r>
    </w:p>
    <w:p>
      <w:pPr>
        <w:pStyle w:val="BodyText"/>
      </w:pPr>
      <w:r>
        <w:rPr>
          <w:bCs/>
          <w:b/>
        </w:rPr>
        <w:t xml:space="preserve">表现较差</w:t>
      </w:r>
      <w:r>
        <w:t xml:space="preserve">：牛肉的 MAE 和 MSE 远高于其他肉类，可能因牛肉价格受养殖周期、市场政策（如进口限制）影响更大，模型难以捕捉长期趋势；羊肉的误差也较高，需检查是否存在数据缺失或异常值。</w:t>
      </w:r>
    </w:p>
    <w:bookmarkEnd w:id="26"/>
    <w:bookmarkStart w:id="27" w:name="图组分析-3"/>
    <w:p>
      <w:pPr>
        <w:pStyle w:val="Heading4"/>
      </w:pPr>
      <w:r>
        <w:rPr>
          <w:bCs/>
          <w:b/>
        </w:rPr>
        <w:t xml:space="preserve">图组分析</w:t>
      </w:r>
    </w:p>
    <w:p>
      <w:pPr>
        <w:pStyle w:val="FirstParagraph"/>
      </w:pPr>
      <w:r>
        <w:rPr>
          <w:bCs/>
          <w:b/>
        </w:rPr>
        <w:t xml:space="preserve">误差分布</w:t>
      </w:r>
      <w:r>
        <w:t xml:space="preserve">：</w:t>
      </w:r>
    </w:p>
    <w:p>
      <w:pPr>
        <w:pStyle w:val="BodyText"/>
      </w:pPr>
      <w:r>
        <w:t xml:space="preserve">活鱼的误差分布集中在 0 附近，而牛肉的误差分布范围极广（正负偏差大），存在多个峰值，反映价格波动的复杂性。</w:t>
      </w:r>
    </w:p>
    <w:p>
      <w:pPr>
        <w:pStyle w:val="BodyText"/>
      </w:pPr>
      <w:r>
        <w:rPr>
          <w:bCs/>
          <w:b/>
        </w:rPr>
        <w:t xml:space="preserve">训练损失曲线</w:t>
      </w:r>
      <w:r>
        <w:t xml:space="preserve">：</w:t>
      </w:r>
    </w:p>
    <w:p>
      <w:pPr>
        <w:pStyle w:val="BodyText"/>
      </w:pPr>
      <w:r>
        <w:t xml:space="preserve">活鱼的损失曲线快速收敛且平稳，而牛肉的损失曲线在后期仍有波动，说明模型对牛肉价格的拟合未完全收敛，可能需要增加训练时长或优化模型结构。</w:t>
      </w:r>
    </w:p>
    <w:p>
      <w:pPr>
        <w:pStyle w:val="BodyText"/>
      </w:pPr>
      <w:r>
        <w:rPr>
          <w:bCs/>
          <w:b/>
        </w:rPr>
        <w:t xml:space="preserve">预测对比</w:t>
      </w:r>
      <w:r>
        <w:t xml:space="preserve">：</w:t>
      </w:r>
    </w:p>
    <w:p>
      <w:pPr>
        <w:pStyle w:val="BodyText"/>
      </w:pPr>
      <w:r>
        <w:t xml:space="preserve">活鱼的预测值与真实值基本吻合，而牛肉的预测曲线在多数时段明显偏离，尤其是价格大幅上涨或下跌时，模型未能有效捕捉拐点。</w:t>
      </w:r>
    </w:p>
    <w:bookmarkEnd w:id="27"/>
    <w:bookmarkEnd w:id="28"/>
    <w:bookmarkStart w:id="29" w:name="四总结与建议"/>
    <w:p>
      <w:pPr>
        <w:pStyle w:val="Heading3"/>
      </w:pPr>
      <w:r>
        <w:rPr>
          <w:bCs/>
          <w:b/>
        </w:rPr>
        <w:t xml:space="preserve">四、总结与建议</w:t>
      </w:r>
    </w:p>
    <w:p>
      <w:pPr>
        <w:pStyle w:val="FirstParagraph"/>
      </w:pPr>
      <w:r>
        <w:rPr>
          <w:bCs/>
          <w:b/>
        </w:rPr>
        <w:t xml:space="preserve">模型效果差异原因</w:t>
      </w:r>
      <w:r>
        <w:t xml:space="preserve">：</w:t>
      </w:r>
    </w:p>
    <w:p>
      <w:pPr>
        <w:pStyle w:val="BodyText"/>
      </w:pPr>
      <w:r>
        <w:rPr>
          <w:bCs/>
          <w:b/>
        </w:rPr>
        <w:t xml:space="preserve">数据特征</w:t>
      </w:r>
      <w:r>
        <w:t xml:space="preserve">：价格波动小、规律性强的产品（如洋白菜、鸭梨）预测精度高；受季节、政策影响大的产品（如牛肉、豆角）误差较高。</w:t>
      </w:r>
    </w:p>
    <w:p>
      <w:pPr>
        <w:pStyle w:val="BodyText"/>
      </w:pPr>
      <w:r>
        <w:rPr>
          <w:bCs/>
          <w:b/>
        </w:rPr>
        <w:t xml:space="preserve">模型适配</w:t>
      </w:r>
      <w:r>
        <w:t xml:space="preserve">：对高波动产品，可尝试引入更多外部数据（如天气、政策文件）或使用更复杂的模型（如 Transformer）提升泛化能力。</w:t>
      </w:r>
    </w:p>
    <w:p>
      <w:pPr>
        <w:pStyle w:val="BodyText"/>
      </w:pPr>
      <w:r>
        <w:rPr>
          <w:bCs/>
          <w:b/>
        </w:rPr>
        <w:t xml:space="preserve">图组布局优化</w:t>
      </w:r>
      <w:r>
        <w:t xml:space="preserve">：</w:t>
      </w:r>
    </w:p>
    <w:p>
      <w:pPr>
        <w:pStyle w:val="BodyText"/>
      </w:pPr>
      <w:r>
        <w:t xml:space="preserve">水果类（6 种）采用 2×3 布局，肉类（9 种）采用 3×3 正方形布局，蔬菜类（26 种）采用 5×6 布局，确保图片布满且视觉整齐，便于对比分析。</w:t>
      </w:r>
    </w:p>
    <w:p>
      <w:pPr>
        <w:pStyle w:val="BodyText"/>
      </w:pPr>
      <w:r>
        <w:rPr>
          <w:bCs/>
          <w:b/>
        </w:rPr>
        <w:t xml:space="preserve">后续工作重点</w:t>
      </w:r>
      <w:r>
        <w:t xml:space="preserve">：</w:t>
      </w:r>
    </w:p>
    <w:p>
      <w:pPr>
        <w:pStyle w:val="BodyText"/>
      </w:pPr>
      <w:r>
        <w:t xml:space="preserve">针对高误差产品（如牛肉、豆角、富士苹果），检查数据质量（填补缺失值、处理异常值），调整模型超参数（如增大 SEQ_LEN 捕捉长期趋势），或增加数据增强策略。</w:t>
      </w:r>
    </w:p>
    <w:p>
      <w:pPr>
        <w:pStyle w:val="BodyText"/>
      </w:pPr>
      <w:r>
        <w:t xml:space="preserve">通过结合数据表的量化指标和图组的可视化分析，可清晰定位模型优势与不足，为后续优化提供明确方向。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2025-04-15T11:25:58Z</dcterms:created>
  <dcterms:modified xsi:type="dcterms:W3CDTF">2025-04-15T11:25:58Z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