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F66" w:rsidRPr="00E45F66" w:rsidRDefault="00E45F66" w:rsidP="00E45F66">
      <w:pPr>
        <w:jc w:val="center"/>
        <w:rPr>
          <w:sz w:val="32"/>
          <w:szCs w:val="32"/>
        </w:rPr>
      </w:pPr>
      <w:proofErr w:type="spellStart"/>
      <w:r w:rsidRPr="00E45F66">
        <w:rPr>
          <w:sz w:val="32"/>
          <w:szCs w:val="32"/>
        </w:rPr>
        <w:t>VisiLaw</w:t>
      </w:r>
      <w:proofErr w:type="spellEnd"/>
      <w:r w:rsidRPr="00E45F66">
        <w:rPr>
          <w:sz w:val="32"/>
          <w:szCs w:val="32"/>
        </w:rPr>
        <w:t xml:space="preserve"> Website</w:t>
      </w:r>
    </w:p>
    <w:p w:rsidR="00E45F66" w:rsidRDefault="00E45F66"/>
    <w:p w:rsidR="00E45F66" w:rsidRDefault="00E45F66">
      <w:r w:rsidRPr="00E45F66">
        <w:t>Banner</w:t>
      </w:r>
      <w:r>
        <w:t xml:space="preserve"> text should be green, font should be Georgia</w:t>
      </w:r>
    </w:p>
    <w:p w:rsidR="00E45F66" w:rsidRPr="00E45F66" w:rsidRDefault="00E45F66"/>
    <w:p w:rsidR="002813BF" w:rsidRDefault="00D05948">
      <w:pPr>
        <w:rPr>
          <w:rFonts w:ascii="Georgia" w:hAnsi="Georgia"/>
          <w:sz w:val="72"/>
          <w:szCs w:val="72"/>
          <w:vertAlign w:val="superscript"/>
        </w:rPr>
      </w:pPr>
      <w:proofErr w:type="spellStart"/>
      <w:r w:rsidRPr="00D05948">
        <w:rPr>
          <w:rFonts w:ascii="Georgia" w:hAnsi="Georgia"/>
          <w:sz w:val="72"/>
          <w:szCs w:val="72"/>
        </w:rPr>
        <w:t>VisiLaw</w:t>
      </w:r>
      <w:proofErr w:type="spellEnd"/>
      <w:r w:rsidRPr="00D05948">
        <w:rPr>
          <w:rFonts w:ascii="Georgia" w:hAnsi="Georgia"/>
          <w:sz w:val="72"/>
          <w:szCs w:val="72"/>
          <w:vertAlign w:val="superscript"/>
        </w:rPr>
        <w:t>®</w:t>
      </w:r>
    </w:p>
    <w:p w:rsidR="00D05948" w:rsidRPr="00E45F66" w:rsidRDefault="00D05948">
      <w:pPr>
        <w:rPr>
          <w:rFonts w:ascii="Georgia" w:hAnsi="Georgia"/>
        </w:rPr>
      </w:pPr>
      <w:proofErr w:type="gramStart"/>
      <w:r w:rsidRPr="00E45F66">
        <w:rPr>
          <w:rFonts w:ascii="Georgia" w:hAnsi="Georgia"/>
        </w:rPr>
        <w:t>A patented system for marking statutes to make them easier to read.</w:t>
      </w:r>
      <w:proofErr w:type="gramEnd"/>
    </w:p>
    <w:p w:rsidR="00E45F66" w:rsidRDefault="00E45F66">
      <w:pPr>
        <w:rPr>
          <w:rFonts w:ascii="Georgia" w:hAnsi="Georgia"/>
          <w:sz w:val="32"/>
          <w:szCs w:val="32"/>
          <w:vertAlign w:val="superscript"/>
        </w:rPr>
      </w:pPr>
    </w:p>
    <w:p w:rsidR="00E45F66" w:rsidRPr="00E45F66" w:rsidRDefault="00E45F66">
      <w:pPr>
        <w:rPr>
          <w:rFonts w:ascii="Georgia" w:hAnsi="Georgia"/>
        </w:rPr>
      </w:pPr>
      <w:proofErr w:type="spellStart"/>
      <w:r w:rsidRPr="00E45F66">
        <w:rPr>
          <w:rFonts w:ascii="Georgia" w:hAnsi="Georgia"/>
        </w:rPr>
        <w:t>VisiLaw</w:t>
      </w:r>
      <w:proofErr w:type="spellEnd"/>
      <w:r w:rsidRPr="00E45F66">
        <w:rPr>
          <w:rFonts w:ascii="Georgia" w:hAnsi="Georgia"/>
        </w:rPr>
        <w:t xml:space="preserve"> publications:</w:t>
      </w:r>
    </w:p>
    <w:p w:rsidR="00E45F66" w:rsidRPr="00E45F66" w:rsidRDefault="00E45F66" w:rsidP="00E45F66">
      <w:pPr>
        <w:spacing w:before="120"/>
      </w:pPr>
      <w:r w:rsidRPr="00E45F66">
        <w:t xml:space="preserve">Lynn M. LoPucki &amp; Elizabeth Warren, Bankruptcy and Article 9 </w:t>
      </w:r>
      <w:r>
        <w:t xml:space="preserve">Statutory </w:t>
      </w:r>
      <w:r w:rsidRPr="00E45F66">
        <w:t xml:space="preserve">Supplement, </w:t>
      </w:r>
      <w:proofErr w:type="spellStart"/>
      <w:r w:rsidRPr="00E45F66">
        <w:t>VisiLaw</w:t>
      </w:r>
      <w:proofErr w:type="spellEnd"/>
      <w:r w:rsidRPr="00E45F66">
        <w:t xml:space="preserve"> Marked Version (Wolters Kluwer, 2012-13, 2013-14, and 2014 editions)</w:t>
      </w:r>
    </w:p>
    <w:p w:rsidR="00E45F66" w:rsidRDefault="00E45F66" w:rsidP="00E45F66">
      <w:pPr>
        <w:spacing w:before="120"/>
      </w:pPr>
      <w:r w:rsidRPr="00E45F66">
        <w:t xml:space="preserve">Lynn M. LoPucki, The </w:t>
      </w:r>
      <w:r w:rsidRPr="00E45F66">
        <w:rPr>
          <w:i/>
        </w:rPr>
        <w:t>Readable</w:t>
      </w:r>
      <w:r w:rsidRPr="00E45F66">
        <w:t xml:space="preserve"> Delaware General Corporation Law (</w:t>
      </w:r>
      <w:proofErr w:type="spellStart"/>
      <w:r w:rsidRPr="00E45F66">
        <w:t>VisiLaw</w:t>
      </w:r>
      <w:proofErr w:type="spellEnd"/>
      <w:r w:rsidRPr="00E45F66">
        <w:t xml:space="preserve"> Publishing 2013-14 and 2014-15 editions).</w:t>
      </w:r>
    </w:p>
    <w:p w:rsidR="00E45F66" w:rsidRDefault="00E45F66" w:rsidP="00E45F66">
      <w:pPr>
        <w:spacing w:before="120"/>
      </w:pPr>
    </w:p>
    <w:p w:rsidR="00E45F66" w:rsidRDefault="00E45F66" w:rsidP="00E45F66">
      <w:pPr>
        <w:spacing w:before="120"/>
      </w:pPr>
      <w:r>
        <w:t xml:space="preserve">The </w:t>
      </w:r>
      <w:r w:rsidRPr="00E45F66">
        <w:rPr>
          <w:i/>
        </w:rPr>
        <w:t>Readable</w:t>
      </w:r>
      <w:r>
        <w:t xml:space="preserve"> Delaware General Corporation Law should appear on the website in html.  Treat the three parts as separate documents:</w:t>
      </w:r>
    </w:p>
    <w:p w:rsidR="00E45F66" w:rsidRDefault="00E45F66" w:rsidP="002D2647">
      <w:pPr>
        <w:spacing w:before="120"/>
        <w:ind w:left="720"/>
      </w:pPr>
      <w:r>
        <w:t xml:space="preserve">1. Key to </w:t>
      </w:r>
      <w:proofErr w:type="spellStart"/>
      <w:r>
        <w:t>VisiLaw</w:t>
      </w:r>
      <w:proofErr w:type="spellEnd"/>
      <w:r>
        <w:t xml:space="preserve"> markings (below)</w:t>
      </w:r>
    </w:p>
    <w:p w:rsidR="00E45F66" w:rsidRDefault="00E45F66" w:rsidP="002D2647">
      <w:pPr>
        <w:spacing w:before="120"/>
        <w:ind w:left="720"/>
      </w:pPr>
      <w:r>
        <w:t xml:space="preserve">2. Introduction to the </w:t>
      </w:r>
      <w:proofErr w:type="spellStart"/>
      <w:r>
        <w:t>VisiLaw</w:t>
      </w:r>
      <w:proofErr w:type="spellEnd"/>
      <w:r>
        <w:t xml:space="preserve"> Marking System (below) (use this as the text for the home page).</w:t>
      </w:r>
    </w:p>
    <w:p w:rsidR="00E45F66" w:rsidRDefault="00E45F66" w:rsidP="002D2647">
      <w:pPr>
        <w:spacing w:before="120"/>
        <w:ind w:left="720"/>
      </w:pPr>
      <w:r>
        <w:t>3. Table of contents and statute, from the published manuscript</w:t>
      </w:r>
      <w:r w:rsidR="003B6339">
        <w:t>.  The table of contents should click through to the particular sections.</w:t>
      </w:r>
      <w:r>
        <w:t xml:space="preserve">  </w:t>
      </w:r>
    </w:p>
    <w:p w:rsidR="00E45F66" w:rsidRDefault="003B6339" w:rsidP="00E45F66">
      <w:pPr>
        <w:spacing w:before="120"/>
      </w:pPr>
      <w:r>
        <w:t>Website u</w:t>
      </w:r>
      <w:r w:rsidR="00E45F66">
        <w:t>sers should be able to click through to SSRN to download a free pdf.</w:t>
      </w:r>
      <w:r w:rsidR="00E45F66" w:rsidRPr="00E45F66">
        <w:t xml:space="preserve"> </w:t>
      </w:r>
      <w:hyperlink r:id="rId6" w:history="1">
        <w:r w:rsidR="00E45F66" w:rsidRPr="005B0F60">
          <w:rPr>
            <w:rStyle w:val="Hyperlink"/>
          </w:rPr>
          <w:t>http://papers.ssrn.com/sol3/papers.cfm?abstract_id=2509539</w:t>
        </w:r>
      </w:hyperlink>
      <w:r w:rsidR="00E45F66">
        <w:t xml:space="preserve">  I want </w:t>
      </w:r>
      <w:proofErr w:type="gramStart"/>
      <w:r w:rsidR="00E45F66">
        <w:t>the downloads</w:t>
      </w:r>
      <w:proofErr w:type="gramEnd"/>
      <w:r w:rsidR="00E45F66">
        <w:t xml:space="preserve"> to go through SSRN because SSRN counts, credits me, and generates more downloads.</w:t>
      </w:r>
    </w:p>
    <w:p w:rsidR="00E45F66" w:rsidRDefault="00E45F66" w:rsidP="00E45F66">
      <w:pPr>
        <w:spacing w:before="120"/>
      </w:pPr>
      <w:r>
        <w:t xml:space="preserve">The </w:t>
      </w:r>
      <w:r w:rsidRPr="00E45F66">
        <w:rPr>
          <w:i/>
        </w:rPr>
        <w:t>Readable</w:t>
      </w:r>
      <w:r>
        <w:t xml:space="preserve"> Delaware General Corporation Law</w:t>
      </w:r>
      <w:r>
        <w:t xml:space="preserve"> is available in hard copy through Amazon for $8.00.  </w:t>
      </w:r>
      <w:hyperlink r:id="rId7" w:history="1">
        <w:r w:rsidRPr="005B0F60">
          <w:rPr>
            <w:rStyle w:val="Hyperlink"/>
          </w:rPr>
          <w:t>http://www.amazon.com/The-Readable-Delaware-General-Corporation/dp/1500526339</w:t>
        </w:r>
      </w:hyperlink>
    </w:p>
    <w:p w:rsidR="002D2647" w:rsidRDefault="002D2647" w:rsidP="00E45F66">
      <w:pPr>
        <w:spacing w:before="120"/>
      </w:pPr>
      <w:r>
        <w:t>Offer a download of the patent in pdf.</w:t>
      </w:r>
      <w:bookmarkStart w:id="0" w:name="_GoBack"/>
      <w:bookmarkEnd w:id="0"/>
    </w:p>
    <w:p w:rsidR="00E45F66" w:rsidRDefault="00E45F66" w:rsidP="00E45F66">
      <w:pPr>
        <w:spacing w:before="120"/>
      </w:pPr>
    </w:p>
    <w:p w:rsidR="00E45F66" w:rsidRDefault="00E45F66" w:rsidP="00E45F66">
      <w:pPr>
        <w:spacing w:before="120"/>
      </w:pPr>
    </w:p>
    <w:p w:rsidR="00E45F66" w:rsidRDefault="00E45F66" w:rsidP="00E45F66">
      <w:pPr>
        <w:spacing w:before="120"/>
      </w:pPr>
    </w:p>
    <w:p w:rsidR="00E45F66" w:rsidRPr="00E45F66" w:rsidRDefault="00E45F66" w:rsidP="00E45F66">
      <w:pPr>
        <w:spacing w:before="120"/>
      </w:pPr>
    </w:p>
    <w:p w:rsidR="00E45F66" w:rsidRDefault="00E45F66" w:rsidP="00E45F66">
      <w:pPr>
        <w:spacing w:before="120"/>
        <w:rPr>
          <w:vertAlign w:val="superscript"/>
        </w:rPr>
      </w:pPr>
    </w:p>
    <w:p w:rsidR="00D05948" w:rsidRDefault="00D05948" w:rsidP="00E45F66">
      <w:pPr>
        <w:spacing w:before="120"/>
        <w:rPr>
          <w:vertAlign w:val="superscript"/>
        </w:rPr>
      </w:pPr>
      <w:r>
        <w:rPr>
          <w:vertAlign w:val="superscript"/>
        </w:rPr>
        <w:br w:type="page"/>
      </w:r>
    </w:p>
    <w:p w:rsidR="00D05948" w:rsidRPr="00D05948" w:rsidRDefault="00D05948" w:rsidP="00D05948">
      <w:pPr>
        <w:jc w:val="center"/>
        <w:rPr>
          <w:b/>
          <w:sz w:val="44"/>
          <w:szCs w:val="44"/>
          <w:vertAlign w:val="superscript"/>
        </w:rPr>
      </w:pPr>
      <w:r w:rsidRPr="00D05948">
        <w:rPr>
          <w:b/>
          <w:sz w:val="44"/>
          <w:szCs w:val="44"/>
          <w:vertAlign w:val="superscript"/>
        </w:rPr>
        <w:lastRenderedPageBreak/>
        <w:t xml:space="preserve">Key to </w:t>
      </w:r>
      <w:proofErr w:type="spellStart"/>
      <w:r w:rsidRPr="00D05948">
        <w:rPr>
          <w:b/>
          <w:sz w:val="44"/>
          <w:szCs w:val="44"/>
          <w:vertAlign w:val="superscript"/>
        </w:rPr>
        <w:t>VisiLaw</w:t>
      </w:r>
      <w:proofErr w:type="spellEnd"/>
      <w:r w:rsidRPr="00D05948">
        <w:rPr>
          <w:b/>
          <w:sz w:val="44"/>
          <w:szCs w:val="44"/>
          <w:vertAlign w:val="superscript"/>
        </w:rPr>
        <w:t xml:space="preserve"> Markings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60"/>
        <w:gridCol w:w="5148"/>
      </w:tblGrid>
      <w:tr w:rsidR="00D05948" w:rsidRPr="00331657" w:rsidTr="00824E39">
        <w:tc>
          <w:tcPr>
            <w:tcW w:w="1548" w:type="dxa"/>
            <w:shd w:val="clear" w:color="auto" w:fill="D9D9D9"/>
          </w:tcPr>
          <w:p w:rsidR="00D05948" w:rsidRPr="00331657" w:rsidRDefault="00D05948" w:rsidP="00824E39">
            <w:r w:rsidRPr="00331657">
              <w:rPr>
                <w:szCs w:val="22"/>
              </w:rPr>
              <w:t>Marking</w:t>
            </w:r>
          </w:p>
        </w:tc>
        <w:tc>
          <w:tcPr>
            <w:tcW w:w="2160" w:type="dxa"/>
            <w:shd w:val="clear" w:color="auto" w:fill="D9D9D9"/>
          </w:tcPr>
          <w:p w:rsidR="00D05948" w:rsidRPr="00331657" w:rsidRDefault="00D05948" w:rsidP="00824E39">
            <w:r w:rsidRPr="00331657">
              <w:rPr>
                <w:szCs w:val="22"/>
              </w:rPr>
              <w:t>Name</w:t>
            </w:r>
          </w:p>
        </w:tc>
        <w:tc>
          <w:tcPr>
            <w:tcW w:w="5148" w:type="dxa"/>
            <w:shd w:val="clear" w:color="auto" w:fill="D9D9D9"/>
          </w:tcPr>
          <w:p w:rsidR="00D05948" w:rsidRPr="00331657" w:rsidRDefault="00D05948" w:rsidP="00824E39">
            <w:r w:rsidRPr="00331657">
              <w:rPr>
                <w:szCs w:val="22"/>
              </w:rPr>
              <w:t>Description</w:t>
            </w:r>
          </w:p>
        </w:tc>
      </w:tr>
      <w:tr w:rsidR="00D05948" w:rsidRPr="00331657" w:rsidTr="00824E39">
        <w:tc>
          <w:tcPr>
            <w:tcW w:w="1548" w:type="dxa"/>
            <w:tcBorders>
              <w:bottom w:val="single" w:sz="4" w:space="0" w:color="auto"/>
            </w:tcBorders>
            <w:vAlign w:val="center"/>
          </w:tcPr>
          <w:p w:rsidR="00D05948" w:rsidRPr="00331657" w:rsidRDefault="00D05948" w:rsidP="00824E39">
            <w:pPr>
              <w:spacing w:before="120" w:line="264" w:lineRule="auto"/>
              <w:jc w:val="center"/>
              <w:rPr>
                <w:rStyle w:val="LL-Chr--EndofSentencesquaresymbwinding"/>
              </w:rPr>
            </w:pPr>
            <w:r w:rsidRPr="00331657">
              <w:rPr>
                <w:rStyle w:val="LL-Chr--EndofSentencesquaresymbwinding"/>
              </w:rPr>
              <w:sym w:font="Wingdings 2" w:char="F0A2"/>
            </w:r>
          </w:p>
        </w:tc>
        <w:tc>
          <w:tcPr>
            <w:tcW w:w="2160" w:type="dxa"/>
            <w:tcBorders>
              <w:bottom w:val="single" w:sz="4" w:space="0" w:color="auto"/>
            </w:tcBorders>
            <w:vAlign w:val="center"/>
          </w:tcPr>
          <w:p w:rsidR="00D05948" w:rsidRPr="00331657" w:rsidRDefault="00D05948" w:rsidP="00824E39">
            <w:pPr>
              <w:spacing w:before="120" w:line="264" w:lineRule="auto"/>
            </w:pPr>
            <w:r w:rsidRPr="00331657">
              <w:rPr>
                <w:szCs w:val="22"/>
              </w:rPr>
              <w:t>Sentence</w:t>
            </w:r>
          </w:p>
        </w:tc>
        <w:tc>
          <w:tcPr>
            <w:tcW w:w="5148" w:type="dxa"/>
            <w:tcBorders>
              <w:bottom w:val="single" w:sz="4" w:space="0" w:color="auto"/>
            </w:tcBorders>
          </w:tcPr>
          <w:p w:rsidR="00D05948" w:rsidRPr="00331657" w:rsidRDefault="00D05948" w:rsidP="00824E39">
            <w:pPr>
              <w:spacing w:before="120" w:line="264" w:lineRule="auto"/>
            </w:pPr>
            <w:r>
              <w:rPr>
                <w:szCs w:val="22"/>
              </w:rPr>
              <w:t>The mark i</w:t>
            </w:r>
            <w:r w:rsidRPr="00331657">
              <w:rPr>
                <w:szCs w:val="22"/>
              </w:rPr>
              <w:t xml:space="preserve">ndicates the end of a sentence that is not also the end of a </w:t>
            </w:r>
            <w:r>
              <w:rPr>
                <w:szCs w:val="22"/>
              </w:rPr>
              <w:t>paragraph</w:t>
            </w:r>
            <w:r w:rsidRPr="00331657">
              <w:rPr>
                <w:szCs w:val="22"/>
              </w:rPr>
              <w:t>.</w:t>
            </w:r>
          </w:p>
        </w:tc>
      </w:tr>
      <w:tr w:rsidR="00D05948" w:rsidRPr="00331657" w:rsidTr="00824E39">
        <w:tc>
          <w:tcPr>
            <w:tcW w:w="8856" w:type="dxa"/>
            <w:gridSpan w:val="3"/>
            <w:shd w:val="clear" w:color="auto" w:fill="F2F2F2" w:themeFill="background1" w:themeFillShade="F2"/>
            <w:vAlign w:val="center"/>
          </w:tcPr>
          <w:p w:rsidR="00D05948" w:rsidRPr="00331657" w:rsidRDefault="00D05948" w:rsidP="00824E39">
            <w:pPr>
              <w:rPr>
                <w:szCs w:val="22"/>
              </w:rPr>
            </w:pPr>
            <w:r w:rsidRPr="00757EFA">
              <w:t>Primary sentence structure</w:t>
            </w:r>
          </w:p>
        </w:tc>
      </w:tr>
      <w:tr w:rsidR="00D05948" w:rsidRPr="00331657" w:rsidTr="00824E39">
        <w:tc>
          <w:tcPr>
            <w:tcW w:w="1548" w:type="dxa"/>
            <w:vAlign w:val="center"/>
          </w:tcPr>
          <w:p w:rsidR="00D05948" w:rsidRPr="00331657" w:rsidRDefault="00D05948" w:rsidP="00824E39">
            <w:pPr>
              <w:spacing w:before="120" w:line="264" w:lineRule="auto"/>
              <w:jc w:val="center"/>
            </w:pPr>
            <w:r w:rsidRPr="00331657">
              <w:rPr>
                <w:rStyle w:val="LL-Chr--PrimaryExceptionswinding"/>
              </w:rPr>
              <w:sym w:font="Wingdings 2" w:char="F0BA"/>
            </w:r>
            <w:r w:rsidRPr="00331657">
              <w:rPr>
                <w:szCs w:val="22"/>
              </w:rPr>
              <w:t>text</w:t>
            </w:r>
            <w:r w:rsidRPr="00331657">
              <w:rPr>
                <w:rStyle w:val="LL-Chr--PrimaryExceptionswinding"/>
              </w:rPr>
              <w:sym w:font="Wingdings 2" w:char="F0BB"/>
            </w:r>
          </w:p>
        </w:tc>
        <w:tc>
          <w:tcPr>
            <w:tcW w:w="2160" w:type="dxa"/>
            <w:vAlign w:val="center"/>
          </w:tcPr>
          <w:p w:rsidR="00D05948" w:rsidRPr="00331657" w:rsidRDefault="00D05948" w:rsidP="00824E39">
            <w:pPr>
              <w:spacing w:before="120" w:line="264" w:lineRule="auto"/>
            </w:pPr>
            <w:r w:rsidRPr="00331657">
              <w:rPr>
                <w:szCs w:val="22"/>
              </w:rPr>
              <w:t>Primary exception</w:t>
            </w:r>
          </w:p>
        </w:tc>
        <w:tc>
          <w:tcPr>
            <w:tcW w:w="5148" w:type="dxa"/>
          </w:tcPr>
          <w:p w:rsidR="00D05948" w:rsidRPr="00331657" w:rsidRDefault="00D05948" w:rsidP="00824E39">
            <w:pPr>
              <w:spacing w:before="120" w:line="264" w:lineRule="auto"/>
            </w:pPr>
            <w:r>
              <w:rPr>
                <w:szCs w:val="22"/>
              </w:rPr>
              <w:t xml:space="preserve">The marks frame an </w:t>
            </w:r>
            <w:r w:rsidRPr="00331657">
              <w:rPr>
                <w:szCs w:val="22"/>
              </w:rPr>
              <w:t xml:space="preserve">exception to the </w:t>
            </w:r>
            <w:r>
              <w:rPr>
                <w:szCs w:val="22"/>
              </w:rPr>
              <w:t>remainder of the</w:t>
            </w:r>
            <w:r w:rsidRPr="00331657">
              <w:rPr>
                <w:szCs w:val="22"/>
              </w:rPr>
              <w:t xml:space="preserve"> sentence.</w:t>
            </w:r>
          </w:p>
        </w:tc>
      </w:tr>
      <w:tr w:rsidR="00D05948" w:rsidRPr="00331657" w:rsidTr="00824E39">
        <w:tc>
          <w:tcPr>
            <w:tcW w:w="1548" w:type="dxa"/>
            <w:vAlign w:val="center"/>
          </w:tcPr>
          <w:p w:rsidR="00D05948" w:rsidRPr="00331657" w:rsidRDefault="00D05948" w:rsidP="00824E39">
            <w:pPr>
              <w:spacing w:before="120" w:line="264" w:lineRule="auto"/>
              <w:jc w:val="center"/>
            </w:pPr>
            <w:r w:rsidRPr="00331657">
              <w:rPr>
                <w:rStyle w:val="LL-Chr--PrimaryIf-Thenred"/>
              </w:rPr>
              <w:t>If</w:t>
            </w:r>
            <w:r w:rsidRPr="00331657">
              <w:rPr>
                <w:szCs w:val="22"/>
              </w:rPr>
              <w:t xml:space="preserve"> text </w:t>
            </w:r>
            <w:r w:rsidRPr="00331657">
              <w:rPr>
                <w:rStyle w:val="LL-Chr--PrimaryIf-ThenredBRACKETS"/>
              </w:rPr>
              <w:t>[then]</w:t>
            </w:r>
          </w:p>
        </w:tc>
        <w:tc>
          <w:tcPr>
            <w:tcW w:w="2160" w:type="dxa"/>
            <w:vAlign w:val="center"/>
          </w:tcPr>
          <w:p w:rsidR="00D05948" w:rsidRPr="00331657" w:rsidRDefault="00D05948" w:rsidP="00824E39">
            <w:pPr>
              <w:spacing w:before="120" w:line="264" w:lineRule="auto"/>
              <w:jc w:val="both"/>
            </w:pPr>
            <w:r w:rsidRPr="00331657">
              <w:rPr>
                <w:szCs w:val="22"/>
              </w:rPr>
              <w:t>Primary if-then</w:t>
            </w:r>
          </w:p>
        </w:tc>
        <w:tc>
          <w:tcPr>
            <w:tcW w:w="5148" w:type="dxa"/>
          </w:tcPr>
          <w:p w:rsidR="00D05948" w:rsidRPr="00331657" w:rsidRDefault="00D05948" w:rsidP="00824E39">
            <w:pPr>
              <w:spacing w:before="120" w:line="264" w:lineRule="auto"/>
            </w:pPr>
            <w:r>
              <w:rPr>
                <w:szCs w:val="22"/>
              </w:rPr>
              <w:t>The marks indicate</w:t>
            </w:r>
            <w:r w:rsidRPr="00331657">
              <w:rPr>
                <w:szCs w:val="22"/>
              </w:rPr>
              <w:t xml:space="preserve"> the primary if-then structure of the sentence, thus dividing the sentence into separately</w:t>
            </w:r>
            <w:r>
              <w:rPr>
                <w:szCs w:val="22"/>
              </w:rPr>
              <w:t xml:space="preserve"> </w:t>
            </w:r>
            <w:r w:rsidRPr="00331657">
              <w:rPr>
                <w:szCs w:val="22"/>
              </w:rPr>
              <w:t>analyzable parts.</w:t>
            </w:r>
          </w:p>
        </w:tc>
      </w:tr>
      <w:tr w:rsidR="00D05948" w:rsidRPr="00331657" w:rsidTr="00824E39">
        <w:tc>
          <w:tcPr>
            <w:tcW w:w="1548" w:type="dxa"/>
            <w:vAlign w:val="center"/>
          </w:tcPr>
          <w:p w:rsidR="00D05948" w:rsidRPr="00331657" w:rsidRDefault="00D05948" w:rsidP="00824E39">
            <w:pPr>
              <w:spacing w:before="120" w:line="264" w:lineRule="auto"/>
              <w:jc w:val="center"/>
              <w:rPr>
                <w:rStyle w:val="LL-Chr--PrimaryConjunction51"/>
              </w:rPr>
            </w:pPr>
            <w:r w:rsidRPr="00331657">
              <w:rPr>
                <w:rStyle w:val="LL-Chr--PrimaryConjunction51"/>
              </w:rPr>
              <w:t>and</w:t>
            </w:r>
          </w:p>
        </w:tc>
        <w:tc>
          <w:tcPr>
            <w:tcW w:w="2160" w:type="dxa"/>
            <w:vAlign w:val="center"/>
          </w:tcPr>
          <w:p w:rsidR="00D05948" w:rsidRPr="00331657" w:rsidRDefault="00D05948" w:rsidP="00824E39">
            <w:pPr>
              <w:spacing w:before="120" w:line="264" w:lineRule="auto"/>
            </w:pPr>
            <w:r w:rsidRPr="00331657">
              <w:rPr>
                <w:szCs w:val="22"/>
              </w:rPr>
              <w:t>Primary conjunction</w:t>
            </w:r>
          </w:p>
        </w:tc>
        <w:tc>
          <w:tcPr>
            <w:tcW w:w="5148" w:type="dxa"/>
          </w:tcPr>
          <w:p w:rsidR="00D05948" w:rsidRPr="00331657" w:rsidRDefault="00D05948" w:rsidP="00824E39">
            <w:pPr>
              <w:spacing w:before="120" w:line="264" w:lineRule="auto"/>
            </w:pPr>
            <w:r>
              <w:rPr>
                <w:szCs w:val="22"/>
              </w:rPr>
              <w:t>The marks identify a conjunction that indicates</w:t>
            </w:r>
            <w:r w:rsidRPr="00331657">
              <w:rPr>
                <w:szCs w:val="22"/>
              </w:rPr>
              <w:t xml:space="preserve"> the relationship between the major clauses in a sentence or between subsections in a sentence.</w:t>
            </w:r>
          </w:p>
        </w:tc>
      </w:tr>
      <w:tr w:rsidR="00D05948" w:rsidRPr="00331657" w:rsidTr="00824E39">
        <w:trPr>
          <w:trHeight w:val="1421"/>
        </w:trPr>
        <w:tc>
          <w:tcPr>
            <w:tcW w:w="1548" w:type="dxa"/>
            <w:tcBorders>
              <w:bottom w:val="single" w:sz="4" w:space="0" w:color="auto"/>
            </w:tcBorders>
            <w:vAlign w:val="center"/>
          </w:tcPr>
          <w:p w:rsidR="00D05948" w:rsidRPr="00331657" w:rsidRDefault="00D05948" w:rsidP="00824E39">
            <w:pPr>
              <w:shd w:val="clear" w:color="auto" w:fill="FFFFFF"/>
              <w:spacing w:before="120" w:line="264" w:lineRule="auto"/>
              <w:ind w:right="-108"/>
              <w:jc w:val="center"/>
              <w:rPr>
                <w:rStyle w:val="LL-Chr--SkeletalSentence"/>
              </w:rPr>
            </w:pPr>
            <w:r w:rsidRPr="00331657">
              <w:rPr>
                <w:rStyle w:val="LL-Chr--SkeletalSentence"/>
              </w:rPr>
              <w:t>Text</w:t>
            </w:r>
          </w:p>
        </w:tc>
        <w:tc>
          <w:tcPr>
            <w:tcW w:w="2160" w:type="dxa"/>
            <w:tcBorders>
              <w:bottom w:val="single" w:sz="4" w:space="0" w:color="auto"/>
            </w:tcBorders>
            <w:vAlign w:val="center"/>
          </w:tcPr>
          <w:p w:rsidR="00D05948" w:rsidRPr="00331657" w:rsidRDefault="00D05948" w:rsidP="00824E39">
            <w:pPr>
              <w:spacing w:before="120" w:line="264" w:lineRule="auto"/>
            </w:pPr>
            <w:r w:rsidRPr="00331657">
              <w:rPr>
                <w:szCs w:val="22"/>
              </w:rPr>
              <w:t>Skeletal sentence</w:t>
            </w:r>
          </w:p>
        </w:tc>
        <w:tc>
          <w:tcPr>
            <w:tcW w:w="5148" w:type="dxa"/>
            <w:tcBorders>
              <w:bottom w:val="single" w:sz="4" w:space="0" w:color="auto"/>
            </w:tcBorders>
          </w:tcPr>
          <w:p w:rsidR="00D05948" w:rsidRPr="00331657" w:rsidRDefault="00D05948" w:rsidP="00824E39">
            <w:pPr>
              <w:spacing w:before="120" w:line="264" w:lineRule="auto"/>
            </w:pPr>
            <w:r>
              <w:rPr>
                <w:szCs w:val="22"/>
              </w:rPr>
              <w:t>Underlining indicates</w:t>
            </w:r>
            <w:r w:rsidRPr="00331657">
              <w:rPr>
                <w:szCs w:val="22"/>
              </w:rPr>
              <w:t xml:space="preserve"> the main structure </w:t>
            </w:r>
            <w:r>
              <w:rPr>
                <w:szCs w:val="22"/>
              </w:rPr>
              <w:t>of independent and dependent clauses in the primary sentence structure</w:t>
            </w:r>
            <w:r w:rsidRPr="00331657">
              <w:rPr>
                <w:szCs w:val="22"/>
              </w:rPr>
              <w:t>.  Highlighting is of the subject, verb, direct object, and adjectives, and adverbs that directly modify any of them.</w:t>
            </w:r>
            <w:r>
              <w:rPr>
                <w:szCs w:val="22"/>
              </w:rPr>
              <w:t xml:space="preserve">  If there are more than one subjects, verbs, or direct objects, marking may be of one or all.</w:t>
            </w:r>
          </w:p>
        </w:tc>
      </w:tr>
      <w:tr w:rsidR="00D05948" w:rsidRPr="00331657" w:rsidTr="00824E39">
        <w:trPr>
          <w:trHeight w:val="350"/>
        </w:trPr>
        <w:tc>
          <w:tcPr>
            <w:tcW w:w="8856" w:type="dxa"/>
            <w:gridSpan w:val="3"/>
            <w:shd w:val="clear" w:color="auto" w:fill="F2F2F2" w:themeFill="background1" w:themeFillShade="F2"/>
            <w:vAlign w:val="center"/>
          </w:tcPr>
          <w:p w:rsidR="00D05948" w:rsidRPr="00331657" w:rsidRDefault="00D05948" w:rsidP="00824E39">
            <w:pPr>
              <w:rPr>
                <w:szCs w:val="22"/>
              </w:rPr>
            </w:pPr>
            <w:r>
              <w:rPr>
                <w:szCs w:val="22"/>
              </w:rPr>
              <w:t>Secondary sentence structure</w:t>
            </w:r>
          </w:p>
        </w:tc>
      </w:tr>
      <w:tr w:rsidR="00D05948" w:rsidRPr="00331657" w:rsidTr="00824E39">
        <w:tc>
          <w:tcPr>
            <w:tcW w:w="1548" w:type="dxa"/>
            <w:vAlign w:val="center"/>
          </w:tcPr>
          <w:p w:rsidR="00D05948" w:rsidRPr="00331657" w:rsidRDefault="00D05948" w:rsidP="00824E39">
            <w:pPr>
              <w:spacing w:before="120" w:line="264" w:lineRule="auto"/>
              <w:jc w:val="center"/>
            </w:pPr>
            <w:r w:rsidRPr="00331657">
              <w:rPr>
                <w:rStyle w:val="LL-Chr--SecondaryExceptionstriangle"/>
              </w:rPr>
              <w:sym w:font="Wingdings 3" w:char="F07C"/>
            </w:r>
            <w:r w:rsidRPr="00331657">
              <w:rPr>
                <w:szCs w:val="22"/>
              </w:rPr>
              <w:t>text</w:t>
            </w:r>
            <w:r w:rsidRPr="00331657">
              <w:rPr>
                <w:rStyle w:val="LL-Chr--SecondaryExceptionstriangle"/>
              </w:rPr>
              <w:sym w:font="Wingdings 3" w:char="F07D"/>
            </w:r>
          </w:p>
        </w:tc>
        <w:tc>
          <w:tcPr>
            <w:tcW w:w="2160" w:type="dxa"/>
            <w:vAlign w:val="center"/>
          </w:tcPr>
          <w:p w:rsidR="00D05948" w:rsidRPr="00331657" w:rsidRDefault="00D05948" w:rsidP="00824E39">
            <w:pPr>
              <w:spacing w:before="120" w:line="264" w:lineRule="auto"/>
            </w:pPr>
            <w:r w:rsidRPr="00331657">
              <w:rPr>
                <w:szCs w:val="22"/>
              </w:rPr>
              <w:t>Secondary exception</w:t>
            </w:r>
          </w:p>
        </w:tc>
        <w:tc>
          <w:tcPr>
            <w:tcW w:w="5148" w:type="dxa"/>
          </w:tcPr>
          <w:p w:rsidR="00D05948" w:rsidRPr="00331657" w:rsidRDefault="00D05948" w:rsidP="00824E39">
            <w:pPr>
              <w:spacing w:before="120" w:line="264" w:lineRule="auto"/>
            </w:pPr>
            <w:r>
              <w:rPr>
                <w:szCs w:val="22"/>
              </w:rPr>
              <w:t>The marks frame</w:t>
            </w:r>
            <w:r w:rsidRPr="00331657">
              <w:rPr>
                <w:szCs w:val="22"/>
              </w:rPr>
              <w:t xml:space="preserve"> an exception to </w:t>
            </w:r>
            <w:r>
              <w:rPr>
                <w:szCs w:val="22"/>
              </w:rPr>
              <w:t xml:space="preserve">some applications of the remainder of the </w:t>
            </w:r>
            <w:r w:rsidRPr="00331657">
              <w:rPr>
                <w:szCs w:val="22"/>
              </w:rPr>
              <w:t>sentence.</w:t>
            </w:r>
          </w:p>
        </w:tc>
      </w:tr>
      <w:tr w:rsidR="00D05948" w:rsidRPr="00331657" w:rsidTr="00824E39">
        <w:tc>
          <w:tcPr>
            <w:tcW w:w="1548" w:type="dxa"/>
            <w:vAlign w:val="center"/>
          </w:tcPr>
          <w:p w:rsidR="00D05948" w:rsidRPr="00331657" w:rsidRDefault="00D05948" w:rsidP="00824E39">
            <w:pPr>
              <w:spacing w:before="120" w:line="264" w:lineRule="auto"/>
              <w:jc w:val="center"/>
            </w:pPr>
            <w:r w:rsidRPr="00331657">
              <w:rPr>
                <w:rStyle w:val="LL-Chr--SecondaryIf-Then"/>
              </w:rPr>
              <w:t>If</w:t>
            </w:r>
            <w:r w:rsidRPr="00331657">
              <w:rPr>
                <w:szCs w:val="22"/>
              </w:rPr>
              <w:t xml:space="preserve"> text </w:t>
            </w:r>
            <w:r w:rsidRPr="00331657">
              <w:rPr>
                <w:rStyle w:val="LL-Chr--SecondaryIf-Then"/>
              </w:rPr>
              <w:t>then</w:t>
            </w:r>
          </w:p>
        </w:tc>
        <w:tc>
          <w:tcPr>
            <w:tcW w:w="2160" w:type="dxa"/>
            <w:vAlign w:val="center"/>
          </w:tcPr>
          <w:p w:rsidR="00D05948" w:rsidRPr="00331657" w:rsidRDefault="00D05948" w:rsidP="00824E39">
            <w:pPr>
              <w:spacing w:before="120" w:line="264" w:lineRule="auto"/>
            </w:pPr>
            <w:r w:rsidRPr="00331657">
              <w:rPr>
                <w:szCs w:val="22"/>
              </w:rPr>
              <w:t>Secondary if-then</w:t>
            </w:r>
          </w:p>
        </w:tc>
        <w:tc>
          <w:tcPr>
            <w:tcW w:w="5148" w:type="dxa"/>
          </w:tcPr>
          <w:p w:rsidR="00D05948" w:rsidRPr="00331657" w:rsidRDefault="00D05948" w:rsidP="00824E39">
            <w:pPr>
              <w:spacing w:before="120" w:line="264" w:lineRule="auto"/>
            </w:pPr>
            <w:r>
              <w:rPr>
                <w:szCs w:val="22"/>
              </w:rPr>
              <w:t xml:space="preserve">The marks indicate </w:t>
            </w:r>
            <w:r w:rsidRPr="00331657">
              <w:rPr>
                <w:szCs w:val="22"/>
              </w:rPr>
              <w:t xml:space="preserve">an if-then structure </w:t>
            </w:r>
            <w:r>
              <w:rPr>
                <w:szCs w:val="22"/>
              </w:rPr>
              <w:t>that divides only a particular clause or subsection of a sentence</w:t>
            </w:r>
            <w:r w:rsidRPr="00331657">
              <w:rPr>
                <w:szCs w:val="22"/>
              </w:rPr>
              <w:t>.</w:t>
            </w:r>
          </w:p>
        </w:tc>
      </w:tr>
      <w:tr w:rsidR="00D05948" w:rsidRPr="00331657" w:rsidTr="00824E39">
        <w:tc>
          <w:tcPr>
            <w:tcW w:w="1548" w:type="dxa"/>
            <w:vAlign w:val="center"/>
          </w:tcPr>
          <w:p w:rsidR="00D05948" w:rsidRPr="00331657" w:rsidRDefault="00D05948" w:rsidP="00824E39">
            <w:pPr>
              <w:spacing w:before="120" w:line="264" w:lineRule="auto"/>
              <w:jc w:val="center"/>
              <w:rPr>
                <w:rStyle w:val="LL-Chr--SecondaryConjunction0"/>
              </w:rPr>
            </w:pPr>
            <w:r>
              <w:rPr>
                <w:rStyle w:val="LL-Chr--SecondaryConjunction0"/>
              </w:rPr>
              <w:t>a</w:t>
            </w:r>
            <w:r w:rsidRPr="00331657">
              <w:rPr>
                <w:rStyle w:val="LL-Chr--SecondaryConjunction0"/>
              </w:rPr>
              <w:t>nd</w:t>
            </w:r>
          </w:p>
        </w:tc>
        <w:tc>
          <w:tcPr>
            <w:tcW w:w="2160" w:type="dxa"/>
            <w:vAlign w:val="center"/>
          </w:tcPr>
          <w:p w:rsidR="00D05948" w:rsidRPr="00331657" w:rsidRDefault="00D05948" w:rsidP="00824E39">
            <w:pPr>
              <w:spacing w:before="120" w:line="264" w:lineRule="auto"/>
            </w:pPr>
            <w:r w:rsidRPr="00331657">
              <w:rPr>
                <w:szCs w:val="22"/>
              </w:rPr>
              <w:t>Secondary conjunction</w:t>
            </w:r>
          </w:p>
        </w:tc>
        <w:tc>
          <w:tcPr>
            <w:tcW w:w="5148" w:type="dxa"/>
          </w:tcPr>
          <w:p w:rsidR="00D05948" w:rsidRPr="00331657" w:rsidRDefault="00D05948" w:rsidP="00824E39">
            <w:pPr>
              <w:spacing w:before="120" w:line="264" w:lineRule="auto"/>
            </w:pPr>
            <w:r>
              <w:rPr>
                <w:szCs w:val="22"/>
              </w:rPr>
              <w:t>The marks identify a conjunction that indicates</w:t>
            </w:r>
            <w:r w:rsidRPr="00331657">
              <w:rPr>
                <w:szCs w:val="22"/>
              </w:rPr>
              <w:t xml:space="preserve"> </w:t>
            </w:r>
            <w:r>
              <w:rPr>
                <w:szCs w:val="22"/>
              </w:rPr>
              <w:t xml:space="preserve">second-level </w:t>
            </w:r>
            <w:r w:rsidRPr="00331657">
              <w:rPr>
                <w:szCs w:val="22"/>
              </w:rPr>
              <w:t>relationship</w:t>
            </w:r>
            <w:r>
              <w:rPr>
                <w:szCs w:val="22"/>
              </w:rPr>
              <w:t>s</w:t>
            </w:r>
            <w:r w:rsidRPr="00331657">
              <w:rPr>
                <w:szCs w:val="22"/>
              </w:rPr>
              <w:t xml:space="preserve"> between </w:t>
            </w:r>
            <w:r>
              <w:rPr>
                <w:szCs w:val="22"/>
              </w:rPr>
              <w:t>listed items or clauses that are not parts of the primary sentence structure</w:t>
            </w:r>
            <w:r w:rsidRPr="00331657">
              <w:rPr>
                <w:szCs w:val="22"/>
              </w:rPr>
              <w:t>.</w:t>
            </w:r>
            <w:r>
              <w:rPr>
                <w:szCs w:val="22"/>
              </w:rPr>
              <w:t xml:space="preserve">  Tertiary conjunctions are not marked.</w:t>
            </w:r>
          </w:p>
        </w:tc>
      </w:tr>
      <w:tr w:rsidR="00D05948" w:rsidRPr="00331657" w:rsidTr="00824E39">
        <w:tc>
          <w:tcPr>
            <w:tcW w:w="1548" w:type="dxa"/>
            <w:vAlign w:val="center"/>
          </w:tcPr>
          <w:p w:rsidR="00D05948" w:rsidRPr="00331657" w:rsidRDefault="00D05948" w:rsidP="00824E39">
            <w:pPr>
              <w:spacing w:before="120" w:line="264" w:lineRule="auto"/>
              <w:jc w:val="center"/>
              <w:rPr>
                <w:rStyle w:val="LL-Chr--CohesivePhrase-parens"/>
              </w:rPr>
            </w:pPr>
            <w:r w:rsidRPr="00331657">
              <w:rPr>
                <w:rStyle w:val="LL-Chr--CohesivePhrase-parens"/>
              </w:rPr>
              <w:t>(</w:t>
            </w:r>
            <w:r w:rsidRPr="00331657">
              <w:rPr>
                <w:szCs w:val="22"/>
              </w:rPr>
              <w:t>text</w:t>
            </w:r>
            <w:r w:rsidRPr="00331657">
              <w:rPr>
                <w:rStyle w:val="LL-Chr--CohesivePhrase-parens"/>
              </w:rPr>
              <w:t>)</w:t>
            </w:r>
          </w:p>
        </w:tc>
        <w:tc>
          <w:tcPr>
            <w:tcW w:w="2160" w:type="dxa"/>
            <w:vAlign w:val="center"/>
          </w:tcPr>
          <w:p w:rsidR="00D05948" w:rsidRPr="00331657" w:rsidRDefault="00D05948" w:rsidP="00824E39">
            <w:pPr>
              <w:spacing w:before="120" w:line="264" w:lineRule="auto"/>
            </w:pPr>
            <w:r w:rsidRPr="00331657">
              <w:rPr>
                <w:szCs w:val="22"/>
              </w:rPr>
              <w:t>Cohesive phrase</w:t>
            </w:r>
          </w:p>
        </w:tc>
        <w:tc>
          <w:tcPr>
            <w:tcW w:w="5148" w:type="dxa"/>
          </w:tcPr>
          <w:p w:rsidR="00D05948" w:rsidRPr="00331657" w:rsidRDefault="00D05948" w:rsidP="00824E39">
            <w:pPr>
              <w:spacing w:before="120" w:line="264" w:lineRule="auto"/>
            </w:pPr>
            <w:r>
              <w:rPr>
                <w:szCs w:val="22"/>
              </w:rPr>
              <w:t xml:space="preserve">The marks frame </w:t>
            </w:r>
            <w:r w:rsidRPr="00331657">
              <w:rPr>
                <w:szCs w:val="22"/>
              </w:rPr>
              <w:t>a group of words that should be read and considered as a unit.</w:t>
            </w:r>
          </w:p>
        </w:tc>
      </w:tr>
      <w:tr w:rsidR="00D05948" w:rsidRPr="00331657" w:rsidTr="00824E39">
        <w:tc>
          <w:tcPr>
            <w:tcW w:w="1548" w:type="dxa"/>
            <w:vAlign w:val="center"/>
          </w:tcPr>
          <w:p w:rsidR="00D05948" w:rsidRPr="00331657" w:rsidRDefault="00D05948" w:rsidP="00824E39">
            <w:pPr>
              <w:spacing w:before="120" w:line="264" w:lineRule="auto"/>
              <w:jc w:val="center"/>
            </w:pPr>
          </w:p>
        </w:tc>
        <w:tc>
          <w:tcPr>
            <w:tcW w:w="2160" w:type="dxa"/>
            <w:vAlign w:val="center"/>
          </w:tcPr>
          <w:p w:rsidR="00D05948" w:rsidRPr="00331657" w:rsidRDefault="00D05948" w:rsidP="00824E39">
            <w:pPr>
              <w:spacing w:before="120" w:line="264" w:lineRule="auto"/>
            </w:pPr>
            <w:r w:rsidRPr="00331657">
              <w:rPr>
                <w:szCs w:val="22"/>
              </w:rPr>
              <w:t>Custom markings</w:t>
            </w:r>
          </w:p>
        </w:tc>
        <w:tc>
          <w:tcPr>
            <w:tcW w:w="5148" w:type="dxa"/>
          </w:tcPr>
          <w:p w:rsidR="00D05948" w:rsidRPr="00331657" w:rsidRDefault="00D05948" w:rsidP="00824E39">
            <w:pPr>
              <w:spacing w:before="120" w:line="264" w:lineRule="auto"/>
            </w:pPr>
            <w:r w:rsidRPr="00331657">
              <w:rPr>
                <w:szCs w:val="22"/>
              </w:rPr>
              <w:t>Readers may use colored pens and highlighters to make additional markings.</w:t>
            </w:r>
          </w:p>
        </w:tc>
      </w:tr>
    </w:tbl>
    <w:p w:rsidR="00D05948" w:rsidRDefault="00D05948">
      <w:pPr>
        <w:rPr>
          <w:rFonts w:ascii="Georgia" w:hAnsi="Georgia"/>
          <w:sz w:val="32"/>
          <w:szCs w:val="32"/>
        </w:rPr>
      </w:pPr>
    </w:p>
    <w:p w:rsidR="00D05948" w:rsidRDefault="00D05948">
      <w:pPr>
        <w:rPr>
          <w:rFonts w:ascii="Georgia" w:hAnsi="Georgia"/>
          <w:sz w:val="32"/>
          <w:szCs w:val="32"/>
        </w:rPr>
      </w:pPr>
      <w:r>
        <w:rPr>
          <w:rFonts w:ascii="Georgia" w:hAnsi="Georgia"/>
          <w:sz w:val="32"/>
          <w:szCs w:val="32"/>
        </w:rPr>
        <w:br w:type="page"/>
      </w:r>
    </w:p>
    <w:p w:rsidR="00D05948" w:rsidRPr="00235130" w:rsidRDefault="00D05948" w:rsidP="00D05948">
      <w:pPr>
        <w:pStyle w:val="L0Part"/>
        <w:pBdr>
          <w:bottom w:val="double" w:sz="4" w:space="1" w:color="auto"/>
        </w:pBdr>
        <w:rPr>
          <w:sz w:val="36"/>
          <w:szCs w:val="36"/>
        </w:rPr>
      </w:pPr>
      <w:bookmarkStart w:id="1" w:name="_Toc328032561"/>
      <w:r w:rsidRPr="00235130">
        <w:rPr>
          <w:sz w:val="36"/>
          <w:szCs w:val="36"/>
        </w:rPr>
        <w:lastRenderedPageBreak/>
        <w:t xml:space="preserve">Introduction to the </w:t>
      </w:r>
      <w:proofErr w:type="spellStart"/>
      <w:r w:rsidRPr="00235130">
        <w:rPr>
          <w:sz w:val="36"/>
          <w:szCs w:val="36"/>
        </w:rPr>
        <w:t>VisiLaw</w:t>
      </w:r>
      <w:proofErr w:type="spellEnd"/>
      <w:r w:rsidRPr="00235130">
        <w:rPr>
          <w:sz w:val="36"/>
          <w:szCs w:val="36"/>
        </w:rPr>
        <w:t xml:space="preserve"> Marking System</w:t>
      </w:r>
      <w:bookmarkEnd w:id="1"/>
      <w:r>
        <w:rPr>
          <w:sz w:val="36"/>
          <w:szCs w:val="36"/>
        </w:rPr>
        <w:fldChar w:fldCharType="begin"/>
      </w:r>
      <w:r>
        <w:instrText xml:space="preserve"> TC "</w:instrText>
      </w:r>
      <w:bookmarkStart w:id="2" w:name="_Toc328032562"/>
      <w:bookmarkStart w:id="3" w:name="_Toc397091275"/>
      <w:r w:rsidRPr="00D50A85">
        <w:rPr>
          <w:sz w:val="36"/>
          <w:szCs w:val="36"/>
        </w:rPr>
        <w:instrText>Introduction to the VisiLaw Marking System</w:instrText>
      </w:r>
      <w:bookmarkEnd w:id="2"/>
      <w:bookmarkEnd w:id="3"/>
      <w:r>
        <w:instrText xml:space="preserve">" \f C \l "4" </w:instrText>
      </w:r>
      <w:r>
        <w:rPr>
          <w:sz w:val="36"/>
          <w:szCs w:val="36"/>
        </w:rPr>
        <w:fldChar w:fldCharType="end"/>
      </w:r>
    </w:p>
    <w:p w:rsidR="00D05948" w:rsidRDefault="00D05948" w:rsidP="00D05948">
      <w:pPr>
        <w:tabs>
          <w:tab w:val="left" w:pos="360"/>
        </w:tabs>
        <w:spacing w:before="120"/>
        <w:jc w:val="both"/>
        <w:rPr>
          <w:szCs w:val="26"/>
        </w:rPr>
      </w:pPr>
      <w:r w:rsidRPr="00331657">
        <w:rPr>
          <w:szCs w:val="26"/>
        </w:rPr>
        <w:tab/>
      </w:r>
      <w:r w:rsidRPr="00E84207">
        <w:rPr>
          <w:szCs w:val="26"/>
        </w:rPr>
        <w:t>Statut</w:t>
      </w:r>
      <w:r>
        <w:rPr>
          <w:szCs w:val="26"/>
        </w:rPr>
        <w:t>ory</w:t>
      </w:r>
      <w:r w:rsidRPr="00E84207">
        <w:rPr>
          <w:szCs w:val="26"/>
        </w:rPr>
        <w:t xml:space="preserve"> sentence structures are often complex.  </w:t>
      </w:r>
      <w:proofErr w:type="spellStart"/>
      <w:r w:rsidRPr="00E84207">
        <w:rPr>
          <w:szCs w:val="26"/>
        </w:rPr>
        <w:t>Visilaw</w:t>
      </w:r>
      <w:proofErr w:type="spellEnd"/>
      <w:r w:rsidRPr="00E84207">
        <w:rPr>
          <w:szCs w:val="26"/>
        </w:rPr>
        <w:t xml:space="preserve"> is a system for marking statutes that is designed to </w:t>
      </w:r>
      <w:r>
        <w:rPr>
          <w:szCs w:val="26"/>
        </w:rPr>
        <w:t xml:space="preserve">make them easier to </w:t>
      </w:r>
      <w:r w:rsidRPr="00E84207">
        <w:rPr>
          <w:szCs w:val="26"/>
        </w:rPr>
        <w:t>read and analy</w:t>
      </w:r>
      <w:r>
        <w:rPr>
          <w:szCs w:val="26"/>
        </w:rPr>
        <w:t>ze</w:t>
      </w:r>
      <w:r w:rsidRPr="00E84207">
        <w:rPr>
          <w:szCs w:val="26"/>
        </w:rPr>
        <w:t>.</w:t>
      </w:r>
      <w:r>
        <w:rPr>
          <w:szCs w:val="26"/>
        </w:rPr>
        <w:t xml:space="preserve">  I</w:t>
      </w:r>
      <w:r w:rsidRPr="00E84207">
        <w:rPr>
          <w:szCs w:val="26"/>
        </w:rPr>
        <w:t xml:space="preserve"> have applied </w:t>
      </w:r>
      <w:proofErr w:type="spellStart"/>
      <w:r w:rsidRPr="00E84207">
        <w:rPr>
          <w:szCs w:val="26"/>
        </w:rPr>
        <w:t>Visilaw</w:t>
      </w:r>
      <w:proofErr w:type="spellEnd"/>
      <w:r w:rsidRPr="00E84207">
        <w:rPr>
          <w:szCs w:val="26"/>
        </w:rPr>
        <w:t xml:space="preserve"> markings to all of the statutes in this volume.</w:t>
      </w:r>
    </w:p>
    <w:p w:rsidR="00D05948" w:rsidRDefault="00D05948" w:rsidP="00D05948">
      <w:pPr>
        <w:tabs>
          <w:tab w:val="left" w:pos="360"/>
        </w:tabs>
        <w:spacing w:before="120"/>
        <w:jc w:val="both"/>
        <w:rPr>
          <w:szCs w:val="26"/>
        </w:rPr>
      </w:pPr>
      <w:r>
        <w:rPr>
          <w:szCs w:val="26"/>
        </w:rPr>
        <w:tab/>
      </w:r>
      <w:r w:rsidRPr="00E84207">
        <w:rPr>
          <w:szCs w:val="26"/>
        </w:rPr>
        <w:t xml:space="preserve">The markings provide at least six benefits.  </w:t>
      </w:r>
    </w:p>
    <w:p w:rsidR="00D05948" w:rsidRDefault="00D05948" w:rsidP="00D05948">
      <w:pPr>
        <w:tabs>
          <w:tab w:val="left" w:pos="360"/>
        </w:tabs>
        <w:spacing w:before="120"/>
        <w:ind w:left="360"/>
        <w:jc w:val="both"/>
        <w:rPr>
          <w:szCs w:val="26"/>
        </w:rPr>
      </w:pPr>
      <w:r>
        <w:rPr>
          <w:szCs w:val="26"/>
        </w:rPr>
        <w:t>(1) T</w:t>
      </w:r>
      <w:r w:rsidRPr="00E84207">
        <w:rPr>
          <w:szCs w:val="26"/>
        </w:rPr>
        <w:t xml:space="preserve">hey promote analysis by </w:t>
      </w:r>
      <w:r>
        <w:rPr>
          <w:szCs w:val="26"/>
        </w:rPr>
        <w:t xml:space="preserve">visually </w:t>
      </w:r>
      <w:r w:rsidRPr="00E84207">
        <w:rPr>
          <w:szCs w:val="26"/>
        </w:rPr>
        <w:t xml:space="preserve">dividing complex sentences into clauses that can be read and analyzed </w:t>
      </w:r>
      <w:r>
        <w:rPr>
          <w:szCs w:val="26"/>
        </w:rPr>
        <w:t>one-at-a-time</w:t>
      </w:r>
      <w:r w:rsidRPr="00E84207">
        <w:rPr>
          <w:szCs w:val="26"/>
        </w:rPr>
        <w:t>.</w:t>
      </w:r>
    </w:p>
    <w:p w:rsidR="00D05948" w:rsidRDefault="00D05948" w:rsidP="00D05948">
      <w:pPr>
        <w:tabs>
          <w:tab w:val="left" w:pos="360"/>
        </w:tabs>
        <w:spacing w:before="120"/>
        <w:ind w:left="360"/>
        <w:jc w:val="both"/>
        <w:rPr>
          <w:szCs w:val="26"/>
        </w:rPr>
      </w:pPr>
      <w:r>
        <w:rPr>
          <w:szCs w:val="26"/>
        </w:rPr>
        <w:t>(2) T</w:t>
      </w:r>
      <w:r w:rsidRPr="00E84207">
        <w:rPr>
          <w:szCs w:val="26"/>
        </w:rPr>
        <w:t>he highlighting of skeletal sentence structure within each clause facilitates scanning, speeds reading, and improves comprehension.</w:t>
      </w:r>
    </w:p>
    <w:p w:rsidR="00D05948" w:rsidRDefault="00D05948" w:rsidP="00D05948">
      <w:pPr>
        <w:tabs>
          <w:tab w:val="left" w:pos="360"/>
        </w:tabs>
        <w:spacing w:before="120"/>
        <w:ind w:left="360"/>
        <w:jc w:val="both"/>
        <w:rPr>
          <w:szCs w:val="26"/>
        </w:rPr>
      </w:pPr>
      <w:r>
        <w:rPr>
          <w:szCs w:val="26"/>
        </w:rPr>
        <w:t>(3) T</w:t>
      </w:r>
      <w:r w:rsidRPr="00E84207">
        <w:rPr>
          <w:szCs w:val="26"/>
        </w:rPr>
        <w:t xml:space="preserve">he markings </w:t>
      </w:r>
      <w:r>
        <w:rPr>
          <w:szCs w:val="26"/>
        </w:rPr>
        <w:t xml:space="preserve">improve </w:t>
      </w:r>
      <w:r w:rsidRPr="00E84207">
        <w:rPr>
          <w:szCs w:val="26"/>
        </w:rPr>
        <w:t xml:space="preserve">interpretation </w:t>
      </w:r>
      <w:r>
        <w:rPr>
          <w:szCs w:val="26"/>
        </w:rPr>
        <w:t>by indicating the g</w:t>
      </w:r>
      <w:r w:rsidRPr="00E84207">
        <w:rPr>
          <w:szCs w:val="26"/>
        </w:rPr>
        <w:t>rammatical structure</w:t>
      </w:r>
      <w:r>
        <w:rPr>
          <w:szCs w:val="26"/>
        </w:rPr>
        <w:t xml:space="preserve"> of each sentence</w:t>
      </w:r>
      <w:r w:rsidRPr="00E84207">
        <w:rPr>
          <w:szCs w:val="26"/>
        </w:rPr>
        <w:t xml:space="preserve">. </w:t>
      </w:r>
    </w:p>
    <w:p w:rsidR="00D05948" w:rsidRDefault="00D05948" w:rsidP="00D05948">
      <w:pPr>
        <w:tabs>
          <w:tab w:val="left" w:pos="360"/>
        </w:tabs>
        <w:spacing w:before="120"/>
        <w:ind w:left="360"/>
        <w:jc w:val="both"/>
        <w:rPr>
          <w:szCs w:val="26"/>
        </w:rPr>
      </w:pPr>
      <w:r>
        <w:rPr>
          <w:szCs w:val="26"/>
        </w:rPr>
        <w:t>(4)</w:t>
      </w:r>
      <w:r w:rsidRPr="00E84207">
        <w:rPr>
          <w:szCs w:val="26"/>
        </w:rPr>
        <w:t xml:space="preserve"> </w:t>
      </w:r>
      <w:r>
        <w:rPr>
          <w:szCs w:val="26"/>
        </w:rPr>
        <w:t>The markings make reading easier and reduce reader stress b</w:t>
      </w:r>
      <w:r w:rsidRPr="00E84207">
        <w:rPr>
          <w:szCs w:val="26"/>
        </w:rPr>
        <w:t>y identifying cohesive phrases that can be treated as single units</w:t>
      </w:r>
      <w:r>
        <w:rPr>
          <w:szCs w:val="26"/>
        </w:rPr>
        <w:t>.</w:t>
      </w:r>
    </w:p>
    <w:p w:rsidR="00D05948" w:rsidRDefault="00D05948" w:rsidP="00D05948">
      <w:pPr>
        <w:tabs>
          <w:tab w:val="left" w:pos="360"/>
        </w:tabs>
        <w:spacing w:before="120"/>
        <w:ind w:left="360"/>
        <w:jc w:val="both"/>
        <w:rPr>
          <w:szCs w:val="26"/>
        </w:rPr>
      </w:pPr>
      <w:r>
        <w:rPr>
          <w:szCs w:val="26"/>
        </w:rPr>
        <w:t>(5) H</w:t>
      </w:r>
      <w:r w:rsidRPr="00E84207">
        <w:rPr>
          <w:szCs w:val="26"/>
        </w:rPr>
        <w:t>ighlights make it easy to find the conjunctions that indicate the relationships among listed items</w:t>
      </w:r>
      <w:r>
        <w:rPr>
          <w:szCs w:val="26"/>
        </w:rPr>
        <w:t xml:space="preserve"> and subparagraphs</w:t>
      </w:r>
      <w:r w:rsidRPr="00E84207">
        <w:rPr>
          <w:szCs w:val="26"/>
        </w:rPr>
        <w:t xml:space="preserve">.  </w:t>
      </w:r>
    </w:p>
    <w:p w:rsidR="00D05948" w:rsidRDefault="00D05948" w:rsidP="00D05948">
      <w:pPr>
        <w:tabs>
          <w:tab w:val="left" w:pos="360"/>
        </w:tabs>
        <w:spacing w:before="120"/>
        <w:ind w:left="360"/>
        <w:jc w:val="both"/>
        <w:rPr>
          <w:szCs w:val="26"/>
        </w:rPr>
      </w:pPr>
      <w:r>
        <w:rPr>
          <w:szCs w:val="26"/>
        </w:rPr>
        <w:t>(6) T</w:t>
      </w:r>
      <w:r w:rsidRPr="00E84207">
        <w:rPr>
          <w:szCs w:val="26"/>
        </w:rPr>
        <w:t>he markings signal the relationships among clauses and phrases.</w:t>
      </w:r>
    </w:p>
    <w:p w:rsidR="00D05948" w:rsidRPr="00E84207" w:rsidRDefault="00D05948" w:rsidP="00D05948">
      <w:pPr>
        <w:tabs>
          <w:tab w:val="left" w:pos="360"/>
        </w:tabs>
        <w:spacing w:before="120"/>
        <w:jc w:val="both"/>
      </w:pPr>
      <w:r w:rsidRPr="00E84207">
        <w:tab/>
        <w:t xml:space="preserve">The markings are sufficiently intuitive that most readers will benefit even without prior instruction or practice.  With instruction, practice, and experimentation, the markings can provide much greater benefits. </w:t>
      </w:r>
      <w:r>
        <w:t xml:space="preserve">I </w:t>
      </w:r>
      <w:r w:rsidRPr="00E84207">
        <w:t xml:space="preserve">encourage you to think of them as a set of tools, the full power and scope of which </w:t>
      </w:r>
      <w:r>
        <w:t>differ from person to person</w:t>
      </w:r>
      <w:r w:rsidRPr="00E84207">
        <w:t xml:space="preserve">. </w:t>
      </w:r>
      <w:r>
        <w:t>The remainder of this i</w:t>
      </w:r>
      <w:r w:rsidRPr="00E84207">
        <w:t>ntroduction explains what each of the markings means and provides suggestions on how to use them.</w:t>
      </w:r>
    </w:p>
    <w:p w:rsidR="00D05948" w:rsidRDefault="00D05948" w:rsidP="00D05948">
      <w:pPr>
        <w:tabs>
          <w:tab w:val="left" w:pos="360"/>
        </w:tabs>
        <w:spacing w:before="120"/>
        <w:jc w:val="both"/>
      </w:pPr>
      <w:r w:rsidRPr="00E84207">
        <w:tab/>
      </w:r>
      <w:r w:rsidRPr="00E84207">
        <w:rPr>
          <w:b/>
          <w:bCs/>
        </w:rPr>
        <w:t>1. Sentences.</w:t>
      </w:r>
      <w:r w:rsidRPr="00E84207">
        <w:t xml:space="preserve">  Sentences are the fundamental building block</w:t>
      </w:r>
      <w:r>
        <w:t>s</w:t>
      </w:r>
      <w:r w:rsidRPr="00E84207">
        <w:t xml:space="preserve"> of statutory material.  Each can be analyzed separately.  To analyze one, it is helpful to know where it begins and ends.  </w:t>
      </w:r>
      <w:r>
        <w:t>Knowing</w:t>
      </w:r>
      <w:r w:rsidRPr="00E84207">
        <w:t xml:space="preserve"> can be difficult.  Sentences often run across the visual boundaries of subsections and the device traditionally used to mark them – the lowly period – is so small as to be nearly invisible.  </w:t>
      </w:r>
      <w:r>
        <w:t>The solution is to add a larger, more easily visible mark if the sentence does not end at the end of a section or subsection.</w:t>
      </w:r>
    </w:p>
    <w:p w:rsidR="00D05948" w:rsidRDefault="00D05948" w:rsidP="00D05948">
      <w:pPr>
        <w:tabs>
          <w:tab w:val="left" w:pos="360"/>
        </w:tabs>
        <w:spacing w:before="120"/>
        <w:jc w:val="both"/>
      </w:pPr>
      <w:r w:rsidRPr="00C0411D">
        <w:rPr>
          <w:noProof/>
        </w:rPr>
        <mc:AlternateContent>
          <mc:Choice Requires="wps">
            <w:drawing>
              <wp:anchor distT="0" distB="0" distL="114300" distR="114300" simplePos="0" relativeHeight="251659264" behindDoc="0" locked="0" layoutInCell="1" allowOverlap="1" wp14:anchorId="36DD5B20" wp14:editId="64FDBB6E">
                <wp:simplePos x="0" y="0"/>
                <wp:positionH relativeFrom="column">
                  <wp:posOffset>292272</wp:posOffset>
                </wp:positionH>
                <wp:positionV relativeFrom="paragraph">
                  <wp:posOffset>149443</wp:posOffset>
                </wp:positionV>
                <wp:extent cx="4958840" cy="1403985"/>
                <wp:effectExtent l="0" t="0" r="1333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8840" cy="1403985"/>
                        </a:xfrm>
                        <a:prstGeom prst="rect">
                          <a:avLst/>
                        </a:prstGeom>
                        <a:solidFill>
                          <a:srgbClr val="FFFFFF"/>
                        </a:solidFill>
                        <a:ln w="9525">
                          <a:solidFill>
                            <a:srgbClr val="000000"/>
                          </a:solidFill>
                          <a:miter lim="800000"/>
                          <a:headEnd/>
                          <a:tailEnd/>
                        </a:ln>
                      </wps:spPr>
                      <wps:txbx>
                        <w:txbxContent>
                          <w:p w:rsidR="00D05948" w:rsidRPr="00C0411D" w:rsidRDefault="00D05948" w:rsidP="00D05948">
                            <w:pPr>
                              <w:jc w:val="center"/>
                              <w:rPr>
                                <w:i/>
                                <w:sz w:val="22"/>
                                <w:szCs w:val="22"/>
                              </w:rPr>
                            </w:pPr>
                            <w:r w:rsidRPr="00C0411D">
                              <w:rPr>
                                <w:i/>
                                <w:sz w:val="22"/>
                                <w:szCs w:val="22"/>
                              </w:rPr>
                              <w:t>Example: Sentence Marking</w:t>
                            </w:r>
                          </w:p>
                          <w:p w:rsidR="00D05948" w:rsidRPr="00C0411D" w:rsidRDefault="00D05948" w:rsidP="00D05948">
                            <w:pPr>
                              <w:spacing w:before="120"/>
                              <w:rPr>
                                <w:sz w:val="22"/>
                                <w:szCs w:val="22"/>
                              </w:rPr>
                            </w:pPr>
                            <w:r w:rsidRPr="00C0411D">
                              <w:rPr>
                                <w:sz w:val="22"/>
                                <w:szCs w:val="22"/>
                              </w:rPr>
                              <w:t xml:space="preserve">If the end of a sentence is not the end of the section or </w:t>
                            </w:r>
                            <w:proofErr w:type="gramStart"/>
                            <w:r w:rsidRPr="00C0411D">
                              <w:rPr>
                                <w:sz w:val="22"/>
                                <w:szCs w:val="22"/>
                              </w:rPr>
                              <w:t>subsection  in</w:t>
                            </w:r>
                            <w:proofErr w:type="gramEnd"/>
                            <w:r w:rsidRPr="00C0411D">
                              <w:rPr>
                                <w:sz w:val="22"/>
                                <w:szCs w:val="22"/>
                              </w:rPr>
                              <w:t xml:space="preserve"> which it appears, I have marked the end of the sentence with a solid black box, like this. </w:t>
                            </w:r>
                            <w:r w:rsidRPr="00C0411D">
                              <w:rPr>
                                <w:rStyle w:val="LL-Chr--EndofSentencesquaresymbwinding"/>
                                <w:sz w:val="22"/>
                                <w:szCs w:val="22"/>
                              </w:rPr>
                              <w:sym w:font="Wingdings 2" w:char="F0A2"/>
                            </w:r>
                            <w:r w:rsidRPr="00C0411D">
                              <w:rPr>
                                <w:sz w:val="22"/>
                                <w:szCs w:val="22"/>
                              </w:rPr>
                              <w:t xml:space="preserve">  If a sentence ends at the end of a section or subsection, no marking is necessary and none appears.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pt;margin-top:11.75pt;width:390.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">
                <v:textbox style="mso-fit-shape-to-text:t">
                  <w:txbxContent>
                    <w:p w:rsidR="00D05948" w:rsidRPr="00C0411D" w:rsidRDefault="00D05948" w:rsidP="00D05948">
                      <w:pPr>
                        <w:jc w:val="center"/>
                        <w:rPr>
                          <w:i/>
                          <w:sz w:val="22"/>
                          <w:szCs w:val="22"/>
                        </w:rPr>
                      </w:pPr>
                      <w:r w:rsidRPr="00C0411D">
                        <w:rPr>
                          <w:i/>
                          <w:sz w:val="22"/>
                          <w:szCs w:val="22"/>
                        </w:rPr>
                        <w:t>Example: Sentence Marking</w:t>
                      </w:r>
                    </w:p>
                    <w:p w:rsidR="00D05948" w:rsidRPr="00C0411D" w:rsidRDefault="00D05948" w:rsidP="00D05948">
                      <w:pPr>
                        <w:spacing w:before="120"/>
                        <w:rPr>
                          <w:sz w:val="22"/>
                          <w:szCs w:val="22"/>
                        </w:rPr>
                      </w:pPr>
                      <w:r w:rsidRPr="00C0411D">
                        <w:rPr>
                          <w:sz w:val="22"/>
                          <w:szCs w:val="22"/>
                        </w:rPr>
                        <w:t xml:space="preserve">If the end of a sentence is not the end of the section or </w:t>
                      </w:r>
                      <w:proofErr w:type="gramStart"/>
                      <w:r w:rsidRPr="00C0411D">
                        <w:rPr>
                          <w:sz w:val="22"/>
                          <w:szCs w:val="22"/>
                        </w:rPr>
                        <w:t>subsection  in</w:t>
                      </w:r>
                      <w:proofErr w:type="gramEnd"/>
                      <w:r w:rsidRPr="00C0411D">
                        <w:rPr>
                          <w:sz w:val="22"/>
                          <w:szCs w:val="22"/>
                        </w:rPr>
                        <w:t xml:space="preserve"> which it appears, I have marked the end of the sentence with a solid black box, like this. </w:t>
                      </w:r>
                      <w:r w:rsidRPr="00C0411D">
                        <w:rPr>
                          <w:rStyle w:val="LL-Chr--EndofSentencesquaresymbwinding"/>
                          <w:sz w:val="22"/>
                          <w:szCs w:val="22"/>
                        </w:rPr>
                        <w:sym w:font="Wingdings 2" w:char="F0A2"/>
                      </w:r>
                      <w:r w:rsidRPr="00C0411D">
                        <w:rPr>
                          <w:sz w:val="22"/>
                          <w:szCs w:val="22"/>
                        </w:rPr>
                        <w:t xml:space="preserve">  If a sentence ends at the end of a section or subsection, no marking is necessary and none appears.</w:t>
                      </w: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720"/>
        </w:tabs>
        <w:spacing w:before="120"/>
        <w:ind w:left="720" w:right="720"/>
        <w:jc w:val="both"/>
        <w:rPr>
          <w:i/>
          <w:iCs/>
        </w:rPr>
      </w:pPr>
    </w:p>
    <w:p w:rsidR="00D05948" w:rsidRPr="00E84207" w:rsidRDefault="00D05948" w:rsidP="00D05948">
      <w:pPr>
        <w:tabs>
          <w:tab w:val="left" w:pos="720"/>
        </w:tabs>
        <w:spacing w:before="120"/>
        <w:ind w:left="720" w:right="720"/>
        <w:jc w:val="both"/>
      </w:pPr>
      <w:r w:rsidRPr="00E84207">
        <w:rPr>
          <w:i/>
          <w:iCs/>
        </w:rPr>
        <w:t xml:space="preserve">How to use sentence-end marks: </w:t>
      </w:r>
      <w:r w:rsidRPr="00E84207">
        <w:t xml:space="preserve">Note visually where the sentence of interest begins and ends before you try to read it.  Ignore surrounding </w:t>
      </w:r>
      <w:r>
        <w:t xml:space="preserve">text </w:t>
      </w:r>
      <w:r w:rsidRPr="00E84207">
        <w:t>until you grasp the meaning of the sentence.</w:t>
      </w:r>
    </w:p>
    <w:p w:rsidR="00D05948" w:rsidRPr="00E84207" w:rsidRDefault="00D05948" w:rsidP="00D05948">
      <w:pPr>
        <w:tabs>
          <w:tab w:val="left" w:pos="360"/>
        </w:tabs>
        <w:spacing w:before="120"/>
        <w:jc w:val="both"/>
      </w:pPr>
      <w:r w:rsidRPr="00E84207">
        <w:tab/>
      </w:r>
      <w:r w:rsidRPr="00E84207">
        <w:rPr>
          <w:b/>
          <w:bCs/>
        </w:rPr>
        <w:t>2. Primary if-then clauses.</w:t>
      </w:r>
      <w:r w:rsidRPr="00E84207">
        <w:t xml:space="preserve">  Statutes are legislative commands</w:t>
      </w:r>
      <w:r>
        <w:t xml:space="preserve"> in sentence form</w:t>
      </w:r>
      <w:r w:rsidRPr="00E84207">
        <w:t>.  In each</w:t>
      </w:r>
      <w:r>
        <w:t xml:space="preserve"> sentence</w:t>
      </w:r>
      <w:r w:rsidRPr="00E84207">
        <w:t xml:space="preserve">, the legislature indicates, expressly or impliedly, that if certain conditions </w:t>
      </w:r>
      <w:r w:rsidRPr="00E84207">
        <w:lastRenderedPageBreak/>
        <w:t xml:space="preserve">are met, then certain consequences follow.  </w:t>
      </w:r>
      <w:r>
        <w:t>Although not all statutes are structured as if-then statements, if-then structure is natural and common for well-drafted statutory material</w:t>
      </w:r>
      <w:r w:rsidRPr="00E84207">
        <w:t>.</w:t>
      </w:r>
    </w:p>
    <w:p w:rsidR="00D05948" w:rsidRDefault="00D05948" w:rsidP="00D05948">
      <w:pPr>
        <w:tabs>
          <w:tab w:val="left" w:pos="360"/>
        </w:tabs>
        <w:spacing w:before="120"/>
        <w:jc w:val="both"/>
      </w:pPr>
      <w:r w:rsidRPr="00E84207">
        <w:tab/>
        <w:t xml:space="preserve">The if-then structure of statutory sentences is often </w:t>
      </w:r>
      <w:r>
        <w:t>obvious.  T</w:t>
      </w:r>
      <w:r w:rsidRPr="00E84207">
        <w:t xml:space="preserve">he sentence begins with the word </w:t>
      </w:r>
      <w:r>
        <w:t>“</w:t>
      </w:r>
      <w:r w:rsidRPr="00E84207">
        <w:t>if</w:t>
      </w:r>
      <w:r>
        <w:t>”</w:t>
      </w:r>
      <w:r w:rsidRPr="00E84207">
        <w:t xml:space="preserve"> followed by a clause that specifies conditions (the </w:t>
      </w:r>
      <w:r>
        <w:t>“</w:t>
      </w:r>
      <w:r w:rsidRPr="00E84207">
        <w:t>if-clause</w:t>
      </w:r>
      <w:r>
        <w:t>”</w:t>
      </w:r>
      <w:r w:rsidRPr="00E84207">
        <w:t xml:space="preserve">), and finishes with the word </w:t>
      </w:r>
      <w:r>
        <w:t>“</w:t>
      </w:r>
      <w:r w:rsidRPr="00E84207">
        <w:t>then</w:t>
      </w:r>
      <w:r>
        <w:t>”</w:t>
      </w:r>
      <w:r w:rsidRPr="00E84207">
        <w:t xml:space="preserve"> followed by a clause that specifies consequences (the </w:t>
      </w:r>
      <w:r>
        <w:t>“</w:t>
      </w:r>
      <w:r w:rsidRPr="00E84207">
        <w:t>then-clause</w:t>
      </w:r>
      <w:r>
        <w:t>”</w:t>
      </w:r>
      <w:r w:rsidRPr="00E84207">
        <w:t>).  Typically, each of the clauses contains a subject, a verb, and perhaps a direct object</w:t>
      </w:r>
      <w:r>
        <w:t xml:space="preserve">.  But for the dependent marker words “if” and “then,” each clause </w:t>
      </w:r>
      <w:r w:rsidRPr="00E84207">
        <w:t xml:space="preserve">could have been a sentence on its own.  Together, the two clauses typically </w:t>
      </w:r>
      <w:r>
        <w:t>comprise the entire sentence.</w:t>
      </w:r>
    </w:p>
    <w:p w:rsidR="00D05948" w:rsidRDefault="00D05948" w:rsidP="00D05948">
      <w:pPr>
        <w:tabs>
          <w:tab w:val="left" w:pos="360"/>
        </w:tabs>
        <w:spacing w:before="120"/>
        <w:jc w:val="both"/>
      </w:pPr>
      <w:r>
        <w:tab/>
        <w:t>I</w:t>
      </w:r>
      <w:r w:rsidRPr="00E84207">
        <w:t xml:space="preserve"> refer to such an if-then structure as </w:t>
      </w:r>
      <w:r>
        <w:t>a “</w:t>
      </w:r>
      <w:r w:rsidRPr="00E84207">
        <w:t>primary</w:t>
      </w:r>
      <w:r>
        <w:t>” structure to distinguish it from secondary structures that appear within independent or dependent clauses.  I</w:t>
      </w:r>
      <w:r w:rsidRPr="00E84207">
        <w:t xml:space="preserve"> have marked primary if-then structures by making the </w:t>
      </w:r>
      <w:r>
        <w:t>“</w:t>
      </w:r>
      <w:r w:rsidRPr="00E84207">
        <w:t>if</w:t>
      </w:r>
      <w:r>
        <w:t>”</w:t>
      </w:r>
      <w:r w:rsidRPr="00E84207">
        <w:t xml:space="preserve"> and </w:t>
      </w:r>
      <w:r>
        <w:t>“</w:t>
      </w:r>
      <w:r w:rsidRPr="00E84207">
        <w:t>then</w:t>
      </w:r>
      <w:r>
        <w:t>”</w:t>
      </w:r>
      <w:r w:rsidRPr="00E84207">
        <w:t xml:space="preserve"> boldface and underlining them.  </w:t>
      </w:r>
    </w:p>
    <w:p w:rsidR="00D05948" w:rsidRDefault="00D05948" w:rsidP="00D05948">
      <w:pPr>
        <w:tabs>
          <w:tab w:val="left" w:pos="360"/>
        </w:tabs>
        <w:spacing w:before="120"/>
        <w:jc w:val="both"/>
      </w:pPr>
      <w:r w:rsidRPr="00C0411D">
        <w:rPr>
          <w:noProof/>
        </w:rPr>
        <mc:AlternateContent>
          <mc:Choice Requires="wps">
            <w:drawing>
              <wp:anchor distT="0" distB="0" distL="114300" distR="114300" simplePos="0" relativeHeight="251660288" behindDoc="0" locked="0" layoutInCell="1" allowOverlap="1" wp14:anchorId="750C5EDF" wp14:editId="76A09123">
                <wp:simplePos x="0" y="0"/>
                <wp:positionH relativeFrom="column">
                  <wp:posOffset>484688</wp:posOffset>
                </wp:positionH>
                <wp:positionV relativeFrom="paragraph">
                  <wp:posOffset>180636</wp:posOffset>
                </wp:positionV>
                <wp:extent cx="4527122" cy="1403985"/>
                <wp:effectExtent l="0" t="0" r="26035"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122" cy="1403985"/>
                        </a:xfrm>
                        <a:prstGeom prst="rect">
                          <a:avLst/>
                        </a:prstGeom>
                        <a:solidFill>
                          <a:srgbClr val="FFFFFF"/>
                        </a:solidFill>
                        <a:ln w="9525">
                          <a:solidFill>
                            <a:srgbClr val="000000"/>
                          </a:solidFill>
                          <a:miter lim="800000"/>
                          <a:headEnd/>
                          <a:tailEnd/>
                        </a:ln>
                      </wps:spPr>
                      <wps:txbx>
                        <w:txbxContent>
                          <w:p w:rsidR="00D05948" w:rsidRPr="00C0411D" w:rsidRDefault="00D05948" w:rsidP="00D05948">
                            <w:pPr>
                              <w:jc w:val="center"/>
                              <w:rPr>
                                <w:bCs/>
                                <w:i/>
                                <w:sz w:val="22"/>
                                <w:szCs w:val="22"/>
                              </w:rPr>
                            </w:pPr>
                            <w:r w:rsidRPr="00C0411D">
                              <w:rPr>
                                <w:bCs/>
                                <w:i/>
                                <w:sz w:val="22"/>
                                <w:szCs w:val="22"/>
                              </w:rPr>
                              <w:t>Example: Primary If-Then Clause Marking</w:t>
                            </w:r>
                          </w:p>
                          <w:p w:rsidR="00D05948" w:rsidRDefault="00D05948" w:rsidP="00D05948">
                            <w:pPr>
                              <w:spacing w:before="120"/>
                            </w:pPr>
                            <w:r w:rsidRPr="00E84207">
                              <w:rPr>
                                <w:rStyle w:val="LL-Chr--PrimaryIf-Thenred"/>
                              </w:rPr>
                              <w:t>If</w:t>
                            </w:r>
                            <w:r w:rsidRPr="00E84207">
                              <w:t xml:space="preserve"> this sentence were in a statute, </w:t>
                            </w:r>
                            <w:r w:rsidRPr="00E84207">
                              <w:rPr>
                                <w:rStyle w:val="LL-Chr--PrimaryIf-Thenred"/>
                              </w:rPr>
                              <w:t>then</w:t>
                            </w:r>
                            <w:r w:rsidRPr="00E84207">
                              <w:t xml:space="preserve"> </w:t>
                            </w:r>
                            <w:r>
                              <w:t>I</w:t>
                            </w:r>
                            <w:r w:rsidRPr="00E84207">
                              <w:t xml:space="preserve"> would have marked it like this.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8.15pt;margin-top:14.2pt;width:356.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">
                <v:textbox style="mso-fit-shape-to-text:t">
                  <w:txbxContent>
                    <w:p w:rsidR="00D05948" w:rsidRPr="00C0411D" w:rsidRDefault="00D05948" w:rsidP="00D05948">
                      <w:pPr>
                        <w:jc w:val="center"/>
                        <w:rPr>
                          <w:bCs/>
                          <w:i/>
                          <w:sz w:val="22"/>
                          <w:szCs w:val="22"/>
                        </w:rPr>
                      </w:pPr>
                      <w:r w:rsidRPr="00C0411D">
                        <w:rPr>
                          <w:bCs/>
                          <w:i/>
                          <w:sz w:val="22"/>
                          <w:szCs w:val="22"/>
                        </w:rPr>
                        <w:t>Example: Primary If-Then Clause Marking</w:t>
                      </w:r>
                    </w:p>
                    <w:p w:rsidR="00D05948" w:rsidRDefault="00D05948" w:rsidP="00D05948">
                      <w:pPr>
                        <w:spacing w:before="120"/>
                      </w:pPr>
                      <w:r w:rsidRPr="00E84207">
                        <w:rPr>
                          <w:rStyle w:val="LL-Chr--PrimaryIf-Thenred"/>
                        </w:rPr>
                        <w:t>If</w:t>
                      </w:r>
                      <w:r w:rsidRPr="00E84207">
                        <w:t xml:space="preserve"> this sentence were in a statute, </w:t>
                      </w:r>
                      <w:r w:rsidRPr="00E84207">
                        <w:rPr>
                          <w:rStyle w:val="LL-Chr--PrimaryIf-Thenred"/>
                        </w:rPr>
                        <w:t>then</w:t>
                      </w:r>
                      <w:r w:rsidRPr="00E84207">
                        <w:t xml:space="preserve"> </w:t>
                      </w:r>
                      <w:r>
                        <w:t>I</w:t>
                      </w:r>
                      <w:r w:rsidRPr="00E84207">
                        <w:t xml:space="preserve"> would have marked it like this.  </w:t>
                      </w: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Pr="00E84207" w:rsidRDefault="00D05948" w:rsidP="00D05948">
      <w:pPr>
        <w:tabs>
          <w:tab w:val="left" w:pos="360"/>
        </w:tabs>
        <w:spacing w:before="120"/>
        <w:jc w:val="both"/>
      </w:pPr>
      <w:r w:rsidRPr="00E84207">
        <w:t xml:space="preserve">Primary ifs and </w:t>
      </w:r>
      <w:proofErr w:type="spellStart"/>
      <w:r w:rsidRPr="00E84207">
        <w:t>thens</w:t>
      </w:r>
      <w:proofErr w:type="spellEnd"/>
      <w:r w:rsidRPr="00E84207">
        <w:t xml:space="preserve"> receive the most prominent marking used within a sentence because they divide the sentence into parts that the reader can analyze separately. </w:t>
      </w:r>
    </w:p>
    <w:p w:rsidR="00D05948" w:rsidRPr="00E84207" w:rsidRDefault="00D05948" w:rsidP="00D05948">
      <w:pPr>
        <w:tabs>
          <w:tab w:val="left" w:pos="360"/>
        </w:tabs>
        <w:spacing w:before="120"/>
        <w:jc w:val="both"/>
      </w:pPr>
      <w:r w:rsidRPr="00E84207">
        <w:tab/>
        <w:t xml:space="preserve">The words </w:t>
      </w:r>
      <w:r>
        <w:t>“</w:t>
      </w:r>
      <w:r w:rsidRPr="00E84207">
        <w:t>if</w:t>
      </w:r>
      <w:r>
        <w:t>”</w:t>
      </w:r>
      <w:r w:rsidRPr="00E84207">
        <w:t xml:space="preserve"> and </w:t>
      </w:r>
      <w:r>
        <w:t>“</w:t>
      </w:r>
      <w:r w:rsidRPr="00E84207">
        <w:t>then</w:t>
      </w:r>
      <w:r>
        <w:t>”</w:t>
      </w:r>
      <w:r w:rsidRPr="00E84207">
        <w:t xml:space="preserve"> do not appear in every statute</w:t>
      </w:r>
      <w:r>
        <w:t xml:space="preserve"> that has an if-then structure</w:t>
      </w:r>
      <w:r w:rsidRPr="00E84207">
        <w:t xml:space="preserve">.  First, statute drafters often substitute </w:t>
      </w:r>
      <w:r>
        <w:t xml:space="preserve">structurally </w:t>
      </w:r>
      <w:r w:rsidRPr="00E84207">
        <w:t xml:space="preserve">equivalent words for </w:t>
      </w:r>
      <w:r>
        <w:t>“</w:t>
      </w:r>
      <w:r w:rsidRPr="00E84207">
        <w:t>if.</w:t>
      </w:r>
      <w:r>
        <w:t>”</w:t>
      </w:r>
      <w:r w:rsidRPr="00E84207">
        <w:t xml:space="preserve">  Examples include </w:t>
      </w:r>
      <w:r>
        <w:t>“</w:t>
      </w:r>
      <w:r w:rsidRPr="00E84207">
        <w:t>when,</w:t>
      </w:r>
      <w:r>
        <w:t>”</w:t>
      </w:r>
      <w:r w:rsidRPr="00E84207">
        <w:t xml:space="preserve"> </w:t>
      </w:r>
      <w:r>
        <w:t>“</w:t>
      </w:r>
      <w:r w:rsidRPr="00E84207">
        <w:t>while,</w:t>
      </w:r>
      <w:r>
        <w:t>”</w:t>
      </w:r>
      <w:r w:rsidRPr="00E84207">
        <w:t xml:space="preserve"> </w:t>
      </w:r>
      <w:r>
        <w:t>“</w:t>
      </w:r>
      <w:r w:rsidRPr="00E84207">
        <w:t>until,</w:t>
      </w:r>
      <w:r>
        <w:t>”</w:t>
      </w:r>
      <w:r w:rsidRPr="00E84207">
        <w:t xml:space="preserve"> </w:t>
      </w:r>
      <w:r>
        <w:t>“</w:t>
      </w:r>
      <w:r w:rsidRPr="00E84207">
        <w:t>unless,</w:t>
      </w:r>
      <w:r>
        <w:t>”</w:t>
      </w:r>
      <w:r w:rsidRPr="00E84207">
        <w:t xml:space="preserve"> </w:t>
      </w:r>
      <w:r>
        <w:t>“</w:t>
      </w:r>
      <w:r w:rsidRPr="00E84207">
        <w:t>wherever</w:t>
      </w:r>
      <w:r>
        <w:t>”</w:t>
      </w:r>
      <w:r w:rsidRPr="00E84207">
        <w:t xml:space="preserve"> and </w:t>
      </w:r>
      <w:r>
        <w:t>“</w:t>
      </w:r>
      <w:r w:rsidRPr="00E84207">
        <w:t>to the extent that.</w:t>
      </w:r>
      <w:r>
        <w:t>”</w:t>
      </w:r>
      <w:r w:rsidRPr="00E84207">
        <w:t xml:space="preserve">  </w:t>
      </w:r>
      <w:r>
        <w:t>I</w:t>
      </w:r>
      <w:r w:rsidRPr="00E84207">
        <w:t xml:space="preserve"> have marked those equivalents in the same manner as </w:t>
      </w:r>
      <w:r>
        <w:t>“</w:t>
      </w:r>
      <w:r w:rsidRPr="00E84207">
        <w:t>if.</w:t>
      </w:r>
      <w:r>
        <w:t>”</w:t>
      </w:r>
      <w:r w:rsidRPr="00E84207">
        <w:t xml:space="preserve">  Second, drafters often leave the word </w:t>
      </w:r>
      <w:r>
        <w:t>“</w:t>
      </w:r>
      <w:r w:rsidRPr="00E84207">
        <w:t>then</w:t>
      </w:r>
      <w:r>
        <w:t>”</w:t>
      </w:r>
      <w:r w:rsidRPr="00E84207">
        <w:t xml:space="preserve"> implied.  </w:t>
      </w:r>
      <w:r>
        <w:t>I</w:t>
      </w:r>
      <w:r w:rsidRPr="00E84207">
        <w:t xml:space="preserve"> made </w:t>
      </w:r>
      <w:r>
        <w:t>each</w:t>
      </w:r>
      <w:r w:rsidRPr="00E84207">
        <w:t xml:space="preserve"> implied then express, placing </w:t>
      </w:r>
      <w:r>
        <w:t>it</w:t>
      </w:r>
      <w:r w:rsidRPr="00E84207">
        <w:t xml:space="preserve"> in brackets to indicate that </w:t>
      </w:r>
      <w:r>
        <w:t>it</w:t>
      </w:r>
      <w:r w:rsidRPr="00E84207">
        <w:t xml:space="preserve"> do</w:t>
      </w:r>
      <w:r>
        <w:t>es</w:t>
      </w:r>
      <w:r w:rsidRPr="00E84207">
        <w:t xml:space="preserve"> not appear in the statute.  </w:t>
      </w:r>
      <w:r>
        <w:t xml:space="preserve">An implied “then” looks </w:t>
      </w:r>
      <w:r w:rsidRPr="00E84207">
        <w:t xml:space="preserve">like this: </w:t>
      </w:r>
      <w:r w:rsidRPr="00E84207">
        <w:rPr>
          <w:rStyle w:val="LL-Chr--PrimaryIf-Thenred"/>
        </w:rPr>
        <w:t>[then]</w:t>
      </w:r>
      <w:r w:rsidRPr="00E84207">
        <w:t>.</w:t>
      </w:r>
    </w:p>
    <w:p w:rsidR="00D05948" w:rsidRPr="00E84207" w:rsidRDefault="00D05948" w:rsidP="00D05948">
      <w:pPr>
        <w:tabs>
          <w:tab w:val="left" w:pos="720"/>
        </w:tabs>
        <w:spacing w:before="120"/>
        <w:ind w:left="720" w:right="720"/>
        <w:jc w:val="both"/>
      </w:pPr>
      <w:r w:rsidRPr="00E84207">
        <w:rPr>
          <w:i/>
        </w:rPr>
        <w:t>How to use primary if-then marks:</w:t>
      </w:r>
      <w:r w:rsidRPr="00E84207">
        <w:t xml:space="preserve"> Primary if-then markings enable the reader to see the</w:t>
      </w:r>
      <w:r>
        <w:t xml:space="preserve"> position of the</w:t>
      </w:r>
      <w:r w:rsidRPr="00E84207">
        <w:t xml:space="preserve"> </w:t>
      </w:r>
      <w:r>
        <w:t xml:space="preserve">if-then </w:t>
      </w:r>
      <w:r w:rsidRPr="00E84207">
        <w:t>structure before starting to read.  Because each clause is in essence a sentence, the reader can read one and grasp its meaning before reading the other.  The reader also can read the clauses in either order, depending on the reader</w:t>
      </w:r>
      <w:r>
        <w:t>’</w:t>
      </w:r>
      <w:r w:rsidRPr="00E84207">
        <w:t xml:space="preserve">s interests.  By scanning </w:t>
      </w:r>
      <w:proofErr w:type="gramStart"/>
      <w:r w:rsidRPr="00E84207">
        <w:t>the if</w:t>
      </w:r>
      <w:proofErr w:type="gramEnd"/>
      <w:r w:rsidRPr="00E84207">
        <w:t xml:space="preserve"> clauses in a group of statutes, a reader can determine which of those statutes will apply to his or her case.  By scanning the then clauses in group of statutes, a reader can determine which statutes might yield a desired result.</w:t>
      </w:r>
    </w:p>
    <w:p w:rsidR="00D05948" w:rsidRDefault="00D05948" w:rsidP="00D05948">
      <w:pPr>
        <w:tabs>
          <w:tab w:val="left" w:pos="360"/>
        </w:tabs>
        <w:spacing w:before="120"/>
        <w:jc w:val="both"/>
      </w:pPr>
      <w:r w:rsidRPr="00E84207">
        <w:tab/>
      </w:r>
      <w:r w:rsidRPr="00E84207">
        <w:rPr>
          <w:b/>
          <w:bCs/>
        </w:rPr>
        <w:t>3. Primary conjunctions.</w:t>
      </w:r>
      <w:r w:rsidRPr="00E84207">
        <w:t xml:space="preserve">  Two kinds of conjunctions are primary: sentence dividers and paragraph dividers.  A sentence divider separates clauses</w:t>
      </w:r>
      <w:r>
        <w:t xml:space="preserve">.  </w:t>
      </w:r>
      <w:r w:rsidRPr="00E84207">
        <w:t xml:space="preserve"> </w:t>
      </w:r>
      <w:r>
        <w:t xml:space="preserve">By “clause” I mean a dependent or an independent clause </w:t>
      </w:r>
      <w:r w:rsidRPr="00E84207">
        <w:t>that contain</w:t>
      </w:r>
      <w:r>
        <w:t>s</w:t>
      </w:r>
      <w:r w:rsidRPr="00E84207">
        <w:t xml:space="preserve"> the basic elements of a sentence – subject, verb, and perhaps direct object.  </w:t>
      </w:r>
      <w:r>
        <w:t xml:space="preserve">The clauses separated can be multiple </w:t>
      </w:r>
      <w:r w:rsidRPr="00E84207">
        <w:t>if-clause</w:t>
      </w:r>
      <w:r>
        <w:t xml:space="preserve">s (if </w:t>
      </w:r>
      <w:proofErr w:type="gramStart"/>
      <w:r>
        <w:t>a and</w:t>
      </w:r>
      <w:proofErr w:type="gramEnd"/>
      <w:r>
        <w:t xml:space="preserve"> if b then c), multiple then clauses (if a, then b and then c), or multiple independent clauses (a and b)</w:t>
      </w:r>
      <w:r w:rsidRPr="00E84207">
        <w:t xml:space="preserve">.  </w:t>
      </w:r>
      <w:r>
        <w:t xml:space="preserve">Most primary conjunctions are “and” or “or.” </w:t>
      </w:r>
    </w:p>
    <w:p w:rsidR="00D05948" w:rsidRDefault="00D05948" w:rsidP="00D05948">
      <w:pPr>
        <w:tabs>
          <w:tab w:val="left" w:pos="360"/>
        </w:tabs>
        <w:spacing w:before="120"/>
        <w:jc w:val="both"/>
      </w:pPr>
      <w:r w:rsidRPr="00C0411D">
        <w:rPr>
          <w:noProof/>
        </w:rPr>
        <mc:AlternateContent>
          <mc:Choice Requires="wps">
            <w:drawing>
              <wp:anchor distT="0" distB="0" distL="114300" distR="114300" simplePos="0" relativeHeight="251661312" behindDoc="0" locked="0" layoutInCell="1" allowOverlap="1" wp14:anchorId="08ECDCC9" wp14:editId="01DEC23F">
                <wp:simplePos x="0" y="0"/>
                <wp:positionH relativeFrom="column">
                  <wp:posOffset>545465</wp:posOffset>
                </wp:positionH>
                <wp:positionV relativeFrom="paragraph">
                  <wp:posOffset>144250</wp:posOffset>
                </wp:positionV>
                <wp:extent cx="4526915" cy="1403985"/>
                <wp:effectExtent l="0" t="0" r="2603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1403985"/>
                        </a:xfrm>
                        <a:prstGeom prst="rect">
                          <a:avLst/>
                        </a:prstGeom>
                        <a:solidFill>
                          <a:srgbClr val="FFFFFF"/>
                        </a:solidFill>
                        <a:ln w="9525">
                          <a:solidFill>
                            <a:srgbClr val="000000"/>
                          </a:solidFill>
                          <a:miter lim="800000"/>
                          <a:headEnd/>
                          <a:tailEnd/>
                        </a:ln>
                      </wps:spPr>
                      <wps:txbx>
                        <w:txbxContent>
                          <w:p w:rsidR="00D05948" w:rsidRDefault="00D05948" w:rsidP="00D05948">
                            <w:pPr>
                              <w:jc w:val="center"/>
                              <w:rPr>
                                <w:bCs/>
                                <w:i/>
                                <w:sz w:val="22"/>
                                <w:szCs w:val="22"/>
                              </w:rPr>
                            </w:pPr>
                            <w:r w:rsidRPr="00C0411D">
                              <w:rPr>
                                <w:bCs/>
                                <w:i/>
                                <w:sz w:val="22"/>
                                <w:szCs w:val="22"/>
                              </w:rPr>
                              <w:t xml:space="preserve">Example: Primary </w:t>
                            </w:r>
                            <w:r>
                              <w:rPr>
                                <w:bCs/>
                                <w:i/>
                                <w:sz w:val="22"/>
                                <w:szCs w:val="22"/>
                              </w:rPr>
                              <w:t>Conjunction</w:t>
                            </w:r>
                            <w:r w:rsidRPr="00C0411D">
                              <w:rPr>
                                <w:bCs/>
                                <w:i/>
                                <w:sz w:val="22"/>
                                <w:szCs w:val="22"/>
                              </w:rPr>
                              <w:t xml:space="preserve"> Marking</w:t>
                            </w:r>
                          </w:p>
                          <w:p w:rsidR="00D05948" w:rsidRPr="00C0411D" w:rsidRDefault="00D05948" w:rsidP="00D05948">
                            <w:pPr>
                              <w:spacing w:before="120"/>
                              <w:rPr>
                                <w:sz w:val="22"/>
                                <w:szCs w:val="22"/>
                              </w:rPr>
                            </w:pPr>
                            <w:r w:rsidRPr="00C0411D">
                              <w:rPr>
                                <w:sz w:val="22"/>
                                <w:szCs w:val="22"/>
                              </w:rPr>
                              <w:t>I have made primary conjunctions boldface</w:t>
                            </w:r>
                            <w:r>
                              <w:rPr>
                                <w:sz w:val="22"/>
                                <w:szCs w:val="22"/>
                              </w:rPr>
                              <w:t>,</w:t>
                            </w:r>
                            <w:r w:rsidRPr="00C0411D">
                              <w:rPr>
                                <w:sz w:val="22"/>
                                <w:szCs w:val="22"/>
                              </w:rPr>
                              <w:t xml:space="preserve"> </w:t>
                            </w:r>
                            <w:r w:rsidRPr="00C0411D">
                              <w:rPr>
                                <w:rStyle w:val="LL-Chr--PrimaryConjunction51"/>
                                <w:sz w:val="22"/>
                                <w:szCs w:val="22"/>
                              </w:rPr>
                              <w:t>and</w:t>
                            </w:r>
                            <w:r w:rsidRPr="00C0411D">
                              <w:rPr>
                                <w:sz w:val="22"/>
                                <w:szCs w:val="22"/>
                              </w:rPr>
                              <w:t xml:space="preserve"> I have boxed their text</w:t>
                            </w:r>
                            <w:r>
                              <w:rPr>
                                <w:sz w:val="22"/>
                                <w:szCs w:val="22"/>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2.95pt;margin-top:11.35pt;width:356.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">
                <v:textbox style="mso-fit-shape-to-text:t">
                  <w:txbxContent>
                    <w:p w:rsidR="00D05948" w:rsidRDefault="00D05948" w:rsidP="00D05948">
                      <w:pPr>
                        <w:jc w:val="center"/>
                        <w:rPr>
                          <w:bCs/>
                          <w:i/>
                          <w:sz w:val="22"/>
                          <w:szCs w:val="22"/>
                        </w:rPr>
                      </w:pPr>
                      <w:r w:rsidRPr="00C0411D">
                        <w:rPr>
                          <w:bCs/>
                          <w:i/>
                          <w:sz w:val="22"/>
                          <w:szCs w:val="22"/>
                        </w:rPr>
                        <w:t xml:space="preserve">Example: Primary </w:t>
                      </w:r>
                      <w:r>
                        <w:rPr>
                          <w:bCs/>
                          <w:i/>
                          <w:sz w:val="22"/>
                          <w:szCs w:val="22"/>
                        </w:rPr>
                        <w:t>Conjunction</w:t>
                      </w:r>
                      <w:r w:rsidRPr="00C0411D">
                        <w:rPr>
                          <w:bCs/>
                          <w:i/>
                          <w:sz w:val="22"/>
                          <w:szCs w:val="22"/>
                        </w:rPr>
                        <w:t xml:space="preserve"> Marking</w:t>
                      </w:r>
                    </w:p>
                    <w:p w:rsidR="00D05948" w:rsidRPr="00C0411D" w:rsidRDefault="00D05948" w:rsidP="00D05948">
                      <w:pPr>
                        <w:spacing w:before="120"/>
                        <w:rPr>
                          <w:sz w:val="22"/>
                          <w:szCs w:val="22"/>
                        </w:rPr>
                      </w:pPr>
                      <w:r w:rsidRPr="00C0411D">
                        <w:rPr>
                          <w:sz w:val="22"/>
                          <w:szCs w:val="22"/>
                        </w:rPr>
                        <w:t>I have made primary conjunctions boldface</w:t>
                      </w:r>
                      <w:r>
                        <w:rPr>
                          <w:sz w:val="22"/>
                          <w:szCs w:val="22"/>
                        </w:rPr>
                        <w:t>,</w:t>
                      </w:r>
                      <w:r w:rsidRPr="00C0411D">
                        <w:rPr>
                          <w:sz w:val="22"/>
                          <w:szCs w:val="22"/>
                        </w:rPr>
                        <w:t xml:space="preserve"> </w:t>
                      </w:r>
                      <w:r w:rsidRPr="00C0411D">
                        <w:rPr>
                          <w:rStyle w:val="LL-Chr--PrimaryConjunction51"/>
                          <w:sz w:val="22"/>
                          <w:szCs w:val="22"/>
                        </w:rPr>
                        <w:t>and</w:t>
                      </w:r>
                      <w:r w:rsidRPr="00C0411D">
                        <w:rPr>
                          <w:sz w:val="22"/>
                          <w:szCs w:val="22"/>
                        </w:rPr>
                        <w:t xml:space="preserve"> I have boxed their text</w:t>
                      </w:r>
                      <w:r>
                        <w:rPr>
                          <w:sz w:val="22"/>
                          <w:szCs w:val="22"/>
                        </w:rPr>
                        <w:t>s.</w:t>
                      </w: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Pr="00E84207" w:rsidRDefault="00D05948" w:rsidP="00D05948">
      <w:pPr>
        <w:tabs>
          <w:tab w:val="left" w:pos="360"/>
        </w:tabs>
        <w:spacing w:before="120"/>
        <w:jc w:val="both"/>
      </w:pPr>
      <w:r>
        <w:tab/>
        <w:t xml:space="preserve">In statutes, unlike in prose, a single sentence is often divided into multiple paragraphs.  The motivation of the drafters is usually to group together words that should be read together because they comprise one item in a list.  Thus if there is a paragraph a, there will be a paragraph b, and perhaps additional paragraphs of the series.  In nearly every instance, the paragraphs are alternative </w:t>
      </w:r>
      <w:proofErr w:type="spellStart"/>
      <w:r>
        <w:t>requirments</w:t>
      </w:r>
      <w:proofErr w:type="spellEnd"/>
      <w:r>
        <w:t xml:space="preserve"> only one of which must be met – indicated by “or” between the last two paragraphs – or multiple requirements all of which must be met – indicated by “and” between the last two paragraphs.  I refer to these conjunctions as paragraph dividers because, although they usually appear only at the end of the penultimate paragraph in the list, they implicitly appear between each pair of paragraphs in the list. Unfortunately, paragraph dividers seldom appear where statute readers need them – at the end of the first paragraph in the series.  Amidst paragraphs and </w:t>
      </w:r>
      <w:proofErr w:type="spellStart"/>
      <w:r>
        <w:t>subparagrahs</w:t>
      </w:r>
      <w:proofErr w:type="spellEnd"/>
      <w:r>
        <w:t>, they can be difficult to find.  To make finding them easier, I have highlighted conjunctions that are primary – first level – paragraph dividers in the same manner that I highlighted conjunctions that are sentence dividers.</w:t>
      </w:r>
    </w:p>
    <w:p w:rsidR="00D05948" w:rsidRPr="002E4176" w:rsidRDefault="00D05948" w:rsidP="00D05948">
      <w:pPr>
        <w:tabs>
          <w:tab w:val="left" w:pos="720"/>
        </w:tabs>
        <w:spacing w:before="120"/>
        <w:ind w:left="720" w:right="720"/>
        <w:jc w:val="both"/>
      </w:pPr>
      <w:r w:rsidRPr="00E84207">
        <w:rPr>
          <w:i/>
        </w:rPr>
        <w:t>How to use primary conjunctions:</w:t>
      </w:r>
      <w:r w:rsidRPr="00E84207">
        <w:t xml:space="preserve"> </w:t>
      </w:r>
      <w:r>
        <w:t>Except when they appear at the end of a paragraph, t</w:t>
      </w:r>
      <w:r w:rsidRPr="00E84207">
        <w:t xml:space="preserve">reat primary conjunctions as sentence </w:t>
      </w:r>
      <w:proofErr w:type="spellStart"/>
      <w:r w:rsidRPr="00E84207">
        <w:t>subdividers</w:t>
      </w:r>
      <w:proofErr w:type="spellEnd"/>
      <w:r w:rsidRPr="00E84207">
        <w:t xml:space="preserve"> </w:t>
      </w:r>
      <w:r>
        <w:t xml:space="preserve">– </w:t>
      </w:r>
      <w:r w:rsidRPr="00E84207">
        <w:t xml:space="preserve">equal to an </w:t>
      </w:r>
      <w:r>
        <w:t>“</w:t>
      </w:r>
      <w:r w:rsidRPr="00E84207">
        <w:t>if</w:t>
      </w:r>
      <w:r>
        <w:t>”</w:t>
      </w:r>
      <w:r w:rsidRPr="00E84207">
        <w:t xml:space="preserve"> or </w:t>
      </w:r>
      <w:r>
        <w:t>a “</w:t>
      </w:r>
      <w:r w:rsidRPr="00E84207">
        <w:t>then,</w:t>
      </w:r>
      <w:r>
        <w:t>”</w:t>
      </w:r>
      <w:r w:rsidRPr="00E84207">
        <w:t xml:space="preserve"> but superior to all other dividers.  For example, treat the </w:t>
      </w:r>
      <w:r>
        <w:t>following sentence as divided into three parts (an independent clause, an if-clause, and a then-clause:</w:t>
      </w:r>
      <w:r w:rsidRPr="00E84207">
        <w:t xml:space="preserve"> </w:t>
      </w:r>
      <w:r>
        <w:t xml:space="preserve">“Sales of accounts are security interests </w:t>
      </w:r>
      <w:r w:rsidRPr="002E4176">
        <w:rPr>
          <w:rStyle w:val="LL-Chr--PrimaryConjunction51"/>
        </w:rPr>
        <w:t>and</w:t>
      </w:r>
      <w:r w:rsidRPr="002E4176">
        <w:t xml:space="preserve"> </w:t>
      </w:r>
      <w:r w:rsidRPr="002E4176">
        <w:rPr>
          <w:rStyle w:val="LL-Chr--PrimaryIf-ThenredBRACKETS"/>
        </w:rPr>
        <w:t>if</w:t>
      </w:r>
      <w:r w:rsidRPr="002E4176">
        <w:t xml:space="preserve"> </w:t>
      </w:r>
      <w:r>
        <w:t>security interests are in default</w:t>
      </w:r>
      <w:r w:rsidRPr="002E4176">
        <w:t xml:space="preserve">, </w:t>
      </w:r>
      <w:r w:rsidRPr="002E4176">
        <w:rPr>
          <w:rStyle w:val="LL-Chr--PrimaryIf-Thenred"/>
        </w:rPr>
        <w:t>then</w:t>
      </w:r>
      <w:r w:rsidRPr="002E4176">
        <w:t xml:space="preserve"> </w:t>
      </w:r>
      <w:r>
        <w:t>they may be foreclosed.”</w:t>
      </w:r>
    </w:p>
    <w:p w:rsidR="00D05948" w:rsidRPr="00E84207" w:rsidRDefault="00D05948" w:rsidP="00D05948">
      <w:pPr>
        <w:tabs>
          <w:tab w:val="left" w:pos="360"/>
        </w:tabs>
        <w:spacing w:before="120"/>
        <w:jc w:val="both"/>
      </w:pPr>
      <w:r w:rsidRPr="00E84207">
        <w:tab/>
      </w:r>
      <w:r w:rsidRPr="00E84207">
        <w:rPr>
          <w:b/>
          <w:bCs/>
        </w:rPr>
        <w:t>4. Skeletal sentences.</w:t>
      </w:r>
      <w:r w:rsidRPr="00E84207">
        <w:t xml:space="preserve">  A </w:t>
      </w:r>
      <w:r>
        <w:t>“</w:t>
      </w:r>
      <w:r w:rsidRPr="00E84207">
        <w:t>skeletal sentence</w:t>
      </w:r>
      <w:r>
        <w:t>”</w:t>
      </w:r>
      <w:r w:rsidRPr="00E84207">
        <w:t xml:space="preserve"> consists of the subject, verb, and direct object of </w:t>
      </w:r>
      <w:r>
        <w:t>an independent or dependent</w:t>
      </w:r>
      <w:r w:rsidRPr="00E84207">
        <w:t xml:space="preserve"> clause, along with the articles, adjectives, and adverbs that directly modify the subject, verb, or direct object.  </w:t>
      </w:r>
      <w:r>
        <w:t>I</w:t>
      </w:r>
      <w:r w:rsidRPr="00E84207">
        <w:t xml:space="preserve"> have underlined the words that comprise a skeletal sentence.  That marking accomplishes two things.  First, it defines a </w:t>
      </w:r>
      <w:r>
        <w:t xml:space="preserve">short </w:t>
      </w:r>
      <w:r w:rsidRPr="00E84207">
        <w:t xml:space="preserve">sentence or independent clause – that is, a complete thought – that, when read, conveys the gist of the </w:t>
      </w:r>
      <w:r>
        <w:t xml:space="preserve">entire </w:t>
      </w:r>
      <w:r w:rsidRPr="00E84207">
        <w:t>sentence</w:t>
      </w:r>
      <w:r>
        <w:t xml:space="preserve"> or clause</w:t>
      </w:r>
      <w:r w:rsidRPr="00E84207">
        <w:t>.  Second, it divides that sentence or independent clause into a highlighted core structure and other</w:t>
      </w:r>
      <w:r>
        <w:t>, un-highlighted</w:t>
      </w:r>
      <w:r w:rsidRPr="00E84207">
        <w:t xml:space="preserve"> words and phrases that modify words in the core structure.</w:t>
      </w:r>
    </w:p>
    <w:p w:rsidR="00D05948" w:rsidRDefault="00D05948" w:rsidP="00D05948">
      <w:pPr>
        <w:tabs>
          <w:tab w:val="left" w:pos="360"/>
        </w:tabs>
        <w:spacing w:before="120"/>
        <w:jc w:val="both"/>
      </w:pPr>
      <w:r w:rsidRPr="00E84207">
        <w:tab/>
      </w:r>
      <w:r>
        <w:t>I</w:t>
      </w:r>
      <w:r w:rsidRPr="00E84207">
        <w:t xml:space="preserve"> have highlighted at least one skeletal sentence for </w:t>
      </w:r>
      <w:r>
        <w:t xml:space="preserve">nearly </w:t>
      </w:r>
      <w:r w:rsidRPr="00E84207">
        <w:t>e</w:t>
      </w:r>
      <w:r>
        <w:t>very</w:t>
      </w:r>
      <w:r w:rsidRPr="00E84207">
        <w:t xml:space="preserve"> sentence that appears in the statutes.  If a sentence is divided into primary if-then clauses, </w:t>
      </w:r>
      <w:r>
        <w:t>I</w:t>
      </w:r>
      <w:r w:rsidRPr="00E84207">
        <w:t xml:space="preserve"> </w:t>
      </w:r>
      <w:r>
        <w:t xml:space="preserve">have </w:t>
      </w:r>
      <w:r w:rsidRPr="00E84207">
        <w:t xml:space="preserve">marked </w:t>
      </w:r>
      <w:r>
        <w:t>a</w:t>
      </w:r>
      <w:r w:rsidRPr="00E84207">
        <w:t xml:space="preserve"> skeletal sentence in each if</w:t>
      </w:r>
      <w:r>
        <w:t>-</w:t>
      </w:r>
      <w:r w:rsidRPr="00E84207">
        <w:t>clause and in each then</w:t>
      </w:r>
      <w:r>
        <w:t>-clause.</w:t>
      </w:r>
    </w:p>
    <w:p w:rsidR="00D05948" w:rsidRDefault="00D05948" w:rsidP="00D05948">
      <w:pPr>
        <w:tabs>
          <w:tab w:val="left" w:pos="360"/>
        </w:tabs>
        <w:spacing w:before="120"/>
        <w:jc w:val="both"/>
      </w:pPr>
      <w:r w:rsidRPr="00C0411D">
        <w:rPr>
          <w:noProof/>
        </w:rPr>
        <mc:AlternateContent>
          <mc:Choice Requires="wps">
            <w:drawing>
              <wp:anchor distT="0" distB="0" distL="114300" distR="114300" simplePos="0" relativeHeight="251662336" behindDoc="0" locked="0" layoutInCell="1" allowOverlap="1" wp14:anchorId="59CE9957" wp14:editId="65DD901F">
                <wp:simplePos x="0" y="0"/>
                <wp:positionH relativeFrom="column">
                  <wp:posOffset>549275</wp:posOffset>
                </wp:positionH>
                <wp:positionV relativeFrom="paragraph">
                  <wp:posOffset>49000</wp:posOffset>
                </wp:positionV>
                <wp:extent cx="4526915" cy="1403985"/>
                <wp:effectExtent l="0" t="0" r="26035"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1403985"/>
                        </a:xfrm>
                        <a:prstGeom prst="rect">
                          <a:avLst/>
                        </a:prstGeom>
                        <a:solidFill>
                          <a:srgbClr val="FFFFFF"/>
                        </a:solidFill>
                        <a:ln w="9525">
                          <a:solidFill>
                            <a:srgbClr val="000000"/>
                          </a:solidFill>
                          <a:miter lim="800000"/>
                          <a:headEnd/>
                          <a:tailEnd/>
                        </a:ln>
                      </wps:spPr>
                      <wps:txbx>
                        <w:txbxContent>
                          <w:p w:rsidR="00D05948" w:rsidRDefault="00D05948" w:rsidP="00D05948">
                            <w:pPr>
                              <w:jc w:val="center"/>
                              <w:rPr>
                                <w:bCs/>
                                <w:i/>
                                <w:sz w:val="22"/>
                                <w:szCs w:val="22"/>
                              </w:rPr>
                            </w:pPr>
                            <w:r w:rsidRPr="00C0411D">
                              <w:rPr>
                                <w:bCs/>
                                <w:i/>
                                <w:sz w:val="22"/>
                                <w:szCs w:val="22"/>
                              </w:rPr>
                              <w:t xml:space="preserve">Example: </w:t>
                            </w:r>
                            <w:r>
                              <w:rPr>
                                <w:bCs/>
                                <w:i/>
                                <w:sz w:val="22"/>
                                <w:szCs w:val="22"/>
                              </w:rPr>
                              <w:t xml:space="preserve">Skeletal Sentence and </w:t>
                            </w:r>
                            <w:r w:rsidRPr="00C0411D">
                              <w:rPr>
                                <w:bCs/>
                                <w:i/>
                                <w:sz w:val="22"/>
                                <w:szCs w:val="22"/>
                              </w:rPr>
                              <w:t xml:space="preserve">Primary </w:t>
                            </w:r>
                            <w:r>
                              <w:rPr>
                                <w:bCs/>
                                <w:i/>
                                <w:sz w:val="22"/>
                                <w:szCs w:val="22"/>
                              </w:rPr>
                              <w:t>Conjunction</w:t>
                            </w:r>
                            <w:r w:rsidRPr="00C0411D">
                              <w:rPr>
                                <w:bCs/>
                                <w:i/>
                                <w:sz w:val="22"/>
                                <w:szCs w:val="22"/>
                              </w:rPr>
                              <w:t xml:space="preserve"> Marking</w:t>
                            </w:r>
                            <w:r>
                              <w:rPr>
                                <w:bCs/>
                                <w:i/>
                                <w:sz w:val="22"/>
                                <w:szCs w:val="22"/>
                              </w:rPr>
                              <w:t>s</w:t>
                            </w:r>
                          </w:p>
                          <w:p w:rsidR="00D05948" w:rsidRPr="00C0411D" w:rsidRDefault="00D05948" w:rsidP="00D05948">
                            <w:pPr>
                              <w:tabs>
                                <w:tab w:val="left" w:pos="180"/>
                              </w:tabs>
                              <w:spacing w:before="120"/>
                              <w:ind w:left="180" w:right="-11"/>
                              <w:jc w:val="both"/>
                            </w:pPr>
                            <w:r w:rsidRPr="00E84207">
                              <w:rPr>
                                <w:rStyle w:val="LL-Chr--SkeletalSentence"/>
                              </w:rPr>
                              <w:t>A security interest</w:t>
                            </w:r>
                            <w:r w:rsidRPr="00E84207">
                              <w:t xml:space="preserve"> in property subject to a statute, regulation, or treaty described in subsection (a) </w:t>
                            </w:r>
                            <w:r w:rsidRPr="00E84207">
                              <w:rPr>
                                <w:rStyle w:val="LL-Chr--SkeletalSentence"/>
                              </w:rPr>
                              <w:t>may be perfected</w:t>
                            </w:r>
                            <w:r w:rsidRPr="00E84207">
                              <w:t xml:space="preserve"> only by compliance with those requirements, </w:t>
                            </w:r>
                            <w:r w:rsidRPr="00487E6A">
                              <w:rPr>
                                <w:rStyle w:val="LL-Chr--PrimaryConjunction51"/>
                                <w:sz w:val="22"/>
                                <w:szCs w:val="22"/>
                              </w:rPr>
                              <w:t>and</w:t>
                            </w:r>
                            <w:r w:rsidRPr="00E84207">
                              <w:t xml:space="preserve"> </w:t>
                            </w:r>
                            <w:r w:rsidRPr="00E84207">
                              <w:rPr>
                                <w:rStyle w:val="LL-Chr--SkeletalSentence"/>
                              </w:rPr>
                              <w:t>a security interest so perfected remains perfected</w:t>
                            </w:r>
                            <w:r w:rsidRPr="00E84207">
                              <w:t xml:space="preserve"> notwithstanding a change in the use or transfer of possession of the collateral.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9" type="#_x0000_t202" style="position:absolute;left:0;text-align:left;margin-left:43.25pt;margin-top:3.85pt;width:356.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">
                <v:textbox style="mso-fit-shape-to-text:t">
                  <w:txbxContent>
                    <w:p w:rsidR="00D05948" w:rsidRDefault="00D05948" w:rsidP="00D05948">
                      <w:pPr>
                        <w:jc w:val="center"/>
                        <w:rPr>
                          <w:bCs/>
                          <w:i/>
                          <w:sz w:val="22"/>
                          <w:szCs w:val="22"/>
                        </w:rPr>
                      </w:pPr>
                      <w:r w:rsidRPr="00C0411D">
                        <w:rPr>
                          <w:bCs/>
                          <w:i/>
                          <w:sz w:val="22"/>
                          <w:szCs w:val="22"/>
                        </w:rPr>
                        <w:t xml:space="preserve">Example: </w:t>
                      </w:r>
                      <w:r>
                        <w:rPr>
                          <w:bCs/>
                          <w:i/>
                          <w:sz w:val="22"/>
                          <w:szCs w:val="22"/>
                        </w:rPr>
                        <w:t xml:space="preserve">Skeletal Sentence and </w:t>
                      </w:r>
                      <w:r w:rsidRPr="00C0411D">
                        <w:rPr>
                          <w:bCs/>
                          <w:i/>
                          <w:sz w:val="22"/>
                          <w:szCs w:val="22"/>
                        </w:rPr>
                        <w:t xml:space="preserve">Primary </w:t>
                      </w:r>
                      <w:r>
                        <w:rPr>
                          <w:bCs/>
                          <w:i/>
                          <w:sz w:val="22"/>
                          <w:szCs w:val="22"/>
                        </w:rPr>
                        <w:t>Conjunction</w:t>
                      </w:r>
                      <w:r w:rsidRPr="00C0411D">
                        <w:rPr>
                          <w:bCs/>
                          <w:i/>
                          <w:sz w:val="22"/>
                          <w:szCs w:val="22"/>
                        </w:rPr>
                        <w:t xml:space="preserve"> Marking</w:t>
                      </w:r>
                      <w:r>
                        <w:rPr>
                          <w:bCs/>
                          <w:i/>
                          <w:sz w:val="22"/>
                          <w:szCs w:val="22"/>
                        </w:rPr>
                        <w:t>s</w:t>
                      </w:r>
                    </w:p>
                    <w:p w:rsidR="00D05948" w:rsidRPr="00C0411D" w:rsidRDefault="00D05948" w:rsidP="00D05948">
                      <w:pPr>
                        <w:tabs>
                          <w:tab w:val="left" w:pos="180"/>
                        </w:tabs>
                        <w:spacing w:before="120"/>
                        <w:ind w:left="180" w:right="-11"/>
                        <w:jc w:val="both"/>
                      </w:pPr>
                      <w:r w:rsidRPr="00E84207">
                        <w:rPr>
                          <w:rStyle w:val="LL-Chr--SkeletalSentence"/>
                        </w:rPr>
                        <w:t>A security interest</w:t>
                      </w:r>
                      <w:r w:rsidRPr="00E84207">
                        <w:t xml:space="preserve"> in property subject to a statute, regulation, or treaty described in subsection (a) </w:t>
                      </w:r>
                      <w:r w:rsidRPr="00E84207">
                        <w:rPr>
                          <w:rStyle w:val="LL-Chr--SkeletalSentence"/>
                        </w:rPr>
                        <w:t>may be perfected</w:t>
                      </w:r>
                      <w:r w:rsidRPr="00E84207">
                        <w:t xml:space="preserve"> only by compliance with those requirements, </w:t>
                      </w:r>
                      <w:r w:rsidRPr="00487E6A">
                        <w:rPr>
                          <w:rStyle w:val="LL-Chr--PrimaryConjunction51"/>
                          <w:sz w:val="22"/>
                          <w:szCs w:val="22"/>
                        </w:rPr>
                        <w:t>and</w:t>
                      </w:r>
                      <w:r w:rsidRPr="00E84207">
                        <w:t xml:space="preserve"> </w:t>
                      </w:r>
                      <w:r w:rsidRPr="00E84207">
                        <w:rPr>
                          <w:rStyle w:val="LL-Chr--SkeletalSentence"/>
                        </w:rPr>
                        <w:t>a security interest so perfected remains perfected</w:t>
                      </w:r>
                      <w:r w:rsidRPr="00E84207">
                        <w:t xml:space="preserve"> notwithstanding a change in the use or transfer of possession of the collateral.</w:t>
                      </w: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Pr="00E84207" w:rsidRDefault="00D05948" w:rsidP="00D05948">
      <w:pPr>
        <w:tabs>
          <w:tab w:val="left" w:pos="360"/>
        </w:tabs>
        <w:spacing w:before="120"/>
        <w:jc w:val="both"/>
      </w:pPr>
    </w:p>
    <w:p w:rsidR="00E45F66" w:rsidRDefault="00E45F66" w:rsidP="00D05948">
      <w:pPr>
        <w:tabs>
          <w:tab w:val="left" w:pos="360"/>
        </w:tabs>
        <w:spacing w:before="120"/>
        <w:jc w:val="both"/>
      </w:pPr>
    </w:p>
    <w:p w:rsidR="00D05948" w:rsidRPr="00E84207" w:rsidRDefault="00D05948" w:rsidP="00D05948">
      <w:pPr>
        <w:tabs>
          <w:tab w:val="left" w:pos="360"/>
        </w:tabs>
        <w:spacing w:before="120"/>
        <w:jc w:val="both"/>
      </w:pPr>
      <w:r w:rsidRPr="00E84207">
        <w:t xml:space="preserve">The primary </w:t>
      </w:r>
      <w:r>
        <w:t>“</w:t>
      </w:r>
      <w:r w:rsidRPr="00E84207">
        <w:t>and</w:t>
      </w:r>
      <w:r>
        <w:t>”</w:t>
      </w:r>
      <w:r w:rsidRPr="00E84207">
        <w:t xml:space="preserve"> divides this sentence into two parts.  The underlining indicates the gist of each part.  The gist of the first is that </w:t>
      </w:r>
      <w:r>
        <w:t>“</w:t>
      </w:r>
      <w:r w:rsidRPr="00E84207">
        <w:t>a security interest may be perfected.</w:t>
      </w:r>
      <w:r>
        <w:t>”</w:t>
      </w:r>
      <w:r w:rsidRPr="00E84207">
        <w:t xml:space="preserve">  The gist of the second is that </w:t>
      </w:r>
      <w:r>
        <w:t>“</w:t>
      </w:r>
      <w:r w:rsidRPr="00E84207">
        <w:t>a security interest so perfected remains perfected.</w:t>
      </w:r>
      <w:r>
        <w:t>”</w:t>
      </w:r>
    </w:p>
    <w:p w:rsidR="00D05948" w:rsidRPr="00E84207" w:rsidRDefault="00D05948" w:rsidP="00D05948">
      <w:pPr>
        <w:tabs>
          <w:tab w:val="left" w:pos="720"/>
        </w:tabs>
        <w:spacing w:before="120"/>
        <w:ind w:left="720" w:right="720"/>
        <w:jc w:val="both"/>
      </w:pPr>
      <w:r w:rsidRPr="00E84207">
        <w:rPr>
          <w:i/>
        </w:rPr>
        <w:lastRenderedPageBreak/>
        <w:t>How to use skeletal sentences:</w:t>
      </w:r>
      <w:r w:rsidRPr="00E84207">
        <w:t xml:space="preserve"> Begin by noting where the sentence begins and ends.  Then look for primary if-then structures and primary conjunctions.  If they appear, they divide the sentence into separately-analyzable parts.  Each part is a clause with its own subject and verb.  The smaller </w:t>
      </w:r>
      <w:proofErr w:type="gramStart"/>
      <w:r w:rsidRPr="00E84207">
        <w:t>number of underlined words in a part constitute</w:t>
      </w:r>
      <w:proofErr w:type="gramEnd"/>
      <w:r w:rsidRPr="00E84207">
        <w:t xml:space="preserve"> the skeletal sentence for that part.  Focus on one such skeletal sentence.  Read the skeletal sentence first to understand generally what the sentence does.  Then consider how the remaining words of the sentence change its meaning.  Keep in mind that the most important words in the sentence may not be in the skeletal sentence.  The skeletal sentence underlining indicates </w:t>
      </w:r>
      <w:r w:rsidRPr="00E84207">
        <w:rPr>
          <w:i/>
        </w:rPr>
        <w:t>structure</w:t>
      </w:r>
      <w:r w:rsidRPr="00E84207">
        <w:t xml:space="preserve">, not </w:t>
      </w:r>
      <w:r w:rsidRPr="00E84207">
        <w:rPr>
          <w:i/>
        </w:rPr>
        <w:t>importance</w:t>
      </w:r>
      <w:r w:rsidRPr="00E84207">
        <w:t>.</w:t>
      </w:r>
    </w:p>
    <w:p w:rsidR="00D05948" w:rsidRDefault="00D05948" w:rsidP="00D05948">
      <w:pPr>
        <w:tabs>
          <w:tab w:val="left" w:pos="360"/>
        </w:tabs>
        <w:spacing w:before="120"/>
        <w:jc w:val="both"/>
      </w:pPr>
      <w:r w:rsidRPr="00E84207">
        <w:tab/>
      </w:r>
      <w:r w:rsidRPr="00E84207">
        <w:rPr>
          <w:b/>
          <w:bCs/>
        </w:rPr>
        <w:t>5. Secondary if-then clauses.</w:t>
      </w:r>
      <w:r w:rsidRPr="00E84207">
        <w:t xml:space="preserve">  If-then structures that do not qualify as primary are secondary.</w:t>
      </w:r>
      <w:r>
        <w:t xml:space="preserve">  </w:t>
      </w:r>
      <w:r w:rsidRPr="00E84207">
        <w:t xml:space="preserve">An if-then structure may not qualify as primary because (1) it does not divide the sentence into sub-sentences that can be analyzed in isolation, or (2) </w:t>
      </w:r>
      <w:r>
        <w:t>the condition</w:t>
      </w:r>
      <w:r w:rsidRPr="00E84207">
        <w:t xml:space="preserve"> relates to only a part of the sentence.  Most secondary if-clauses state conditions that, if met, result not in the primary consequence, but in some lesser consequence.  </w:t>
      </w:r>
      <w:r>
        <w:t>I</w:t>
      </w:r>
      <w:r w:rsidRPr="00E84207">
        <w:t xml:space="preserve"> have highlighted secondary if and then clauses by </w:t>
      </w:r>
      <w:r>
        <w:t xml:space="preserve">double-underlining </w:t>
      </w:r>
      <w:r w:rsidRPr="00E84207">
        <w:t xml:space="preserve">the </w:t>
      </w:r>
      <w:r>
        <w:t>“</w:t>
      </w:r>
      <w:r w:rsidRPr="00E84207">
        <w:t>ifs,</w:t>
      </w:r>
      <w:r>
        <w:t>”</w:t>
      </w:r>
      <w:r w:rsidRPr="00E84207">
        <w:t xml:space="preserve"> </w:t>
      </w:r>
      <w:r>
        <w:t>“</w:t>
      </w:r>
      <w:proofErr w:type="spellStart"/>
      <w:r w:rsidRPr="00E84207">
        <w:t>thens</w:t>
      </w:r>
      <w:proofErr w:type="spellEnd"/>
      <w:r w:rsidRPr="00E84207">
        <w:t>,</w:t>
      </w:r>
      <w:r>
        <w:t>”</w:t>
      </w:r>
      <w:r w:rsidRPr="00E84207">
        <w:t xml:space="preserve"> and equivalents.  </w:t>
      </w:r>
    </w:p>
    <w:p w:rsidR="00D05948" w:rsidRDefault="00D05948" w:rsidP="00D05948">
      <w:pPr>
        <w:tabs>
          <w:tab w:val="left" w:pos="360"/>
        </w:tabs>
        <w:spacing w:before="120"/>
        <w:jc w:val="both"/>
      </w:pPr>
      <w:r w:rsidRPr="00C0411D">
        <w:rPr>
          <w:noProof/>
        </w:rPr>
        <mc:AlternateContent>
          <mc:Choice Requires="wps">
            <w:drawing>
              <wp:anchor distT="0" distB="0" distL="114300" distR="114300" simplePos="0" relativeHeight="251663360" behindDoc="0" locked="0" layoutInCell="1" allowOverlap="1" wp14:anchorId="7FEEED38" wp14:editId="0C0F7622">
                <wp:simplePos x="0" y="0"/>
                <wp:positionH relativeFrom="column">
                  <wp:posOffset>516890</wp:posOffset>
                </wp:positionH>
                <wp:positionV relativeFrom="paragraph">
                  <wp:posOffset>104245</wp:posOffset>
                </wp:positionV>
                <wp:extent cx="4526915" cy="1403985"/>
                <wp:effectExtent l="0" t="0" r="2603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1403985"/>
                        </a:xfrm>
                        <a:prstGeom prst="rect">
                          <a:avLst/>
                        </a:prstGeom>
                        <a:solidFill>
                          <a:srgbClr val="FFFFFF"/>
                        </a:solidFill>
                        <a:ln w="9525">
                          <a:solidFill>
                            <a:srgbClr val="000000"/>
                          </a:solidFill>
                          <a:miter lim="800000"/>
                          <a:headEnd/>
                          <a:tailEnd/>
                        </a:ln>
                      </wps:spPr>
                      <wps:txbx>
                        <w:txbxContent>
                          <w:p w:rsidR="00D05948" w:rsidRDefault="00D05948" w:rsidP="00D05948">
                            <w:pPr>
                              <w:jc w:val="center"/>
                              <w:rPr>
                                <w:bCs/>
                                <w:i/>
                                <w:sz w:val="22"/>
                                <w:szCs w:val="22"/>
                              </w:rPr>
                            </w:pPr>
                            <w:r w:rsidRPr="00C0411D">
                              <w:rPr>
                                <w:bCs/>
                                <w:i/>
                                <w:sz w:val="22"/>
                                <w:szCs w:val="22"/>
                              </w:rPr>
                              <w:t xml:space="preserve">Example: </w:t>
                            </w:r>
                            <w:r>
                              <w:rPr>
                                <w:bCs/>
                                <w:i/>
                                <w:sz w:val="22"/>
                                <w:szCs w:val="22"/>
                              </w:rPr>
                              <w:t>Secondary If-then</w:t>
                            </w:r>
                            <w:r w:rsidRPr="00C0411D">
                              <w:rPr>
                                <w:bCs/>
                                <w:i/>
                                <w:sz w:val="22"/>
                                <w:szCs w:val="22"/>
                              </w:rPr>
                              <w:t xml:space="preserve"> Marking</w:t>
                            </w:r>
                          </w:p>
                          <w:p w:rsidR="00D05948" w:rsidRPr="00E84207" w:rsidRDefault="00D05948" w:rsidP="00D05948">
                            <w:pPr>
                              <w:tabs>
                                <w:tab w:val="left" w:pos="360"/>
                              </w:tabs>
                              <w:spacing w:before="120"/>
                              <w:ind w:left="180"/>
                              <w:jc w:val="both"/>
                            </w:pPr>
                            <w:r>
                              <w:t xml:space="preserve">UCC </w:t>
                            </w:r>
                            <w:r>
                              <w:rPr>
                                <w:rFonts w:ascii="Arial" w:hAnsi="Arial" w:cs="Arial"/>
                              </w:rPr>
                              <w:t>§</w:t>
                            </w:r>
                            <w:r>
                              <w:t xml:space="preserve"> 9-203(b</w:t>
                            </w:r>
                            <w:proofErr w:type="gramStart"/>
                            <w:r>
                              <w:t>)(</w:t>
                            </w:r>
                            <w:proofErr w:type="gramEnd"/>
                            <w:r>
                              <w:t>3) provides that a security interest is enforceable only if one of the following conditions is met:</w:t>
                            </w:r>
                          </w:p>
                          <w:p w:rsidR="00D05948" w:rsidRPr="00E84207" w:rsidRDefault="00D05948" w:rsidP="00D05948">
                            <w:pPr>
                              <w:tabs>
                                <w:tab w:val="left" w:pos="720"/>
                              </w:tabs>
                              <w:spacing w:before="120"/>
                              <w:ind w:left="180"/>
                              <w:jc w:val="both"/>
                            </w:pPr>
                            <w:r w:rsidRPr="00E84207">
                              <w:t xml:space="preserve"> </w:t>
                            </w:r>
                            <w:r w:rsidRPr="00E84207">
                              <w:rPr>
                                <w:rStyle w:val="LL-Chr--ParagraphNumbersinparens"/>
                              </w:rPr>
                              <w:t>(A)</w:t>
                            </w:r>
                            <w:r w:rsidRPr="00E84207">
                              <w:t xml:space="preserve"> </w:t>
                            </w:r>
                            <w:proofErr w:type="gramStart"/>
                            <w:r w:rsidRPr="00B8469A">
                              <w:t>the</w:t>
                            </w:r>
                            <w:proofErr w:type="gramEnd"/>
                            <w:r w:rsidRPr="00B8469A">
                              <w:t xml:space="preserve"> debtor has authenticated a security agreement</w:t>
                            </w:r>
                            <w:r w:rsidRPr="00E84207">
                              <w:t xml:space="preserve"> that provides a description of the collateral </w:t>
                            </w:r>
                            <w:r w:rsidRPr="002C5086">
                              <w:t>and</w:t>
                            </w:r>
                            <w:r w:rsidRPr="00E84207">
                              <w:t xml:space="preserve">, </w:t>
                            </w:r>
                            <w:r w:rsidRPr="00E84207">
                              <w:rPr>
                                <w:rStyle w:val="LL-Chr--SecondaryIf-Then"/>
                              </w:rPr>
                              <w:t>if</w:t>
                            </w:r>
                            <w:r w:rsidRPr="00E84207">
                              <w:t xml:space="preserve"> the security interest covers timber to be cut, </w:t>
                            </w:r>
                            <w:r w:rsidRPr="00E84207">
                              <w:rPr>
                                <w:rStyle w:val="LL-Chr--SecondaryIf-ThenBRACKETS"/>
                              </w:rPr>
                              <w:t>[then]</w:t>
                            </w:r>
                            <w:r w:rsidRPr="00E84207">
                              <w:t xml:space="preserve"> a description of the land concerned;</w:t>
                            </w:r>
                          </w:p>
                          <w:p w:rsidR="00D05948" w:rsidRDefault="00D05948" w:rsidP="00D05948">
                            <w:pPr>
                              <w:jc w:val="center"/>
                              <w:rPr>
                                <w:bCs/>
                                <w:i/>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30" type="#_x0000_t202" style="position:absolute;left:0;text-align:left;margin-left:40.7pt;margin-top:8.2pt;width:356.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">
                <v:textbox style="mso-fit-shape-to-text:t">
                  <w:txbxContent>
                    <w:p w:rsidR="00D05948" w:rsidRDefault="00D05948" w:rsidP="00D05948">
                      <w:pPr>
                        <w:jc w:val="center"/>
                        <w:rPr>
                          <w:bCs/>
                          <w:i/>
                          <w:sz w:val="22"/>
                          <w:szCs w:val="22"/>
                        </w:rPr>
                      </w:pPr>
                      <w:r w:rsidRPr="00C0411D">
                        <w:rPr>
                          <w:bCs/>
                          <w:i/>
                          <w:sz w:val="22"/>
                          <w:szCs w:val="22"/>
                        </w:rPr>
                        <w:t xml:space="preserve">Example: </w:t>
                      </w:r>
                      <w:r>
                        <w:rPr>
                          <w:bCs/>
                          <w:i/>
                          <w:sz w:val="22"/>
                          <w:szCs w:val="22"/>
                        </w:rPr>
                        <w:t>Secondary If-then</w:t>
                      </w:r>
                      <w:r w:rsidRPr="00C0411D">
                        <w:rPr>
                          <w:bCs/>
                          <w:i/>
                          <w:sz w:val="22"/>
                          <w:szCs w:val="22"/>
                        </w:rPr>
                        <w:t xml:space="preserve"> Marking</w:t>
                      </w:r>
                    </w:p>
                    <w:p w:rsidR="00D05948" w:rsidRPr="00E84207" w:rsidRDefault="00D05948" w:rsidP="00D05948">
                      <w:pPr>
                        <w:tabs>
                          <w:tab w:val="left" w:pos="360"/>
                        </w:tabs>
                        <w:spacing w:before="120"/>
                        <w:ind w:left="180"/>
                        <w:jc w:val="both"/>
                      </w:pPr>
                      <w:r>
                        <w:t xml:space="preserve">UCC </w:t>
                      </w:r>
                      <w:r>
                        <w:rPr>
                          <w:rFonts w:ascii="Arial" w:hAnsi="Arial" w:cs="Arial"/>
                        </w:rPr>
                        <w:t>§</w:t>
                      </w:r>
                      <w:r>
                        <w:t xml:space="preserve"> 9-203(b</w:t>
                      </w:r>
                      <w:proofErr w:type="gramStart"/>
                      <w:r>
                        <w:t>)(</w:t>
                      </w:r>
                      <w:proofErr w:type="gramEnd"/>
                      <w:r>
                        <w:t>3) provides that a security interest is enforceable only if one of the following conditions is met:</w:t>
                      </w:r>
                    </w:p>
                    <w:p w:rsidR="00D05948" w:rsidRPr="00E84207" w:rsidRDefault="00D05948" w:rsidP="00D05948">
                      <w:pPr>
                        <w:tabs>
                          <w:tab w:val="left" w:pos="720"/>
                        </w:tabs>
                        <w:spacing w:before="120"/>
                        <w:ind w:left="180"/>
                        <w:jc w:val="both"/>
                      </w:pPr>
                      <w:r w:rsidRPr="00E84207">
                        <w:t xml:space="preserve"> </w:t>
                      </w:r>
                      <w:r w:rsidRPr="00E84207">
                        <w:rPr>
                          <w:rStyle w:val="LL-Chr--ParagraphNumbersinparens"/>
                        </w:rPr>
                        <w:t>(A)</w:t>
                      </w:r>
                      <w:r w:rsidRPr="00E84207">
                        <w:t xml:space="preserve"> </w:t>
                      </w:r>
                      <w:proofErr w:type="gramStart"/>
                      <w:r w:rsidRPr="00B8469A">
                        <w:t>the</w:t>
                      </w:r>
                      <w:proofErr w:type="gramEnd"/>
                      <w:r w:rsidRPr="00B8469A">
                        <w:t xml:space="preserve"> debtor has authenticated a security agreement</w:t>
                      </w:r>
                      <w:r w:rsidRPr="00E84207">
                        <w:t xml:space="preserve"> that provides a description of the collateral </w:t>
                      </w:r>
                      <w:r w:rsidRPr="002C5086">
                        <w:t>and</w:t>
                      </w:r>
                      <w:r w:rsidRPr="00E84207">
                        <w:t xml:space="preserve">, </w:t>
                      </w:r>
                      <w:r w:rsidRPr="00E84207">
                        <w:rPr>
                          <w:rStyle w:val="LL-Chr--SecondaryIf-Then"/>
                        </w:rPr>
                        <w:t>if</w:t>
                      </w:r>
                      <w:r w:rsidRPr="00E84207">
                        <w:t xml:space="preserve"> the security interest covers timber to be cut, </w:t>
                      </w:r>
                      <w:r w:rsidRPr="00E84207">
                        <w:rPr>
                          <w:rStyle w:val="LL-Chr--SecondaryIf-ThenBRACKETS"/>
                        </w:rPr>
                        <w:t>[then]</w:t>
                      </w:r>
                      <w:r w:rsidRPr="00E84207">
                        <w:t xml:space="preserve"> a description of the land concerned;</w:t>
                      </w:r>
                    </w:p>
                    <w:p w:rsidR="00D05948" w:rsidRDefault="00D05948" w:rsidP="00D05948">
                      <w:pPr>
                        <w:jc w:val="center"/>
                        <w:rPr>
                          <w:bCs/>
                          <w:i/>
                          <w:sz w:val="22"/>
                          <w:szCs w:val="22"/>
                        </w:rPr>
                      </w:pP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Pr="00E84207" w:rsidRDefault="00D05948" w:rsidP="00D05948">
      <w:pPr>
        <w:tabs>
          <w:tab w:val="left" w:pos="360"/>
        </w:tabs>
        <w:spacing w:before="120"/>
        <w:jc w:val="both"/>
      </w:pPr>
    </w:p>
    <w:p w:rsidR="00D05948" w:rsidRPr="00E84207" w:rsidRDefault="00D05948" w:rsidP="00D05948">
      <w:pPr>
        <w:tabs>
          <w:tab w:val="left" w:pos="360"/>
        </w:tabs>
        <w:spacing w:before="120"/>
        <w:jc w:val="both"/>
      </w:pPr>
      <w:r w:rsidRPr="00E84207">
        <w:t>This if-then structure is secondary because the first requirement in subsection (A) – a description of collateral – applies even if the condition is not met.  The condition determines only the need for a description of the land.</w:t>
      </w:r>
    </w:p>
    <w:p w:rsidR="00D05948" w:rsidRPr="00E84207" w:rsidRDefault="00D05948" w:rsidP="00D05948">
      <w:pPr>
        <w:tabs>
          <w:tab w:val="left" w:pos="360"/>
        </w:tabs>
        <w:spacing w:before="120"/>
        <w:jc w:val="both"/>
      </w:pPr>
      <w:r w:rsidRPr="00E84207">
        <w:tab/>
        <w:t xml:space="preserve">  Independent clauses having both a subject and a verb usually do not exist within secondary if or then clauses.  Even when they do, </w:t>
      </w:r>
      <w:r>
        <w:t>I</w:t>
      </w:r>
      <w:r w:rsidRPr="00E84207">
        <w:t xml:space="preserve"> have </w:t>
      </w:r>
      <w:r>
        <w:t xml:space="preserve">not marked them as </w:t>
      </w:r>
      <w:r w:rsidRPr="00E84207">
        <w:t>skeletal sentences</w:t>
      </w:r>
      <w:r>
        <w:t xml:space="preserve"> to avoid confusion with primary skeletal sentences</w:t>
      </w:r>
      <w:r w:rsidRPr="00E84207">
        <w:t>.</w:t>
      </w:r>
    </w:p>
    <w:p w:rsidR="00D05948" w:rsidRPr="00E84207" w:rsidRDefault="00D05948" w:rsidP="00D05948">
      <w:pPr>
        <w:tabs>
          <w:tab w:val="left" w:pos="720"/>
        </w:tabs>
        <w:spacing w:before="120"/>
        <w:ind w:left="720" w:right="720"/>
        <w:jc w:val="both"/>
      </w:pPr>
      <w:r w:rsidRPr="00E84207">
        <w:rPr>
          <w:i/>
        </w:rPr>
        <w:t>How to use secondary if-then clauses:</w:t>
      </w:r>
      <w:r w:rsidRPr="00E84207">
        <w:t xml:space="preserve"> Locate the </w:t>
      </w:r>
      <w:r>
        <w:t>“</w:t>
      </w:r>
      <w:r w:rsidRPr="00E84207">
        <w:t>if</w:t>
      </w:r>
      <w:r>
        <w:t>”</w:t>
      </w:r>
      <w:r w:rsidRPr="00E84207">
        <w:t xml:space="preserve"> and corresponding </w:t>
      </w:r>
      <w:r>
        <w:t>“</w:t>
      </w:r>
      <w:r w:rsidRPr="00E84207">
        <w:t>then.</w:t>
      </w:r>
      <w:r>
        <w:t>”</w:t>
      </w:r>
      <w:r w:rsidRPr="00E84207">
        <w:t xml:space="preserve">  Consider each clause separately, but keep in mind that elements of the clause may be implied from and found in, other parts of the sentence.  If the condition is met, the condition becomes irrelevant.  You can read the sentence as if the condition</w:t>
      </w:r>
      <w:r>
        <w:t>al</w:t>
      </w:r>
      <w:r w:rsidRPr="00E84207">
        <w:t xml:space="preserve"> language w</w:t>
      </w:r>
      <w:r>
        <w:t>ere</w:t>
      </w:r>
      <w:r w:rsidRPr="00E84207">
        <w:t xml:space="preserve"> not present.  If the condition is not met, the entire secondary if-then clause becomes irrelevant.  You can read the sentence as if the secondary if-then clause were not present.</w:t>
      </w:r>
    </w:p>
    <w:p w:rsidR="00D05948" w:rsidRPr="00E84207" w:rsidRDefault="00D05948" w:rsidP="00D05948">
      <w:pPr>
        <w:tabs>
          <w:tab w:val="left" w:pos="360"/>
        </w:tabs>
        <w:spacing w:before="120"/>
        <w:jc w:val="both"/>
      </w:pPr>
      <w:r w:rsidRPr="00E84207">
        <w:tab/>
      </w:r>
      <w:r w:rsidRPr="00E84207">
        <w:rPr>
          <w:b/>
          <w:bCs/>
        </w:rPr>
        <w:t>6. Primary exceptions.</w:t>
      </w:r>
      <w:r w:rsidRPr="00E84207">
        <w:t xml:space="preserve">  A primary exception is an exception that applies to the entire sentence.  That is, if the terms of the exception are met, the sentence has no application.  </w:t>
      </w:r>
      <w:r>
        <w:t>I</w:t>
      </w:r>
      <w:r w:rsidRPr="00E84207">
        <w:t xml:space="preserve"> </w:t>
      </w:r>
      <w:r w:rsidRPr="00E84207">
        <w:lastRenderedPageBreak/>
        <w:t xml:space="preserve">have used prominent parentheses that appear as half-circles to mark the beginning and end of each primary exception.  They appear like </w:t>
      </w:r>
      <w:r w:rsidRPr="00E84207">
        <w:rPr>
          <w:rStyle w:val="LL-Chr--PrimaryExceptionswinding"/>
        </w:rPr>
        <w:sym w:font="Wingdings 2" w:char="F0BA"/>
      </w:r>
      <w:r w:rsidRPr="00E84207">
        <w:t>this</w:t>
      </w:r>
      <w:r w:rsidRPr="00E84207">
        <w:rPr>
          <w:rStyle w:val="LL-Chr--PrimaryExceptionswinding"/>
        </w:rPr>
        <w:sym w:font="Wingdings 2" w:char="F0BB"/>
      </w:r>
      <w:r w:rsidRPr="00E84207">
        <w:t>.</w:t>
      </w:r>
    </w:p>
    <w:p w:rsidR="00D05948" w:rsidRPr="00E84207" w:rsidRDefault="00D05948" w:rsidP="00D05948">
      <w:pPr>
        <w:tabs>
          <w:tab w:val="left" w:pos="720"/>
        </w:tabs>
        <w:spacing w:before="120"/>
        <w:ind w:left="720" w:right="720"/>
        <w:jc w:val="both"/>
      </w:pPr>
      <w:r w:rsidRPr="00E84207">
        <w:rPr>
          <w:i/>
        </w:rPr>
        <w:t>How to use primary exceptions:</w:t>
      </w:r>
      <w:r w:rsidRPr="00E84207">
        <w:t xml:space="preserve"> Depending on the circumstances that brought the reader to the statute, the reader can either (1) analyze the section, ignoring the exception language until the analysis is complete, or (2) analyze the exception, ignoring the remainder of the exception until the reader determines whether the exception has rendered it irrelevant.</w:t>
      </w:r>
    </w:p>
    <w:p w:rsidR="00D05948" w:rsidRPr="00E84207" w:rsidRDefault="00D05948" w:rsidP="00D05948">
      <w:pPr>
        <w:tabs>
          <w:tab w:val="left" w:pos="360"/>
        </w:tabs>
        <w:spacing w:before="120"/>
        <w:jc w:val="both"/>
      </w:pPr>
      <w:r w:rsidRPr="00E84207">
        <w:tab/>
      </w:r>
      <w:r w:rsidRPr="00E84207">
        <w:rPr>
          <w:b/>
          <w:bCs/>
        </w:rPr>
        <w:t>7. Secondary exceptions.</w:t>
      </w:r>
      <w:r w:rsidRPr="00E84207">
        <w:t xml:space="preserve">  A secondary exception is an exception from part of a sentence, but not from the entire sentence.  </w:t>
      </w:r>
      <w:r>
        <w:t>I</w:t>
      </w:r>
      <w:r w:rsidRPr="00E84207">
        <w:t xml:space="preserve"> have indicated the beginning and end of significant secondary exceptions with prominent parentheses that appear as half-diamonds.  They look like </w:t>
      </w:r>
      <w:r w:rsidRPr="00E84207">
        <w:rPr>
          <w:rStyle w:val="LL-Chr--SecondaryExceptionstriangle"/>
        </w:rPr>
        <w:sym w:font="Wingdings 3" w:char="F07C"/>
      </w:r>
      <w:r w:rsidRPr="00E84207">
        <w:t>this</w:t>
      </w:r>
      <w:r w:rsidRPr="00E84207">
        <w:rPr>
          <w:rStyle w:val="LL-Chr--SecondaryExceptionstriangle"/>
        </w:rPr>
        <w:sym w:font="Wingdings 3" w:char="F07D"/>
      </w:r>
      <w:r w:rsidRPr="00E84207">
        <w:t>.</w:t>
      </w:r>
    </w:p>
    <w:p w:rsidR="00D05948" w:rsidRPr="00E84207" w:rsidRDefault="00D05948" w:rsidP="00D05948">
      <w:pPr>
        <w:tabs>
          <w:tab w:val="left" w:pos="720"/>
        </w:tabs>
        <w:spacing w:before="120"/>
        <w:ind w:left="720" w:right="720"/>
        <w:jc w:val="both"/>
      </w:pPr>
      <w:r w:rsidRPr="00E84207">
        <w:rPr>
          <w:i/>
        </w:rPr>
        <w:t>How to use secondary exceptions:</w:t>
      </w:r>
      <w:r w:rsidRPr="00E84207">
        <w:t xml:space="preserve">  Readers can ignore the secondary exception in analyzing the part of the sentence to which the secondary exception applies, until after the reader has analyzed that part.</w:t>
      </w:r>
    </w:p>
    <w:p w:rsidR="00D05948" w:rsidRDefault="00D05948" w:rsidP="00D05948">
      <w:pPr>
        <w:tabs>
          <w:tab w:val="left" w:pos="360"/>
        </w:tabs>
        <w:spacing w:before="120"/>
        <w:jc w:val="both"/>
      </w:pPr>
      <w:r w:rsidRPr="00E84207">
        <w:tab/>
      </w:r>
      <w:r w:rsidRPr="00E84207">
        <w:rPr>
          <w:b/>
          <w:bCs/>
        </w:rPr>
        <w:t xml:space="preserve">8. Cohesive phrases. </w:t>
      </w:r>
      <w:r w:rsidRPr="00E84207">
        <w:t xml:space="preserve"> A cohesive phrase is a group of words that are best read as a single unit.  </w:t>
      </w:r>
      <w:r>
        <w:t xml:space="preserve">A cohesive phrase may be a term or art, a qualification, the specification of an amount, or the specification of a hypothetical (to name just a few possibilities).  Sometimes it </w:t>
      </w:r>
      <w:r w:rsidRPr="00E84207">
        <w:t>may be helpful to think of the entire phrase as a multi-word noun.  The phrase may be two or three words, or it may continue for several lines of text.</w:t>
      </w:r>
      <w:r>
        <w:t xml:space="preserve">  I used bold parentheses to mark the beginning and end of each cohesive phrase.</w:t>
      </w:r>
    </w:p>
    <w:p w:rsidR="00D05948" w:rsidRDefault="00D05948" w:rsidP="00D05948">
      <w:pPr>
        <w:tabs>
          <w:tab w:val="left" w:pos="360"/>
        </w:tabs>
        <w:spacing w:before="120"/>
        <w:jc w:val="both"/>
      </w:pPr>
    </w:p>
    <w:p w:rsidR="00D05948" w:rsidRDefault="00D05948" w:rsidP="00D05948">
      <w:pPr>
        <w:tabs>
          <w:tab w:val="left" w:pos="360"/>
        </w:tabs>
        <w:spacing w:before="120"/>
        <w:jc w:val="both"/>
      </w:pPr>
      <w:r w:rsidRPr="00B8469A">
        <w:rPr>
          <w:noProof/>
        </w:rPr>
        <mc:AlternateContent>
          <mc:Choice Requires="wps">
            <w:drawing>
              <wp:anchor distT="0" distB="0" distL="114300" distR="114300" simplePos="0" relativeHeight="251664384" behindDoc="0" locked="0" layoutInCell="1" allowOverlap="1" wp14:anchorId="4833A256" wp14:editId="7FE7889E">
                <wp:simplePos x="0" y="0"/>
                <wp:positionH relativeFrom="column">
                  <wp:align>center</wp:align>
                </wp:positionH>
                <wp:positionV relativeFrom="paragraph">
                  <wp:posOffset>0</wp:posOffset>
                </wp:positionV>
                <wp:extent cx="3994118" cy="1403985"/>
                <wp:effectExtent l="0" t="0" r="2603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18" cy="1403985"/>
                        </a:xfrm>
                        <a:prstGeom prst="rect">
                          <a:avLst/>
                        </a:prstGeom>
                        <a:solidFill>
                          <a:srgbClr val="FFFFFF"/>
                        </a:solidFill>
                        <a:ln w="9525">
                          <a:solidFill>
                            <a:srgbClr val="000000"/>
                          </a:solidFill>
                          <a:miter lim="800000"/>
                          <a:headEnd/>
                          <a:tailEnd/>
                        </a:ln>
                      </wps:spPr>
                      <wps:txbx>
                        <w:txbxContent>
                          <w:p w:rsidR="00D05948" w:rsidRPr="00B8469A" w:rsidRDefault="00D05948" w:rsidP="00D05948">
                            <w:pPr>
                              <w:jc w:val="center"/>
                              <w:rPr>
                                <w:i/>
                                <w:sz w:val="22"/>
                                <w:szCs w:val="22"/>
                              </w:rPr>
                            </w:pPr>
                            <w:r w:rsidRPr="00B8469A">
                              <w:rPr>
                                <w:i/>
                                <w:sz w:val="22"/>
                                <w:szCs w:val="22"/>
                              </w:rPr>
                              <w:t>Example: Cohesive Phrases</w:t>
                            </w:r>
                          </w:p>
                          <w:p w:rsidR="00D05948" w:rsidRPr="00B8469A" w:rsidRDefault="00D05948" w:rsidP="00D05948">
                            <w:pPr>
                              <w:tabs>
                                <w:tab w:val="left" w:pos="360"/>
                              </w:tabs>
                              <w:spacing w:before="120"/>
                              <w:ind w:left="180"/>
                              <w:jc w:val="both"/>
                              <w:rPr>
                                <w:sz w:val="22"/>
                                <w:szCs w:val="22"/>
                              </w:rPr>
                            </w:pPr>
                            <w:r w:rsidRPr="00B8469A">
                              <w:rPr>
                                <w:sz w:val="22"/>
                                <w:szCs w:val="22"/>
                              </w:rPr>
                              <w:t xml:space="preserve">[T]he term “contractual right” includes a right set forth in a rule or bylaw of  . . . </w:t>
                            </w:r>
                            <w:r w:rsidRPr="00B8469A">
                              <w:rPr>
                                <w:rStyle w:val="LL-Chr--CohesivePhrase-parens"/>
                                <w:sz w:val="22"/>
                                <w:szCs w:val="22"/>
                              </w:rPr>
                              <w:t>(</w:t>
                            </w:r>
                            <w:r w:rsidRPr="00B8469A">
                              <w:rPr>
                                <w:sz w:val="22"/>
                                <w:szCs w:val="22"/>
                              </w:rPr>
                              <w:t>a securities clearing agency,</w:t>
                            </w:r>
                            <w:r w:rsidRPr="00B8469A">
                              <w:rPr>
                                <w:rStyle w:val="LL-Chr--CohesivePhrase-parens"/>
                                <w:sz w:val="22"/>
                                <w:szCs w:val="22"/>
                              </w:rPr>
                              <w:t>)</w:t>
                            </w:r>
                            <w:r w:rsidRPr="00B8469A">
                              <w:rPr>
                                <w:sz w:val="22"/>
                                <w:szCs w:val="22"/>
                              </w:rPr>
                              <w:t xml:space="preserve"> </w:t>
                            </w:r>
                            <w:r w:rsidRPr="00B8469A">
                              <w:rPr>
                                <w:rStyle w:val="LL-Chr--CohesivePhrase-parens"/>
                                <w:sz w:val="22"/>
                                <w:szCs w:val="22"/>
                              </w:rPr>
                              <w:t>(</w:t>
                            </w:r>
                            <w:r w:rsidRPr="00B8469A">
                              <w:rPr>
                                <w:sz w:val="22"/>
                                <w:szCs w:val="22"/>
                              </w:rPr>
                              <w:t>a contract market designated under the Commodity Exchange Act,</w:t>
                            </w:r>
                            <w:r w:rsidRPr="00B8469A">
                              <w:rPr>
                                <w:rStyle w:val="LL-Chr--CohesivePhrase-parens"/>
                                <w:sz w:val="22"/>
                                <w:szCs w:val="22"/>
                              </w:rPr>
                              <w:t>)</w:t>
                            </w:r>
                            <w:r w:rsidRPr="00B8469A">
                              <w:rPr>
                                <w:sz w:val="22"/>
                                <w:szCs w:val="22"/>
                              </w:rPr>
                              <w:t xml:space="preserve"> </w:t>
                            </w:r>
                            <w:r w:rsidRPr="00B8469A">
                              <w:rPr>
                                <w:rStyle w:val="LL-Chr--CohesivePhrase-parens"/>
                                <w:sz w:val="22"/>
                                <w:szCs w:val="22"/>
                              </w:rPr>
                              <w:t>(</w:t>
                            </w:r>
                            <w:r w:rsidRPr="00B8469A">
                              <w:rPr>
                                <w:sz w:val="22"/>
                                <w:szCs w:val="22"/>
                              </w:rPr>
                              <w:t>a derivatives transaction execution facility registered under the Commodity Exchange Act,</w:t>
                            </w:r>
                            <w:r w:rsidRPr="00B8469A">
                              <w:rPr>
                                <w:rStyle w:val="LL-Chr--CohesivePhrase-parens"/>
                                <w:sz w:val="22"/>
                                <w:szCs w:val="22"/>
                              </w:rPr>
                              <w:t>)</w:t>
                            </w:r>
                            <w:r w:rsidRPr="00B8469A">
                              <w:rPr>
                                <w:sz w:val="22"/>
                                <w:szCs w:val="22"/>
                              </w:rPr>
                              <w:t xml:space="preserve"> or </w:t>
                            </w:r>
                            <w:r w:rsidRPr="00B8469A">
                              <w:rPr>
                                <w:rStyle w:val="LL-Chr--CohesivePhrase-parens"/>
                                <w:sz w:val="22"/>
                                <w:szCs w:val="22"/>
                              </w:rPr>
                              <w:t>(</w:t>
                            </w:r>
                            <w:r w:rsidRPr="00B8469A">
                              <w:rPr>
                                <w:sz w:val="22"/>
                                <w:szCs w:val="22"/>
                              </w:rPr>
                              <w:t>a board of trade (as defined in the Commodity Exchange Act)</w:t>
                            </w:r>
                            <w:r w:rsidRPr="00B8469A">
                              <w:rPr>
                                <w:rStyle w:val="LL-Chr--CohesivePhrase-parens"/>
                                <w:sz w:val="22"/>
                                <w:szCs w:val="22"/>
                              </w:rPr>
                              <w:t>)</w:t>
                            </w:r>
                            <w:r w:rsidRPr="00B8469A">
                              <w:rPr>
                                <w:sz w:val="22"/>
                                <w:szCs w:val="22"/>
                              </w:rPr>
                              <w:t>, or in a resolution of the governing board thereof,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314.5pt;height:110.55pt;z-index:2516643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">
                <v:textbox style="mso-fit-shape-to-text:t">
                  <w:txbxContent>
                    <w:p w:rsidR="00D05948" w:rsidRPr="00B8469A" w:rsidRDefault="00D05948" w:rsidP="00D05948">
                      <w:pPr>
                        <w:jc w:val="center"/>
                        <w:rPr>
                          <w:i/>
                          <w:sz w:val="22"/>
                          <w:szCs w:val="22"/>
                        </w:rPr>
                      </w:pPr>
                      <w:r w:rsidRPr="00B8469A">
                        <w:rPr>
                          <w:i/>
                          <w:sz w:val="22"/>
                          <w:szCs w:val="22"/>
                        </w:rPr>
                        <w:t>Example: Cohesive Phrases</w:t>
                      </w:r>
                    </w:p>
                    <w:p w:rsidR="00D05948" w:rsidRPr="00B8469A" w:rsidRDefault="00D05948" w:rsidP="00D05948">
                      <w:pPr>
                        <w:tabs>
                          <w:tab w:val="left" w:pos="360"/>
                        </w:tabs>
                        <w:spacing w:before="120"/>
                        <w:ind w:left="180"/>
                        <w:jc w:val="both"/>
                        <w:rPr>
                          <w:sz w:val="22"/>
                          <w:szCs w:val="22"/>
                        </w:rPr>
                      </w:pPr>
                      <w:r w:rsidRPr="00B8469A">
                        <w:rPr>
                          <w:sz w:val="22"/>
                          <w:szCs w:val="22"/>
                        </w:rPr>
                        <w:t xml:space="preserve">[T]he term “contractual right” includes a right set forth in a rule or bylaw of  . . . </w:t>
                      </w:r>
                      <w:r w:rsidRPr="00B8469A">
                        <w:rPr>
                          <w:rStyle w:val="LL-Chr--CohesivePhrase-parens"/>
                          <w:sz w:val="22"/>
                          <w:szCs w:val="22"/>
                        </w:rPr>
                        <w:t>(</w:t>
                      </w:r>
                      <w:r w:rsidRPr="00B8469A">
                        <w:rPr>
                          <w:sz w:val="22"/>
                          <w:szCs w:val="22"/>
                        </w:rPr>
                        <w:t>a securities clearing agency,</w:t>
                      </w:r>
                      <w:r w:rsidRPr="00B8469A">
                        <w:rPr>
                          <w:rStyle w:val="LL-Chr--CohesivePhrase-parens"/>
                          <w:sz w:val="22"/>
                          <w:szCs w:val="22"/>
                        </w:rPr>
                        <w:t>)</w:t>
                      </w:r>
                      <w:r w:rsidRPr="00B8469A">
                        <w:rPr>
                          <w:sz w:val="22"/>
                          <w:szCs w:val="22"/>
                        </w:rPr>
                        <w:t xml:space="preserve"> </w:t>
                      </w:r>
                      <w:r w:rsidRPr="00B8469A">
                        <w:rPr>
                          <w:rStyle w:val="LL-Chr--CohesivePhrase-parens"/>
                          <w:sz w:val="22"/>
                          <w:szCs w:val="22"/>
                        </w:rPr>
                        <w:t>(</w:t>
                      </w:r>
                      <w:r w:rsidRPr="00B8469A">
                        <w:rPr>
                          <w:sz w:val="22"/>
                          <w:szCs w:val="22"/>
                        </w:rPr>
                        <w:t>a contract market designated under the Commodity Exchange Act,</w:t>
                      </w:r>
                      <w:r w:rsidRPr="00B8469A">
                        <w:rPr>
                          <w:rStyle w:val="LL-Chr--CohesivePhrase-parens"/>
                          <w:sz w:val="22"/>
                          <w:szCs w:val="22"/>
                        </w:rPr>
                        <w:t>)</w:t>
                      </w:r>
                      <w:r w:rsidRPr="00B8469A">
                        <w:rPr>
                          <w:sz w:val="22"/>
                          <w:szCs w:val="22"/>
                        </w:rPr>
                        <w:t xml:space="preserve"> </w:t>
                      </w:r>
                      <w:r w:rsidRPr="00B8469A">
                        <w:rPr>
                          <w:rStyle w:val="LL-Chr--CohesivePhrase-parens"/>
                          <w:sz w:val="22"/>
                          <w:szCs w:val="22"/>
                        </w:rPr>
                        <w:t>(</w:t>
                      </w:r>
                      <w:r w:rsidRPr="00B8469A">
                        <w:rPr>
                          <w:sz w:val="22"/>
                          <w:szCs w:val="22"/>
                        </w:rPr>
                        <w:t>a derivatives transaction execution facility registered under the Commodity Exchange Act,</w:t>
                      </w:r>
                      <w:r w:rsidRPr="00B8469A">
                        <w:rPr>
                          <w:rStyle w:val="LL-Chr--CohesivePhrase-parens"/>
                          <w:sz w:val="22"/>
                          <w:szCs w:val="22"/>
                        </w:rPr>
                        <w:t>)</w:t>
                      </w:r>
                      <w:r w:rsidRPr="00B8469A">
                        <w:rPr>
                          <w:sz w:val="22"/>
                          <w:szCs w:val="22"/>
                        </w:rPr>
                        <w:t xml:space="preserve"> or </w:t>
                      </w:r>
                      <w:r w:rsidRPr="00B8469A">
                        <w:rPr>
                          <w:rStyle w:val="LL-Chr--CohesivePhrase-parens"/>
                          <w:sz w:val="22"/>
                          <w:szCs w:val="22"/>
                        </w:rPr>
                        <w:t>(</w:t>
                      </w:r>
                      <w:r w:rsidRPr="00B8469A">
                        <w:rPr>
                          <w:sz w:val="22"/>
                          <w:szCs w:val="22"/>
                        </w:rPr>
                        <w:t>a board of trade (as defined in the Commodity Exchange Act)</w:t>
                      </w:r>
                      <w:r w:rsidRPr="00B8469A">
                        <w:rPr>
                          <w:rStyle w:val="LL-Chr--CohesivePhrase-parens"/>
                          <w:sz w:val="22"/>
                          <w:szCs w:val="22"/>
                        </w:rPr>
                        <w:t>)</w:t>
                      </w:r>
                      <w:r w:rsidRPr="00B8469A">
                        <w:rPr>
                          <w:sz w:val="22"/>
                          <w:szCs w:val="22"/>
                        </w:rPr>
                        <w:t>, or in a resolution of the governing board thereof,</w:t>
                      </w:r>
                    </w:p>
                  </w:txbxContent>
                </v:textbox>
              </v:shape>
            </w:pict>
          </mc:Fallback>
        </mc:AlternateContent>
      </w: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Default="00D05948" w:rsidP="00D05948">
      <w:pPr>
        <w:tabs>
          <w:tab w:val="left" w:pos="360"/>
        </w:tabs>
        <w:spacing w:before="120"/>
        <w:jc w:val="both"/>
      </w:pPr>
    </w:p>
    <w:p w:rsidR="00D05948" w:rsidRPr="00E84207" w:rsidRDefault="00D05948" w:rsidP="00D05948">
      <w:pPr>
        <w:tabs>
          <w:tab w:val="left" w:pos="360"/>
        </w:tabs>
        <w:spacing w:before="120"/>
        <w:jc w:val="both"/>
      </w:pPr>
      <w:r>
        <w:tab/>
        <w:t xml:space="preserve">As in the above example, cohesive phrases are often items in a list.  When they are, each item is likely to start with the same word and a conjunction indicating the relationship among them will appear between the last two items. </w:t>
      </w:r>
      <w:r w:rsidRPr="00E84207">
        <w:t xml:space="preserve">  </w:t>
      </w:r>
      <w:r>
        <w:t>When cohesive phrases are used as terms of art, they tend to repeat in the same sentence or in nearby sentences</w:t>
      </w:r>
      <w:r w:rsidRPr="00E84207">
        <w:t>.</w:t>
      </w:r>
    </w:p>
    <w:p w:rsidR="00D05948" w:rsidRPr="00E84207" w:rsidRDefault="00D05948" w:rsidP="00D05948">
      <w:pPr>
        <w:tabs>
          <w:tab w:val="left" w:pos="360"/>
        </w:tabs>
        <w:spacing w:before="120"/>
        <w:jc w:val="both"/>
      </w:pPr>
      <w:r w:rsidRPr="00E84207">
        <w:tab/>
        <w:t xml:space="preserve">Cohesive phrases may be nested one within another.  </w:t>
      </w:r>
      <w:r>
        <w:t xml:space="preserve">Each may have its own complex structure within it.  </w:t>
      </w:r>
      <w:r w:rsidRPr="00E84207">
        <w:t xml:space="preserve">To maintain simplicity in the marking system, </w:t>
      </w:r>
      <w:r>
        <w:t>I</w:t>
      </w:r>
      <w:r w:rsidRPr="00E84207">
        <w:t xml:space="preserve"> marked only a single level of those cohesive phrases.  That is, the cohesive phrases </w:t>
      </w:r>
      <w:r>
        <w:t>I</w:t>
      </w:r>
      <w:r w:rsidRPr="00E84207">
        <w:t xml:space="preserve"> marked do not overlap and are not nested.  Nor do they overlap with skeletal sentences.  They are </w:t>
      </w:r>
      <w:r>
        <w:t xml:space="preserve">always in </w:t>
      </w:r>
      <w:r w:rsidRPr="00E84207">
        <w:t>peripheral parts of the sentence.</w:t>
      </w:r>
    </w:p>
    <w:p w:rsidR="00D05948" w:rsidRPr="00E84207" w:rsidRDefault="00D05948" w:rsidP="00D05948">
      <w:pPr>
        <w:tabs>
          <w:tab w:val="left" w:pos="720"/>
        </w:tabs>
        <w:spacing w:before="120"/>
        <w:ind w:left="720" w:right="720"/>
        <w:jc w:val="both"/>
      </w:pPr>
      <w:r w:rsidRPr="00E84207">
        <w:rPr>
          <w:i/>
        </w:rPr>
        <w:t>How to use cohesive phrases:</w:t>
      </w:r>
      <w:r w:rsidRPr="00E84207">
        <w:t xml:space="preserve">  Read cohesive phrases from the inside out.  That is, begin by reading and understanding the phrase as a unit.  Then consider that unit in the context of the sentence.  </w:t>
      </w:r>
      <w:r>
        <w:t xml:space="preserve">If the cohesive phrase is a modifier, try to determine what it modifies.  </w:t>
      </w:r>
      <w:r w:rsidRPr="00E84207">
        <w:t xml:space="preserve">If cohesive phrases appear in </w:t>
      </w:r>
      <w:r w:rsidRPr="00E84207">
        <w:lastRenderedPageBreak/>
        <w:t>a list, examine the context to determine the consequence or significance of appearing on the list.</w:t>
      </w:r>
      <w:r>
        <w:t xml:space="preserve">  Scan surrounding sentences to see if the same cohesive phrase appears in them.</w:t>
      </w:r>
    </w:p>
    <w:p w:rsidR="00D05948" w:rsidRPr="00E84207" w:rsidRDefault="00D05948" w:rsidP="00D05948">
      <w:pPr>
        <w:tabs>
          <w:tab w:val="left" w:pos="360"/>
        </w:tabs>
        <w:spacing w:before="120"/>
        <w:jc w:val="both"/>
      </w:pPr>
      <w:r w:rsidRPr="00E84207">
        <w:tab/>
      </w:r>
      <w:r w:rsidRPr="00E84207">
        <w:rPr>
          <w:b/>
          <w:bCs/>
        </w:rPr>
        <w:t>9. Secondary conjunctions.</w:t>
      </w:r>
      <w:r w:rsidRPr="00E84207">
        <w:t xml:space="preserve">  A conjunction is secondary if it indicates an important relationship, but does not qualify as a primary conjunction.  (Most conjunctions qualify as neither primary nor secondary.)  Secondary conjunctions appear in a smaller font </w:t>
      </w:r>
      <w:r w:rsidRPr="00E84207">
        <w:rPr>
          <w:rStyle w:val="LL-Chr--SecondaryConjunction0"/>
          <w:sz w:val="24"/>
        </w:rPr>
        <w:t>and</w:t>
      </w:r>
      <w:r>
        <w:t xml:space="preserve"> in text boxes.</w:t>
      </w:r>
    </w:p>
    <w:p w:rsidR="00D05948" w:rsidRDefault="00D05948" w:rsidP="00D05948">
      <w:pPr>
        <w:tabs>
          <w:tab w:val="left" w:pos="360"/>
        </w:tabs>
        <w:spacing w:before="120"/>
        <w:jc w:val="both"/>
      </w:pPr>
      <w:r w:rsidRPr="00E84207">
        <w:tab/>
      </w:r>
      <w:r>
        <w:t>I</w:t>
      </w:r>
      <w:r w:rsidRPr="00E84207">
        <w:t xml:space="preserve"> have used secondary conjunction marks in three ways.  First, in skeletal sentences, they indicate the relationship between multiple subjects, verbs, or direct objects.  Second, in lists composed of cohesive phrases, they indicate the relationship among the cohesive phrases.  Third, where </w:t>
      </w:r>
      <w:r>
        <w:t>I</w:t>
      </w:r>
      <w:r w:rsidRPr="00E84207">
        <w:t xml:space="preserve"> have marked primary conjunctions to indicate the relationships among sub</w:t>
      </w:r>
      <w:r>
        <w:t>paragraphs</w:t>
      </w:r>
      <w:r w:rsidRPr="00E84207">
        <w:t xml:space="preserve">, </w:t>
      </w:r>
      <w:r>
        <w:t>I</w:t>
      </w:r>
      <w:r w:rsidRPr="00E84207">
        <w:t xml:space="preserve"> have marked secondary conjunctions to indicate the relationships among </w:t>
      </w:r>
      <w:r w:rsidRPr="00E84207">
        <w:rPr>
          <w:i/>
        </w:rPr>
        <w:t>sub-</w:t>
      </w:r>
      <w:r w:rsidRPr="00E84207">
        <w:t>sub</w:t>
      </w:r>
      <w:r>
        <w:t>paragraphs</w:t>
      </w:r>
      <w:r w:rsidRPr="00E84207">
        <w:t>.</w:t>
      </w:r>
    </w:p>
    <w:p w:rsidR="00D05948" w:rsidRDefault="00D05948" w:rsidP="00D05948">
      <w:pPr>
        <w:tabs>
          <w:tab w:val="left" w:pos="1170"/>
        </w:tabs>
        <w:spacing w:before="120"/>
        <w:ind w:left="810"/>
        <w:jc w:val="both"/>
      </w:pPr>
      <w:r>
        <w:rPr>
          <w:noProof/>
        </w:rPr>
        <mc:AlternateContent>
          <mc:Choice Requires="wps">
            <w:drawing>
              <wp:anchor distT="0" distB="0" distL="114300" distR="114300" simplePos="0" relativeHeight="251665408" behindDoc="0" locked="0" layoutInCell="1" allowOverlap="1" wp14:anchorId="70710B42" wp14:editId="3BC9D88A">
                <wp:simplePos x="0" y="0"/>
                <wp:positionH relativeFrom="margin">
                  <wp:posOffset>501015</wp:posOffset>
                </wp:positionH>
                <wp:positionV relativeFrom="paragraph">
                  <wp:posOffset>168275</wp:posOffset>
                </wp:positionV>
                <wp:extent cx="4498975" cy="695325"/>
                <wp:effectExtent l="0" t="0" r="15875" b="28575"/>
                <wp:wrapSquare wrapText="bothSides"/>
                <wp:docPr id="8" name="Text Box 8"/>
                <wp:cNvGraphicFramePr/>
                <a:graphic xmlns:a="http://schemas.openxmlformats.org/drawingml/2006/main">
                  <a:graphicData uri="http://schemas.microsoft.com/office/word/2010/wordprocessingShape">
                    <wps:wsp>
                      <wps:cNvSpPr txBox="1"/>
                      <wps:spPr>
                        <a:xfrm>
                          <a:off x="0" y="0"/>
                          <a:ext cx="4498975" cy="695325"/>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D05948" w:rsidRPr="00CE05A6" w:rsidRDefault="00D05948" w:rsidP="00D05948">
                            <w:pPr>
                              <w:jc w:val="center"/>
                              <w:rPr>
                                <w:i/>
                                <w:sz w:val="22"/>
                                <w:szCs w:val="22"/>
                              </w:rPr>
                            </w:pPr>
                            <w:r w:rsidRPr="00CE05A6">
                              <w:rPr>
                                <w:i/>
                                <w:sz w:val="22"/>
                                <w:szCs w:val="22"/>
                              </w:rPr>
                              <w:t xml:space="preserve">Example: Secondary Conjunction </w:t>
                            </w:r>
                          </w:p>
                          <w:p w:rsidR="00D05948" w:rsidRPr="00CE05A6" w:rsidRDefault="00D05948" w:rsidP="00D05948">
                            <w:pPr>
                              <w:tabs>
                                <w:tab w:val="left" w:pos="360"/>
                              </w:tabs>
                              <w:spacing w:before="120"/>
                              <w:ind w:left="180"/>
                              <w:jc w:val="both"/>
                              <w:rPr>
                                <w:sz w:val="22"/>
                                <w:szCs w:val="22"/>
                              </w:rPr>
                            </w:pPr>
                            <w:r w:rsidRPr="002E64A6">
                              <w:rPr>
                                <w:sz w:val="22"/>
                                <w:szCs w:val="22"/>
                              </w:rPr>
                              <w:t>Secondary conjunctions appear in a smaller</w:t>
                            </w:r>
                            <w:r>
                              <w:rPr>
                                <w:sz w:val="22"/>
                                <w:szCs w:val="22"/>
                              </w:rPr>
                              <w:t>, not bolded</w:t>
                            </w:r>
                            <w:r w:rsidRPr="002E64A6">
                              <w:rPr>
                                <w:sz w:val="22"/>
                                <w:szCs w:val="22"/>
                              </w:rPr>
                              <w:t xml:space="preserve"> font </w:t>
                            </w:r>
                            <w:r w:rsidRPr="002E64A6">
                              <w:rPr>
                                <w:rStyle w:val="LL-Chr--SecondaryConjunction0"/>
                                <w:sz w:val="22"/>
                                <w:szCs w:val="22"/>
                              </w:rPr>
                              <w:t>and</w:t>
                            </w:r>
                            <w:r w:rsidRPr="002E64A6">
                              <w:rPr>
                                <w:sz w:val="22"/>
                                <w:szCs w:val="22"/>
                              </w:rPr>
                              <w:t xml:space="preserve"> in text boxes</w:t>
                            </w:r>
                            <w:r>
                              <w:rPr>
                                <w:sz w:val="22"/>
                                <w:szCs w:val="22"/>
                              </w:rPr>
                              <w:t>.</w:t>
                            </w:r>
                          </w:p>
                          <w:p w:rsidR="00D05948" w:rsidRDefault="00D05948" w:rsidP="00D059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9.45pt;margin-top:13.25pt;width:354.25pt;height:5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" filled="f">
                <v:textbox>
                  <w:txbxContent>
                    <w:p w:rsidR="00D05948" w:rsidRPr="00CE05A6" w:rsidRDefault="00D05948" w:rsidP="00D05948">
                      <w:pPr>
                        <w:jc w:val="center"/>
                        <w:rPr>
                          <w:i/>
                          <w:sz w:val="22"/>
                          <w:szCs w:val="22"/>
                        </w:rPr>
                      </w:pPr>
                      <w:r w:rsidRPr="00CE05A6">
                        <w:rPr>
                          <w:i/>
                          <w:sz w:val="22"/>
                          <w:szCs w:val="22"/>
                        </w:rPr>
                        <w:t xml:space="preserve">Example: Secondary Conjunction </w:t>
                      </w:r>
                    </w:p>
                    <w:p w:rsidR="00D05948" w:rsidRPr="00CE05A6" w:rsidRDefault="00D05948" w:rsidP="00D05948">
                      <w:pPr>
                        <w:tabs>
                          <w:tab w:val="left" w:pos="360"/>
                        </w:tabs>
                        <w:spacing w:before="120"/>
                        <w:ind w:left="180"/>
                        <w:jc w:val="both"/>
                        <w:rPr>
                          <w:sz w:val="22"/>
                          <w:szCs w:val="22"/>
                        </w:rPr>
                      </w:pPr>
                      <w:r w:rsidRPr="002E64A6">
                        <w:rPr>
                          <w:sz w:val="22"/>
                          <w:szCs w:val="22"/>
                        </w:rPr>
                        <w:t>Secondary conjunctions appear in a smaller</w:t>
                      </w:r>
                      <w:r>
                        <w:rPr>
                          <w:sz w:val="22"/>
                          <w:szCs w:val="22"/>
                        </w:rPr>
                        <w:t>, not bolded</w:t>
                      </w:r>
                      <w:r w:rsidRPr="002E64A6">
                        <w:rPr>
                          <w:sz w:val="22"/>
                          <w:szCs w:val="22"/>
                        </w:rPr>
                        <w:t xml:space="preserve"> font </w:t>
                      </w:r>
                      <w:r w:rsidRPr="002E64A6">
                        <w:rPr>
                          <w:rStyle w:val="LL-Chr--SecondaryConjunction0"/>
                          <w:sz w:val="22"/>
                          <w:szCs w:val="22"/>
                        </w:rPr>
                        <w:t>and</w:t>
                      </w:r>
                      <w:r w:rsidRPr="002E64A6">
                        <w:rPr>
                          <w:sz w:val="22"/>
                          <w:szCs w:val="22"/>
                        </w:rPr>
                        <w:t xml:space="preserve"> in text boxes</w:t>
                      </w:r>
                      <w:r>
                        <w:rPr>
                          <w:sz w:val="22"/>
                          <w:szCs w:val="22"/>
                        </w:rPr>
                        <w:t>.</w:t>
                      </w:r>
                    </w:p>
                    <w:p w:rsidR="00D05948" w:rsidRDefault="00D05948" w:rsidP="00D05948"/>
                  </w:txbxContent>
                </v:textbox>
                <w10:wrap type="square" anchorx="margin"/>
              </v:shape>
            </w:pict>
          </mc:Fallback>
        </mc:AlternateContent>
      </w:r>
    </w:p>
    <w:p w:rsidR="00D05948" w:rsidRDefault="00D05948" w:rsidP="00D05948">
      <w:pPr>
        <w:tabs>
          <w:tab w:val="left" w:pos="1170"/>
        </w:tabs>
        <w:spacing w:before="120"/>
        <w:jc w:val="both"/>
      </w:pPr>
    </w:p>
    <w:p w:rsidR="00D05948" w:rsidRPr="00E84207" w:rsidRDefault="00D05948" w:rsidP="00D05948">
      <w:pPr>
        <w:tabs>
          <w:tab w:val="left" w:pos="720"/>
        </w:tabs>
        <w:spacing w:before="120"/>
        <w:ind w:left="720" w:right="720"/>
        <w:jc w:val="both"/>
      </w:pPr>
      <w:r w:rsidRPr="00E84207">
        <w:rPr>
          <w:i/>
          <w:iCs/>
        </w:rPr>
        <w:t>How to use secondary conjunctions:</w:t>
      </w:r>
      <w:r w:rsidRPr="00E84207">
        <w:t xml:space="preserve">  Read secondary conjunctions that appear within the bounds of a skeletal sentence as part of the skeletal sentence (unless the context otherwise requires).  Read secondary conjunctions that appear </w:t>
      </w:r>
      <w:r>
        <w:t xml:space="preserve">between cohesive phrases </w:t>
      </w:r>
      <w:r w:rsidRPr="00E84207">
        <w:t xml:space="preserve">as indicating the relationship between </w:t>
      </w:r>
      <w:r>
        <w:t xml:space="preserve">the </w:t>
      </w:r>
      <w:r w:rsidRPr="00E84207">
        <w:t xml:space="preserve">cohesive phrases. The </w:t>
      </w:r>
      <w:r>
        <w:t>“</w:t>
      </w:r>
      <w:r w:rsidRPr="00E84207">
        <w:t>and</w:t>
      </w:r>
      <w:r>
        <w:t>”</w:t>
      </w:r>
      <w:r w:rsidRPr="00E84207">
        <w:t xml:space="preserve"> in the phrase </w:t>
      </w:r>
      <w:r>
        <w:t>“</w:t>
      </w:r>
      <w:r w:rsidRPr="00E84207">
        <w:rPr>
          <w:rStyle w:val="LL-Chr--CohesivePhrase-parens"/>
        </w:rPr>
        <w:t>(</w:t>
      </w:r>
      <w:r w:rsidRPr="00E84207">
        <w:t>a</w:t>
      </w:r>
      <w:r w:rsidRPr="00E84207">
        <w:rPr>
          <w:rStyle w:val="LL-Chr--CohesivePhrase-parens"/>
        </w:rPr>
        <w:t>)</w:t>
      </w:r>
      <w:r w:rsidRPr="00E84207">
        <w:t xml:space="preserve"> </w:t>
      </w:r>
      <w:r w:rsidRPr="00E84207">
        <w:rPr>
          <w:rStyle w:val="LL-Chr--SecondaryConjunction0"/>
          <w:sz w:val="24"/>
        </w:rPr>
        <w:t>and</w:t>
      </w:r>
      <w:r w:rsidRPr="00E84207">
        <w:t xml:space="preserve"> </w:t>
      </w:r>
      <w:r w:rsidRPr="00E84207">
        <w:rPr>
          <w:rStyle w:val="LL-Chr--CohesivePhrase-parens"/>
        </w:rPr>
        <w:t>(</w:t>
      </w:r>
      <w:r w:rsidRPr="00E84207">
        <w:t>b</w:t>
      </w:r>
      <w:r w:rsidRPr="00E84207">
        <w:rPr>
          <w:rStyle w:val="LL-Chr--CohesivePhrase-parens"/>
        </w:rPr>
        <w:t>)</w:t>
      </w:r>
      <w:r>
        <w:t>”</w:t>
      </w:r>
      <w:r w:rsidRPr="00E84207">
        <w:t xml:space="preserve"> exemplifies this circumstance.</w:t>
      </w:r>
      <w:r>
        <w:t xml:space="preserve">  When seeking to determine the relationship among items listed in sub-subparagraphs, look for the secondary conjunction at the end of the penultimate item in the list.</w:t>
      </w:r>
    </w:p>
    <w:p w:rsidR="00D05948" w:rsidRPr="00E84207" w:rsidRDefault="00D05948" w:rsidP="00D05948">
      <w:pPr>
        <w:tabs>
          <w:tab w:val="left" w:pos="360"/>
        </w:tabs>
        <w:spacing w:before="120"/>
        <w:jc w:val="both"/>
      </w:pPr>
      <w:r w:rsidRPr="00E84207">
        <w:tab/>
        <w:t xml:space="preserve">If the cohesive phrases are lengthy and more than two appear in the same list, </w:t>
      </w:r>
      <w:r>
        <w:t>in rare instances I</w:t>
      </w:r>
      <w:r w:rsidRPr="00E84207">
        <w:t xml:space="preserve"> </w:t>
      </w:r>
      <w:r>
        <w:t>r</w:t>
      </w:r>
      <w:r w:rsidRPr="00E84207">
        <w:t>eplicated the conjunction between each pair of listed items.</w:t>
      </w:r>
      <w:r>
        <w:t xml:space="preserve">  Of course, I put the conjunction </w:t>
      </w:r>
      <w:r w:rsidRPr="00E84207">
        <w:t>in brackets to indicate its addition</w:t>
      </w:r>
      <w:r>
        <w:t>.</w:t>
      </w:r>
      <w:r w:rsidRPr="00E84207">
        <w:t xml:space="preserve">  </w:t>
      </w:r>
      <w:proofErr w:type="gramStart"/>
      <w:r w:rsidRPr="00E84207">
        <w:t xml:space="preserve">To illustrate, if the sentence contained the structure </w:t>
      </w:r>
      <w:r>
        <w:t>“</w:t>
      </w:r>
      <w:r w:rsidRPr="00E84207">
        <w:rPr>
          <w:rStyle w:val="LL-Chr--CohesivePhrase-parens"/>
        </w:rPr>
        <w:t>(</w:t>
      </w:r>
      <w:r w:rsidRPr="00E84207">
        <w:t>a</w:t>
      </w:r>
      <w:r w:rsidRPr="00E84207">
        <w:rPr>
          <w:rStyle w:val="LL-Chr--CohesivePhrase-parens"/>
        </w:rPr>
        <w:t>)</w:t>
      </w:r>
      <w:r w:rsidRPr="00E84207">
        <w:t xml:space="preserve">, </w:t>
      </w:r>
      <w:r w:rsidRPr="00E84207">
        <w:rPr>
          <w:rStyle w:val="LL-Chr--CohesivePhrase-parens"/>
        </w:rPr>
        <w:t>(</w:t>
      </w:r>
      <w:r w:rsidRPr="00E84207">
        <w:t>b</w:t>
      </w:r>
      <w:r w:rsidRPr="00E84207">
        <w:rPr>
          <w:rStyle w:val="LL-Chr--CohesivePhrase-parens"/>
        </w:rPr>
        <w:t>)</w:t>
      </w:r>
      <w:r w:rsidRPr="00E84207">
        <w:t xml:space="preserve">, </w:t>
      </w:r>
      <w:r w:rsidRPr="00E84207">
        <w:rPr>
          <w:rStyle w:val="LL-Chr--SecondaryConjunction0"/>
          <w:sz w:val="24"/>
        </w:rPr>
        <w:t>and</w:t>
      </w:r>
      <w:r w:rsidRPr="00E84207">
        <w:t xml:space="preserve"> </w:t>
      </w:r>
      <w:r w:rsidRPr="00E84207">
        <w:rPr>
          <w:rStyle w:val="LL-Chr--CohesivePhrase-parens"/>
        </w:rPr>
        <w:t>(</w:t>
      </w:r>
      <w:r w:rsidRPr="00E84207">
        <w:rPr>
          <w:b/>
          <w:bCs/>
        </w:rPr>
        <w:t>c</w:t>
      </w:r>
      <w:r w:rsidRPr="00E84207">
        <w:rPr>
          <w:rStyle w:val="LL-Chr--CohesivePhrase-parens"/>
        </w:rPr>
        <w:t>)</w:t>
      </w:r>
      <w:r>
        <w:t>”</w:t>
      </w:r>
      <w:r w:rsidRPr="00E84207">
        <w:t xml:space="preserve"> and the second cohesive phrase was lengthy, </w:t>
      </w:r>
      <w:r>
        <w:t>I</w:t>
      </w:r>
      <w:r w:rsidRPr="00E84207">
        <w:t xml:space="preserve"> might render it </w:t>
      </w:r>
      <w:r>
        <w:t>“</w:t>
      </w:r>
      <w:r w:rsidRPr="00E84207">
        <w:rPr>
          <w:rStyle w:val="LL-Chr--CohesivePhrase-parens"/>
        </w:rPr>
        <w:t>(</w:t>
      </w:r>
      <w:r w:rsidRPr="00E84207">
        <w:t>a</w:t>
      </w:r>
      <w:r w:rsidRPr="00E84207">
        <w:rPr>
          <w:rStyle w:val="LL-Chr--CohesivePhrase-parens"/>
        </w:rPr>
        <w:t>)</w:t>
      </w:r>
      <w:r w:rsidRPr="00E84207">
        <w:t xml:space="preserve"> </w:t>
      </w:r>
      <w:r w:rsidRPr="00E84207">
        <w:rPr>
          <w:rStyle w:val="LL-Chr--SecondaryConjunction0"/>
          <w:sz w:val="24"/>
        </w:rPr>
        <w:t>[and]</w:t>
      </w:r>
      <w:r w:rsidRPr="00E84207">
        <w:t xml:space="preserve"> </w:t>
      </w:r>
      <w:r w:rsidRPr="00E84207">
        <w:rPr>
          <w:rStyle w:val="LL-Chr--CohesivePhrase-parens"/>
        </w:rPr>
        <w:t>(</w:t>
      </w:r>
      <w:r w:rsidRPr="00E84207">
        <w:t>b</w:t>
      </w:r>
      <w:r w:rsidRPr="00E84207">
        <w:rPr>
          <w:rStyle w:val="LL-Chr--CohesivePhrase-parens"/>
        </w:rPr>
        <w:t>)</w:t>
      </w:r>
      <w:r w:rsidRPr="00E84207">
        <w:t xml:space="preserve">, </w:t>
      </w:r>
      <w:r w:rsidRPr="00E84207">
        <w:rPr>
          <w:rStyle w:val="LL-Chr--SecondaryConjunction0"/>
          <w:sz w:val="24"/>
        </w:rPr>
        <w:t>and</w:t>
      </w:r>
      <w:r w:rsidRPr="00E84207">
        <w:t xml:space="preserve"> </w:t>
      </w:r>
      <w:r w:rsidRPr="00E84207">
        <w:rPr>
          <w:rStyle w:val="LL-Chr--CohesivePhrase-parens"/>
        </w:rPr>
        <w:t>(</w:t>
      </w:r>
      <w:r w:rsidRPr="00E84207">
        <w:rPr>
          <w:b/>
          <w:bCs/>
        </w:rPr>
        <w:t>c</w:t>
      </w:r>
      <w:r w:rsidRPr="00E84207">
        <w:rPr>
          <w:rStyle w:val="LL-Chr--CohesivePhrase-parens"/>
        </w:rPr>
        <w:t>)</w:t>
      </w:r>
      <w:r w:rsidRPr="00E84207">
        <w:rPr>
          <w:bCs/>
        </w:rPr>
        <w:t>.</w:t>
      </w:r>
      <w:r>
        <w:t>”</w:t>
      </w:r>
      <w:proofErr w:type="gramEnd"/>
    </w:p>
    <w:p w:rsidR="00D05948" w:rsidRPr="00E84207" w:rsidRDefault="00D05948" w:rsidP="00D05948">
      <w:pPr>
        <w:tabs>
          <w:tab w:val="left" w:pos="360"/>
        </w:tabs>
        <w:spacing w:before="120"/>
        <w:jc w:val="both"/>
      </w:pPr>
      <w:r w:rsidRPr="00E84207">
        <w:tab/>
      </w:r>
      <w:r w:rsidRPr="00E84207">
        <w:rPr>
          <w:b/>
          <w:bCs/>
        </w:rPr>
        <w:t>10. Custom markings.</w:t>
      </w:r>
      <w:r w:rsidRPr="00E84207">
        <w:t xml:space="preserve">  Readers may find it useful to add their own markings to this book.  </w:t>
      </w:r>
      <w:r>
        <w:t xml:space="preserve">The most common reason for doing to </w:t>
      </w:r>
      <w:proofErr w:type="gramStart"/>
      <w:r>
        <w:t>is</w:t>
      </w:r>
      <w:proofErr w:type="gramEnd"/>
      <w:r>
        <w:t xml:space="preserve"> to indicate importance.  Because my markings are in black, readers need only use color for their markings to be easily distinguishable.</w:t>
      </w:r>
    </w:p>
    <w:p w:rsidR="00D05948" w:rsidRPr="00D05948" w:rsidRDefault="00D05948" w:rsidP="00D05948">
      <w:pPr>
        <w:rPr>
          <w:rFonts w:ascii="Georgia" w:hAnsi="Georgia"/>
          <w:sz w:val="32"/>
          <w:szCs w:val="32"/>
        </w:rPr>
      </w:pPr>
      <w:proofErr w:type="gramStart"/>
      <w:r w:rsidRPr="00E84207">
        <w:rPr>
          <w:i/>
          <w:iCs/>
        </w:rPr>
        <w:t>Suggestions for custom markings</w:t>
      </w:r>
      <w:r w:rsidRPr="00E84207">
        <w:t>.</w:t>
      </w:r>
      <w:proofErr w:type="gramEnd"/>
      <w:r w:rsidRPr="00E84207">
        <w:t xml:space="preserve">  Readers may wish </w:t>
      </w:r>
      <w:r w:rsidRPr="00B835BD">
        <w:t>to</w:t>
      </w:r>
      <w:r>
        <w:t xml:space="preserve"> highlight </w:t>
      </w:r>
      <w:r w:rsidRPr="00B835BD">
        <w:t>words</w:t>
      </w:r>
      <w:r w:rsidRPr="00E84207">
        <w:t xml:space="preserve"> that are not included in the skeletal sentence, but that are crucial to the meaning of the sentence.  Readers seeking to apply a statutory provision to a real or hypothetical case may wish to highlight the particular words that apply.  A red or blue pen will do that nicely.</w:t>
      </w:r>
    </w:p>
    <w:sectPr w:rsidR="00D05948" w:rsidRPr="00D059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48"/>
    <w:rsid w:val="0000509D"/>
    <w:rsid w:val="000F6031"/>
    <w:rsid w:val="00152A55"/>
    <w:rsid w:val="0022361D"/>
    <w:rsid w:val="002813BF"/>
    <w:rsid w:val="002A1A98"/>
    <w:rsid w:val="002B4D87"/>
    <w:rsid w:val="002D2647"/>
    <w:rsid w:val="003B6339"/>
    <w:rsid w:val="004E758D"/>
    <w:rsid w:val="006C3AD6"/>
    <w:rsid w:val="00715480"/>
    <w:rsid w:val="0079470A"/>
    <w:rsid w:val="007A07C0"/>
    <w:rsid w:val="007B6C42"/>
    <w:rsid w:val="007C416A"/>
    <w:rsid w:val="00825601"/>
    <w:rsid w:val="009742B5"/>
    <w:rsid w:val="009C317E"/>
    <w:rsid w:val="00A3498B"/>
    <w:rsid w:val="00AD5BD1"/>
    <w:rsid w:val="00B44FB0"/>
    <w:rsid w:val="00D05948"/>
    <w:rsid w:val="00DD58F0"/>
    <w:rsid w:val="00DE5156"/>
    <w:rsid w:val="00DF1A8E"/>
    <w:rsid w:val="00E31E62"/>
    <w:rsid w:val="00E45F66"/>
    <w:rsid w:val="00F0363D"/>
    <w:rsid w:val="00F43F10"/>
    <w:rsid w:val="00F97F4A"/>
    <w:rsid w:val="00FC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L-Chr--SkeletalSentence">
    <w:name w:val="LL-(Chr)--Skeletal Sentence"/>
    <w:qFormat/>
    <w:rsid w:val="00D05948"/>
    <w:rPr>
      <w:color w:val="auto"/>
      <w:u w:val="single"/>
      <w:bdr w:val="none" w:sz="0" w:space="0" w:color="auto"/>
      <w:shd w:val="clear" w:color="auto" w:fill="auto"/>
    </w:rPr>
  </w:style>
  <w:style w:type="character" w:customStyle="1" w:styleId="LL-Chr--PrimaryIf-Thenred">
    <w:name w:val="LL-(Chr)--Primary If-Then (red)"/>
    <w:qFormat/>
    <w:rsid w:val="00D05948"/>
    <w:rPr>
      <w:b/>
      <w:bCs/>
      <w:color w:val="auto"/>
      <w:u w:val="single"/>
    </w:rPr>
  </w:style>
  <w:style w:type="character" w:customStyle="1" w:styleId="LL-Chr--PrimaryConjunction51">
    <w:name w:val="LL-(Chr)--Primary Conjunction (51"/>
    <w:aliases w:val="119,255)"/>
    <w:qFormat/>
    <w:rsid w:val="00D05948"/>
    <w:rPr>
      <w:b/>
      <w:bCs/>
      <w:color w:val="auto"/>
      <w:spacing w:val="15"/>
      <w:sz w:val="18"/>
      <w:bdr w:val="single" w:sz="4" w:space="0" w:color="auto"/>
    </w:rPr>
  </w:style>
  <w:style w:type="character" w:customStyle="1" w:styleId="LL-Chr--SecondaryConjunction0">
    <w:name w:val="LL-(Chr)--Secondary Conjunction (0"/>
    <w:aliases w:val="128,0)"/>
    <w:qFormat/>
    <w:rsid w:val="00D05948"/>
    <w:rPr>
      <w:color w:val="auto"/>
      <w:spacing w:val="15"/>
      <w:sz w:val="18"/>
      <w:szCs w:val="20"/>
      <w:bdr w:val="single" w:sz="4" w:space="0" w:color="auto"/>
    </w:rPr>
  </w:style>
  <w:style w:type="character" w:customStyle="1" w:styleId="LL-Chr--SecondaryIf-Then">
    <w:name w:val="LL-(Chr)--Secondary If-Then"/>
    <w:qFormat/>
    <w:rsid w:val="00D05948"/>
    <w:rPr>
      <w:color w:val="auto"/>
      <w:spacing w:val="15"/>
      <w:u w:val="double"/>
    </w:rPr>
  </w:style>
  <w:style w:type="character" w:customStyle="1" w:styleId="LL-Chr--PrimaryExceptionswinding">
    <w:name w:val="LL-(Chr)--Primary Exceptions (winding)"/>
    <w:qFormat/>
    <w:rsid w:val="00D05948"/>
    <w:rPr>
      <w:b/>
    </w:rPr>
  </w:style>
  <w:style w:type="character" w:customStyle="1" w:styleId="LL-Chr--CohesivePhrase-parens">
    <w:name w:val="LL-(Chr)--Cohesive Phrase-(parens)"/>
    <w:qFormat/>
    <w:rsid w:val="00D05948"/>
    <w:rPr>
      <w:rFonts w:ascii="Britannic Bold" w:hAnsi="Britannic Bold"/>
      <w:b/>
      <w:bCs/>
      <w:spacing w:val="0"/>
    </w:rPr>
  </w:style>
  <w:style w:type="character" w:customStyle="1" w:styleId="LL-Chr--SecondaryExceptionstriangle">
    <w:name w:val="LL-(Chr)--Secondary Exceptions (triangle)"/>
    <w:qFormat/>
    <w:rsid w:val="00D05948"/>
    <w:rPr>
      <w:rFonts w:ascii="Verdana" w:hAnsi="Verdana"/>
      <w:b/>
      <w:bCs/>
      <w:spacing w:val="0"/>
      <w:sz w:val="20"/>
    </w:rPr>
  </w:style>
  <w:style w:type="character" w:customStyle="1" w:styleId="LL-Chr--PrimaryIf-ThenredBRACKETS">
    <w:name w:val="LL-(Chr)--Primary If-Then (red) [BRACKETS]"/>
    <w:basedOn w:val="LL-Chr--PrimaryIf-Thenred"/>
    <w:qFormat/>
    <w:rsid w:val="00D05948"/>
    <w:rPr>
      <w:b/>
      <w:bCs/>
      <w:color w:val="auto"/>
      <w:spacing w:val="0"/>
      <w:u w:val="single"/>
    </w:rPr>
  </w:style>
  <w:style w:type="character" w:customStyle="1" w:styleId="LL-Chr--EndofSentencesquaresymbwinding">
    <w:name w:val="LL-(Chr)--End of Sentence square symb. (winding)"/>
    <w:basedOn w:val="DefaultParagraphFont"/>
    <w:qFormat/>
    <w:rsid w:val="00D05948"/>
  </w:style>
  <w:style w:type="paragraph" w:customStyle="1" w:styleId="L0Part">
    <w:name w:val="L0 Part"/>
    <w:basedOn w:val="Normal"/>
    <w:rsid w:val="00D05948"/>
    <w:pPr>
      <w:keepNext/>
      <w:keepLines/>
      <w:spacing w:before="840" w:after="240"/>
      <w:jc w:val="center"/>
      <w:outlineLvl w:val="1"/>
    </w:pPr>
    <w:rPr>
      <w:rFonts w:cs="Arial"/>
      <w:b/>
      <w:snapToGrid w:val="0"/>
      <w:sz w:val="25"/>
      <w:szCs w:val="25"/>
    </w:rPr>
  </w:style>
  <w:style w:type="character" w:customStyle="1" w:styleId="LL-Chr--ParagraphNumbersinparens">
    <w:name w:val="LL-(Chr)--Paragraph Numbers (in parens)"/>
    <w:qFormat/>
    <w:rsid w:val="00D05948"/>
    <w:rPr>
      <w:b/>
    </w:rPr>
  </w:style>
  <w:style w:type="character" w:customStyle="1" w:styleId="LL-Chr--SecondaryIf-ThenBRACKETS">
    <w:name w:val="LL-(Chr)--Secondary If-Then [BRACKETS]"/>
    <w:basedOn w:val="LL-Chr--SecondaryIf-Then"/>
    <w:qFormat/>
    <w:rsid w:val="00D05948"/>
    <w:rPr>
      <w:color w:val="auto"/>
      <w:spacing w:val="15"/>
      <w:u w:val="double"/>
    </w:rPr>
  </w:style>
  <w:style w:type="character" w:styleId="Hyperlink">
    <w:name w:val="Hyperlink"/>
    <w:basedOn w:val="DefaultParagraphFont"/>
    <w:rsid w:val="00E45F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L-Chr--SkeletalSentence">
    <w:name w:val="LL-(Chr)--Skeletal Sentence"/>
    <w:qFormat/>
    <w:rsid w:val="00D05948"/>
    <w:rPr>
      <w:color w:val="auto"/>
      <w:u w:val="single"/>
      <w:bdr w:val="none" w:sz="0" w:space="0" w:color="auto"/>
      <w:shd w:val="clear" w:color="auto" w:fill="auto"/>
    </w:rPr>
  </w:style>
  <w:style w:type="character" w:customStyle="1" w:styleId="LL-Chr--PrimaryIf-Thenred">
    <w:name w:val="LL-(Chr)--Primary If-Then (red)"/>
    <w:qFormat/>
    <w:rsid w:val="00D05948"/>
    <w:rPr>
      <w:b/>
      <w:bCs/>
      <w:color w:val="auto"/>
      <w:u w:val="single"/>
    </w:rPr>
  </w:style>
  <w:style w:type="character" w:customStyle="1" w:styleId="LL-Chr--PrimaryConjunction51">
    <w:name w:val="LL-(Chr)--Primary Conjunction (51"/>
    <w:aliases w:val="119,255)"/>
    <w:qFormat/>
    <w:rsid w:val="00D05948"/>
    <w:rPr>
      <w:b/>
      <w:bCs/>
      <w:color w:val="auto"/>
      <w:spacing w:val="15"/>
      <w:sz w:val="18"/>
      <w:bdr w:val="single" w:sz="4" w:space="0" w:color="auto"/>
    </w:rPr>
  </w:style>
  <w:style w:type="character" w:customStyle="1" w:styleId="LL-Chr--SecondaryConjunction0">
    <w:name w:val="LL-(Chr)--Secondary Conjunction (0"/>
    <w:aliases w:val="128,0)"/>
    <w:qFormat/>
    <w:rsid w:val="00D05948"/>
    <w:rPr>
      <w:color w:val="auto"/>
      <w:spacing w:val="15"/>
      <w:sz w:val="18"/>
      <w:szCs w:val="20"/>
      <w:bdr w:val="single" w:sz="4" w:space="0" w:color="auto"/>
    </w:rPr>
  </w:style>
  <w:style w:type="character" w:customStyle="1" w:styleId="LL-Chr--SecondaryIf-Then">
    <w:name w:val="LL-(Chr)--Secondary If-Then"/>
    <w:qFormat/>
    <w:rsid w:val="00D05948"/>
    <w:rPr>
      <w:color w:val="auto"/>
      <w:spacing w:val="15"/>
      <w:u w:val="double"/>
    </w:rPr>
  </w:style>
  <w:style w:type="character" w:customStyle="1" w:styleId="LL-Chr--PrimaryExceptionswinding">
    <w:name w:val="LL-(Chr)--Primary Exceptions (winding)"/>
    <w:qFormat/>
    <w:rsid w:val="00D05948"/>
    <w:rPr>
      <w:b/>
    </w:rPr>
  </w:style>
  <w:style w:type="character" w:customStyle="1" w:styleId="LL-Chr--CohesivePhrase-parens">
    <w:name w:val="LL-(Chr)--Cohesive Phrase-(parens)"/>
    <w:qFormat/>
    <w:rsid w:val="00D05948"/>
    <w:rPr>
      <w:rFonts w:ascii="Britannic Bold" w:hAnsi="Britannic Bold"/>
      <w:b/>
      <w:bCs/>
      <w:spacing w:val="0"/>
    </w:rPr>
  </w:style>
  <w:style w:type="character" w:customStyle="1" w:styleId="LL-Chr--SecondaryExceptionstriangle">
    <w:name w:val="LL-(Chr)--Secondary Exceptions (triangle)"/>
    <w:qFormat/>
    <w:rsid w:val="00D05948"/>
    <w:rPr>
      <w:rFonts w:ascii="Verdana" w:hAnsi="Verdana"/>
      <w:b/>
      <w:bCs/>
      <w:spacing w:val="0"/>
      <w:sz w:val="20"/>
    </w:rPr>
  </w:style>
  <w:style w:type="character" w:customStyle="1" w:styleId="LL-Chr--PrimaryIf-ThenredBRACKETS">
    <w:name w:val="LL-(Chr)--Primary If-Then (red) [BRACKETS]"/>
    <w:basedOn w:val="LL-Chr--PrimaryIf-Thenred"/>
    <w:qFormat/>
    <w:rsid w:val="00D05948"/>
    <w:rPr>
      <w:b/>
      <w:bCs/>
      <w:color w:val="auto"/>
      <w:spacing w:val="0"/>
      <w:u w:val="single"/>
    </w:rPr>
  </w:style>
  <w:style w:type="character" w:customStyle="1" w:styleId="LL-Chr--EndofSentencesquaresymbwinding">
    <w:name w:val="LL-(Chr)--End of Sentence square symb. (winding)"/>
    <w:basedOn w:val="DefaultParagraphFont"/>
    <w:qFormat/>
    <w:rsid w:val="00D05948"/>
  </w:style>
  <w:style w:type="paragraph" w:customStyle="1" w:styleId="L0Part">
    <w:name w:val="L0 Part"/>
    <w:basedOn w:val="Normal"/>
    <w:rsid w:val="00D05948"/>
    <w:pPr>
      <w:keepNext/>
      <w:keepLines/>
      <w:spacing w:before="840" w:after="240"/>
      <w:jc w:val="center"/>
      <w:outlineLvl w:val="1"/>
    </w:pPr>
    <w:rPr>
      <w:rFonts w:cs="Arial"/>
      <w:b/>
      <w:snapToGrid w:val="0"/>
      <w:sz w:val="25"/>
      <w:szCs w:val="25"/>
    </w:rPr>
  </w:style>
  <w:style w:type="character" w:customStyle="1" w:styleId="LL-Chr--ParagraphNumbersinparens">
    <w:name w:val="LL-(Chr)--Paragraph Numbers (in parens)"/>
    <w:qFormat/>
    <w:rsid w:val="00D05948"/>
    <w:rPr>
      <w:b/>
    </w:rPr>
  </w:style>
  <w:style w:type="character" w:customStyle="1" w:styleId="LL-Chr--SecondaryIf-ThenBRACKETS">
    <w:name w:val="LL-(Chr)--Secondary If-Then [BRACKETS]"/>
    <w:basedOn w:val="LL-Chr--SecondaryIf-Then"/>
    <w:qFormat/>
    <w:rsid w:val="00D05948"/>
    <w:rPr>
      <w:color w:val="auto"/>
      <w:spacing w:val="15"/>
      <w:u w:val="double"/>
    </w:rPr>
  </w:style>
  <w:style w:type="character" w:styleId="Hyperlink">
    <w:name w:val="Hyperlink"/>
    <w:basedOn w:val="DefaultParagraphFont"/>
    <w:rsid w:val="00E45F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com/The-Readable-Delaware-General-Corporation/dp/15005263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apers.ssrn.com/sol3/papers.cfm?abstract_id=25095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46835-27B4-4360-A8D5-AD3817B9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D2700A1B.dotm</Template>
  <TotalTime>39</TotalTime>
  <Pages>8</Pages>
  <Words>2886</Words>
  <Characters>15767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18616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LoPucki</dc:creator>
  <cp:lastModifiedBy>Lynn LoPucki</cp:lastModifiedBy>
  <cp:revision>4</cp:revision>
  <dcterms:created xsi:type="dcterms:W3CDTF">2015-03-07T17:29:00Z</dcterms:created>
  <dcterms:modified xsi:type="dcterms:W3CDTF">2015-03-07T18:15:00Z</dcterms:modified>
</cp:coreProperties>
</file>