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rPr>
      </w:pPr>
    </w:p>
    <w:p>
      <w:pPr>
        <w:jc w:val="center"/>
        <w:rPr>
          <w:b/>
          <w:sz w:val="52"/>
        </w:rPr>
      </w:pPr>
      <w:r>
        <w:rPr>
          <w:rFonts w:hint="eastAsia"/>
          <w:b/>
          <w:sz w:val="72"/>
        </w:rPr>
        <w:t>SWAT</w:t>
      </w:r>
      <w:r>
        <w:rPr>
          <w:b/>
          <w:sz w:val="72"/>
        </w:rPr>
        <w:t>-H</w:t>
      </w:r>
      <w:r>
        <w:rPr>
          <w:rFonts w:hint="eastAsia"/>
          <w:b/>
          <w:sz w:val="72"/>
        </w:rPr>
        <w:t>M</w:t>
      </w:r>
    </w:p>
    <w:p>
      <w:pPr>
        <w:rPr>
          <w:b/>
          <w:sz w:val="48"/>
        </w:rPr>
      </w:pPr>
    </w:p>
    <w:p>
      <w:pPr>
        <w:jc w:val="center"/>
        <w:rPr>
          <w:b/>
          <w:sz w:val="48"/>
        </w:rPr>
      </w:pPr>
      <w:r>
        <w:rPr>
          <w:rFonts w:hint="eastAsia"/>
          <w:b/>
          <w:sz w:val="48"/>
        </w:rPr>
        <w:t>User</w:t>
      </w:r>
      <w:r>
        <w:rPr>
          <w:b/>
          <w:sz w:val="48"/>
        </w:rPr>
        <w:t>’</w:t>
      </w:r>
      <w:r>
        <w:rPr>
          <w:rFonts w:hint="eastAsia"/>
          <w:b/>
          <w:sz w:val="48"/>
        </w:rPr>
        <w:t xml:space="preserve">s </w:t>
      </w:r>
      <w:r>
        <w:rPr>
          <w:b/>
          <w:sz w:val="48"/>
        </w:rPr>
        <w:t>manual</w:t>
      </w:r>
    </w:p>
    <w:p>
      <w:pPr>
        <w:rPr>
          <w:b/>
          <w:sz w:val="48"/>
        </w:rPr>
      </w:pPr>
    </w:p>
    <w:p>
      <w:pPr>
        <w:jc w:val="center"/>
        <w:rPr>
          <w:b/>
          <w:sz w:val="48"/>
        </w:rPr>
      </w:pPr>
      <w:r>
        <w:rPr>
          <w:rFonts w:hint="eastAsia"/>
          <w:b/>
          <w:sz w:val="48"/>
        </w:rPr>
        <w:t>May 20</w:t>
      </w:r>
      <w:r>
        <w:rPr>
          <w:b/>
          <w:sz w:val="48"/>
        </w:rPr>
        <w:t>22</w:t>
      </w:r>
    </w:p>
    <w:p>
      <w:pPr>
        <w:jc w:val="center"/>
        <w:rPr>
          <w:b/>
          <w:sz w:val="44"/>
        </w:rPr>
      </w:pPr>
    </w:p>
    <w:p>
      <w:pPr>
        <w:jc w:val="center"/>
        <w:rPr>
          <w:b/>
          <w:sz w:val="44"/>
        </w:rPr>
      </w:pPr>
    </w:p>
    <w:p>
      <w:pPr>
        <w:jc w:val="center"/>
        <w:rPr>
          <w:b/>
          <w:sz w:val="44"/>
        </w:rPr>
      </w:pPr>
      <w:r>
        <w:rPr>
          <w:b/>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pPr>
        <w:jc w:val="center"/>
        <w:rPr>
          <w:b/>
          <w:sz w:val="44"/>
        </w:rPr>
      </w:pPr>
    </w:p>
    <w:p>
      <w:pPr>
        <w:jc w:val="center"/>
        <w:rPr>
          <w:b/>
          <w:sz w:val="32"/>
          <w:szCs w:val="32"/>
        </w:rPr>
      </w:pPr>
      <w:r>
        <w:rPr>
          <w:b/>
          <w:sz w:val="32"/>
          <w:szCs w:val="32"/>
        </w:rPr>
        <w:t>Lingfeng Zhou</w:t>
      </w:r>
    </w:p>
    <w:p>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pPr>
        <w:jc w:val="center"/>
        <w:rPr>
          <w:b/>
          <w:sz w:val="32"/>
          <w:szCs w:val="32"/>
        </w:rPr>
      </w:pPr>
      <w:r>
        <w:rPr>
          <w:rFonts w:hint="eastAsia"/>
          <w:b/>
          <w:sz w:val="32"/>
          <w:szCs w:val="32"/>
        </w:rPr>
        <w:t>Yaobin Meng</w:t>
      </w:r>
    </w:p>
    <w:p>
      <w:pPr>
        <w:jc w:val="center"/>
        <w:rPr>
          <w:sz w:val="32"/>
          <w:szCs w:val="32"/>
        </w:rPr>
      </w:pPr>
      <w:r>
        <w:rPr>
          <w:rFonts w:hint="eastAsia"/>
          <w:sz w:val="28"/>
          <w:szCs w:val="32"/>
        </w:rPr>
        <w:t>Beijing Normal University</w:t>
      </w:r>
      <w:r>
        <w:rPr>
          <w:sz w:val="28"/>
          <w:szCs w:val="32"/>
        </w:rPr>
        <w:t>, China</w:t>
      </w:r>
    </w:p>
    <w:p>
      <w:pPr>
        <w:jc w:val="center"/>
        <w:rPr>
          <w:b/>
          <w:sz w:val="36"/>
        </w:rPr>
      </w:pPr>
    </w:p>
    <w:p>
      <w:pPr>
        <w:jc w:val="center"/>
        <w:rPr>
          <w:b/>
          <w:sz w:val="36"/>
        </w:rPr>
        <w:sectPr>
          <w:pgSz w:w="11906" w:h="16838"/>
          <w:pgMar w:top="720" w:right="720" w:bottom="720" w:left="720" w:header="851" w:footer="992" w:gutter="0"/>
          <w:cols w:space="425" w:num="1"/>
          <w:docGrid w:type="lines" w:linePitch="312" w:charSpace="0"/>
        </w:sectPr>
      </w:pPr>
    </w:p>
    <w:p>
      <w:pPr>
        <w:jc w:val="center"/>
        <w:rPr>
          <w:b/>
          <w:sz w:val="36"/>
        </w:rPr>
      </w:pPr>
    </w:p>
    <w:p>
      <w:pPr>
        <w:pStyle w:val="2"/>
        <w:rPr>
          <w:rFonts w:eastAsia="宋体"/>
        </w:rPr>
      </w:pPr>
      <w:bookmarkStart w:id="0" w:name="_Toc490921611"/>
      <w:bookmarkStart w:id="1" w:name="_Toc489868501"/>
      <w:bookmarkStart w:id="2" w:name="_Toc488743107"/>
      <w:r>
        <w:rPr>
          <w:rFonts w:eastAsia="宋体"/>
        </w:rPr>
        <w:t xml:space="preserve">SWAT-HM </w:t>
      </w:r>
      <w:bookmarkEnd w:id="0"/>
      <w:bookmarkEnd w:id="1"/>
      <w:r>
        <w:rPr>
          <w:rFonts w:eastAsia="宋体"/>
        </w:rPr>
        <w:t>description</w:t>
      </w:r>
    </w:p>
    <w:p>
      <w:pPr>
        <w:ind w:firstLine="420"/>
        <w:rPr>
          <w:lang w:val="zh-CN"/>
        </w:rPr>
      </w:pPr>
      <w:r>
        <w:rPr>
          <w:lang w:val="zh-CN" w:eastAsia="zh-CN"/>
        </w:rPr>
        <w:t>SWAT-HM (</w:t>
      </w:r>
      <w:r>
        <w:rPr>
          <w:u w:val="single"/>
          <w:lang w:val="zh-CN" w:eastAsia="zh-CN"/>
        </w:rPr>
        <w:t>S</w:t>
      </w:r>
      <w:r>
        <w:rPr>
          <w:lang w:val="zh-CN" w:eastAsia="zh-CN"/>
        </w:rPr>
        <w:t xml:space="preserve">oil and </w:t>
      </w:r>
      <w:r>
        <w:rPr>
          <w:u w:val="single"/>
          <w:lang w:val="zh-CN" w:eastAsia="zh-CN"/>
        </w:rPr>
        <w:t>W</w:t>
      </w:r>
      <w:r>
        <w:rPr>
          <w:lang w:val="zh-CN" w:eastAsia="zh-CN"/>
        </w:rPr>
        <w:t xml:space="preserve">ater </w:t>
      </w:r>
      <w:r>
        <w:rPr>
          <w:u w:val="single"/>
          <w:lang w:val="zh-CN" w:eastAsia="zh-CN"/>
        </w:rPr>
        <w:t>A</w:t>
      </w:r>
      <w:r>
        <w:rPr>
          <w:lang w:val="zh-CN" w:eastAsia="zh-CN"/>
        </w:rPr>
        <w:t xml:space="preserve">ssessment </w:t>
      </w:r>
      <w:r>
        <w:rPr>
          <w:u w:val="single"/>
          <w:lang w:val="zh-CN" w:eastAsia="zh-CN"/>
        </w:rPr>
        <w:t>T</w:t>
      </w:r>
      <w:r>
        <w:rPr>
          <w:lang w:val="zh-CN" w:eastAsia="zh-CN"/>
        </w:rPr>
        <w:t xml:space="preserve">ool – </w:t>
      </w:r>
      <w:r>
        <w:rPr>
          <w:u w:val="single"/>
          <w:lang w:val="zh-CN" w:eastAsia="zh-CN"/>
        </w:rPr>
        <w:t>H</w:t>
      </w:r>
      <w:r>
        <w:rPr>
          <w:lang w:val="zh-CN" w:eastAsia="zh-CN"/>
        </w:rPr>
        <w:t xml:space="preserve">eavy </w:t>
      </w:r>
      <w:r>
        <w:rPr>
          <w:u w:val="single"/>
          <w:lang w:val="zh-CN" w:eastAsia="zh-CN"/>
        </w:rPr>
        <w:t>M</w:t>
      </w:r>
      <w:r>
        <w:rPr>
          <w:lang w:val="zh-CN" w:eastAsia="zh-CN"/>
        </w:rPr>
        <w:t>etal) was developed to simulate the fate and transport of heavy metals (HM) at the watershed scale. SWAT-HM</w:t>
      </w:r>
      <w:r>
        <w:rPr>
          <w:rFonts w:hint="eastAsia"/>
          <w:lang w:val="zh-CN"/>
        </w:rPr>
        <w:t xml:space="preserve"> </w:t>
      </w:r>
      <w:r>
        <w:rPr>
          <w:lang w:val="zh-CN" w:eastAsia="zh-CN"/>
        </w:rPr>
        <w:t>provides a process-based representation of the metal behavior from</w:t>
      </w:r>
      <w:r>
        <w:rPr>
          <w:rFonts w:hint="eastAsia"/>
          <w:lang w:val="zh-CN"/>
        </w:rPr>
        <w:t xml:space="preserve"> </w:t>
      </w:r>
      <w:r>
        <w:rPr>
          <w:lang w:val="zh-CN" w:eastAsia="zh-CN"/>
        </w:rPr>
        <w:t xml:space="preserve">uplands to streams and down to the watershed outlet. </w:t>
      </w:r>
      <w:r>
        <w:rPr>
          <w:color w:val="FF0000"/>
          <w:lang w:val="zh-CN" w:eastAsia="zh-CN"/>
        </w:rPr>
        <w:fldChar w:fldCharType="begin"/>
      </w:r>
      <w:r>
        <w:rPr>
          <w:color w:val="FF0000"/>
          <w:lang w:val="zh-CN" w:eastAsia="zh-CN"/>
        </w:rPr>
        <w:instrText xml:space="preserve"> REF _Ref102318775 \h </w:instrText>
      </w:r>
      <w:r>
        <w:rPr>
          <w:color w:val="FF0000"/>
          <w:lang w:val="zh-CN" w:eastAsia="zh-CN"/>
        </w:rPr>
        <w:fldChar w:fldCharType="separate"/>
      </w:r>
      <w:r>
        <w:rPr>
          <w:color w:val="FF0000"/>
        </w:rPr>
        <w:t>Fig. 1</w:t>
      </w:r>
      <w:r>
        <w:rPr>
          <w:color w:val="FF0000"/>
          <w:lang w:val="zh-CN" w:eastAsia="zh-CN"/>
        </w:rPr>
        <w:fldChar w:fldCharType="end"/>
      </w:r>
      <w:r>
        <w:rPr>
          <w:lang w:val="zh-CN" w:eastAsia="zh-CN"/>
        </w:rPr>
        <w:t xml:space="preserve"> illustrates a schematic diagram of the main processes (upland and channel processes) of the SWAT-HM.</w:t>
      </w:r>
      <w:r>
        <w:rPr>
          <w:rFonts w:hint="eastAsia"/>
          <w:lang w:val="zh-CN"/>
        </w:rPr>
        <w:t xml:space="preserve"> </w:t>
      </w:r>
      <w:r>
        <w:rPr>
          <w:lang w:val="zh-CN" w:eastAsia="zh-CN"/>
        </w:rPr>
        <w:t>SWAT-HM operates at a daily time step, tracking the stores and fluxes of</w:t>
      </w:r>
      <w:r>
        <w:rPr>
          <w:rFonts w:hint="eastAsia"/>
          <w:lang w:val="zh-CN"/>
        </w:rPr>
        <w:t xml:space="preserve"> </w:t>
      </w:r>
      <w:r>
        <w:rPr>
          <w:lang w:val="zh-CN" w:eastAsia="zh-CN"/>
        </w:rPr>
        <w:t>dissolved and particulate metals in both the land and in-stream phases</w:t>
      </w:r>
      <w:r>
        <w:rPr>
          <w:rFonts w:hint="eastAsia"/>
          <w:lang w:val="zh-CN"/>
        </w:rPr>
        <w:t xml:space="preserve"> </w:t>
      </w:r>
      <w:r>
        <w:rPr>
          <w:lang w:val="zh-CN" w:eastAsia="zh-CN"/>
        </w:rPr>
        <w:t xml:space="preserve">of a catchment. </w:t>
      </w:r>
      <w:r>
        <w:rPr>
          <w:color w:val="FF0000"/>
          <w:lang w:val="zh-CN" w:eastAsia="zh-CN"/>
        </w:rPr>
        <w:t>Fig 2</w:t>
      </w:r>
      <w:r>
        <w:rPr>
          <w:lang w:val="zh-CN" w:eastAsia="zh-CN"/>
        </w:rPr>
        <w:t xml:space="preserve"> displays the command loop of</w:t>
      </w:r>
      <w:r>
        <w:rPr>
          <w:rFonts w:hint="eastAsia"/>
          <w:lang w:val="zh-CN"/>
        </w:rPr>
        <w:t xml:space="preserve"> </w:t>
      </w:r>
      <w:r>
        <w:rPr>
          <w:lang w:val="zh-CN"/>
        </w:rPr>
        <w:t>SWAT-HM code.</w:t>
      </w:r>
    </w:p>
    <w:p>
      <w:pPr>
        <w:rPr>
          <w:b/>
          <w:sz w:val="36"/>
        </w:rPr>
      </w:pPr>
      <w:r>
        <w:rPr>
          <w:b/>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pPr>
        <w:pStyle w:val="5"/>
      </w:pPr>
      <w:bookmarkStart w:id="3" w:name="_Ref102318775"/>
      <w:r>
        <w:t xml:space="preserve">Fig. </w:t>
      </w:r>
      <w:r>
        <w:fldChar w:fldCharType="begin"/>
      </w:r>
      <w:r>
        <w:instrText xml:space="preserve"> SEQ Fig. \* ARABIC </w:instrText>
      </w:r>
      <w:r>
        <w:fldChar w:fldCharType="separate"/>
      </w:r>
      <w:r>
        <w:t>1</w:t>
      </w:r>
      <w:r>
        <w:fldChar w:fldCharType="end"/>
      </w:r>
      <w:bookmarkEnd w:id="3"/>
      <w:r>
        <w:t xml:space="preserve"> - Schematic framework of heavy metal module coupled with the SWAT model</w:t>
      </w:r>
    </w:p>
    <w:p>
      <w:pPr>
        <w:rPr>
          <w:b/>
          <w:sz w:val="36"/>
        </w:rPr>
      </w:pPr>
      <w:r>
        <w:rPr>
          <w:rStyle w:val="10"/>
          <w:b w:val="0"/>
        </w:rPr>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pPr>
        <w:pStyle w:val="5"/>
      </w:pPr>
      <w:r>
        <w:t xml:space="preserve">Fig. </w:t>
      </w:r>
      <w:r>
        <w:fldChar w:fldCharType="begin"/>
      </w:r>
      <w:r>
        <w:instrText xml:space="preserve"> SEQ Fig. \* ARABIC </w:instrText>
      </w:r>
      <w:r>
        <w:fldChar w:fldCharType="separate"/>
      </w:r>
      <w:r>
        <w:t>2</w:t>
      </w:r>
      <w:r>
        <w:fldChar w:fldCharType="end"/>
      </w:r>
      <w:r>
        <w:t xml:space="preserve"> – SWAT-HM command loop</w:t>
      </w:r>
    </w:p>
    <w:p>
      <w:pPr>
        <w:widowControl/>
        <w:jc w:val="left"/>
        <w:rPr>
          <w:rFonts w:ascii="Cambria" w:hAnsi="Cambria" w:eastAsia="黑体"/>
          <w:sz w:val="20"/>
          <w:szCs w:val="20"/>
        </w:rPr>
      </w:pPr>
      <w:r>
        <w:br w:type="page"/>
      </w:r>
    </w:p>
    <w:p>
      <w:pPr>
        <w:pStyle w:val="3"/>
      </w:pPr>
      <w:bookmarkStart w:id="4" w:name="_Toc490921612"/>
      <w:r>
        <w:t>Heavy metal transformation mod</w:t>
      </w:r>
      <w:bookmarkEnd w:id="2"/>
      <w:r>
        <w:t>ule</w:t>
      </w:r>
      <w:bookmarkEnd w:id="4"/>
    </w:p>
    <w:p>
      <w:pPr>
        <w:ind w:firstLine="420"/>
      </w:pPr>
      <w:r>
        <w:rPr>
          <w:kern w:val="0"/>
          <w:szCs w:val="21"/>
        </w:rPr>
        <w:t>In this section, we first introduce the transformations module followed by the tr</w:t>
      </w:r>
      <w:r>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oxyhydroxides. </w:t>
      </w:r>
      <w:r>
        <w:rPr>
          <w:rFonts w:hint="eastAsia"/>
        </w:rPr>
        <w:t>I</w:t>
      </w:r>
      <w:r>
        <w:t>n the solid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matter, oxyhydroxides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pPr>
        <w:ind w:firstLine="420"/>
      </w:pPr>
      <w:r>
        <w:rPr>
          <w:color w:val="FF0000"/>
        </w:rPr>
        <w:fldChar w:fldCharType="begin"/>
      </w:r>
      <w:r>
        <w:rPr>
          <w:color w:val="FF0000"/>
        </w:rPr>
        <w:instrText xml:space="preserve"> REF _Ref501026176 \h </w:instrText>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watershed-scale model, we consider level 1 and level 0 scheme are practically useful. The level 1 SWAT-HM model consists of 3 pools: dissolved metal (</w:t>
      </w:r>
      <w:r>
        <w:rPr>
          <w:i/>
        </w:rPr>
        <w:t>M</w:t>
      </w:r>
      <w:r>
        <w:rPr>
          <w:vertAlign w:val="subscript"/>
        </w:rPr>
        <w:t>d</w:t>
      </w:r>
      <w:r>
        <w:t>), labile metal (</w:t>
      </w:r>
      <w:r>
        <w:rPr>
          <w:i/>
        </w:rPr>
        <w:t>M</w:t>
      </w:r>
      <w:r>
        <w:rPr>
          <w:vertAlign w:val="subscript"/>
        </w:rPr>
        <w:t>l</w:t>
      </w:r>
      <w:r>
        <w:t>), and non-labile metal (</w:t>
      </w:r>
      <w:r>
        <w:rPr>
          <w:i/>
        </w:rPr>
        <w:t>M</w:t>
      </w:r>
      <w:r>
        <w:rPr>
          <w:vertAlign w:val="subscript"/>
        </w:rPr>
        <w:t>n</w:t>
      </w:r>
      <w:r>
        <w:t>), in which free metal ions (</w:t>
      </w:r>
      <w:r>
        <w:rPr>
          <w:i/>
        </w:rPr>
        <w:t>M</w:t>
      </w:r>
      <w:r>
        <w:rPr>
          <w:vertAlign w:val="superscript"/>
        </w:rPr>
        <w:t>n+</w:t>
      </w:r>
      <w:r>
        <w:t>) and metal complexes (</w:t>
      </w:r>
      <w:r>
        <w:rPr>
          <w:i/>
        </w:rPr>
        <w:t>ML</w:t>
      </w:r>
      <w:r>
        <w:t>) in solution are regarded together as dissolved metal (</w:t>
      </w:r>
      <w:r>
        <w:rPr>
          <w:i/>
        </w:rPr>
        <w:t>M</w:t>
      </w:r>
      <w:r>
        <w:rPr>
          <w:vertAlign w:val="subscript"/>
        </w:rPr>
        <w:t>d</w:t>
      </w:r>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r>
        <w:rPr>
          <w:i/>
        </w:rPr>
        <w:t>M</w:t>
      </w:r>
      <w:r>
        <w:rPr>
          <w:vertAlign w:val="subscript"/>
        </w:rPr>
        <w:t>d</w:t>
      </w:r>
      <w:r>
        <w:t>) and particulate metal (</w:t>
      </w:r>
      <w:r>
        <w:rPr>
          <w:i/>
        </w:rPr>
        <w:t>M</w:t>
      </w:r>
      <w:r>
        <w:rPr>
          <w:vertAlign w:val="subscript"/>
        </w:rPr>
        <w:t>p</w:t>
      </w:r>
      <w:r>
        <w:t>), in which labile metal (</w:t>
      </w:r>
      <w:r>
        <w:rPr>
          <w:i/>
        </w:rPr>
        <w:t>M</w:t>
      </w:r>
      <w:r>
        <w:rPr>
          <w:vertAlign w:val="subscript"/>
        </w:rPr>
        <w:t>l</w:t>
      </w:r>
      <w:r>
        <w:t>) and non-labile metal (</w:t>
      </w:r>
      <w:r>
        <w:rPr>
          <w:i/>
        </w:rPr>
        <w:t>M</w:t>
      </w:r>
      <w:r>
        <w:rPr>
          <w:vertAlign w:val="subscript"/>
        </w:rPr>
        <w:t>n</w:t>
      </w:r>
      <w:r>
        <w:t>) are further regarded together as particulate phase metal (</w:t>
      </w:r>
      <w:r>
        <w:rPr>
          <w:i/>
        </w:rPr>
        <w:t>M</w:t>
      </w:r>
      <w:r>
        <w:rPr>
          <w:vertAlign w:val="subscript"/>
        </w:rPr>
        <w:t>p</w:t>
      </w:r>
      <w:r>
        <w:t xml:space="preserve">). </w:t>
      </w:r>
    </w:p>
    <w:p>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fldChar w:fldCharType="separate"/>
      </w:r>
      <w:r>
        <w:rPr>
          <w:color w:val="FF0000"/>
        </w:rPr>
        <w:t>Table 1</w:t>
      </w:r>
      <w:r>
        <w:rPr>
          <w:color w:val="FF0000"/>
        </w:rPr>
        <w:fldChar w:fldCharType="end"/>
      </w:r>
      <w:r>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fldChar w:fldCharType="end"/>
      </w:r>
      <w:r>
        <w:rPr>
          <w:color w:val="00B0F0"/>
        </w:rPr>
        <w:fldChar w:fldCharType="separate"/>
      </w:r>
      <w:r>
        <w:rPr>
          <w:color w:val="00B0F0"/>
        </w:rPr>
        <w:t>(</w:t>
      </w:r>
      <w:r>
        <w:fldChar w:fldCharType="begin"/>
      </w:r>
      <w:r>
        <w:instrText xml:space="preserve"> HYPERLINK \l "_ENREF_6" \o "Degryse, 2009 #133" </w:instrText>
      </w:r>
      <w:r>
        <w:fldChar w:fldCharType="separate"/>
      </w:r>
      <w:r>
        <w:rPr>
          <w:color w:val="00B0F0"/>
        </w:rPr>
        <w:t>Degryse et al., 2009</w:t>
      </w:r>
      <w:r>
        <w:rPr>
          <w:color w:val="00B0F0"/>
        </w:rPr>
        <w:fldChar w:fldCharType="end"/>
      </w:r>
      <w:r>
        <w:rPr>
          <w:color w:val="00B0F0"/>
        </w:rPr>
        <w:t>)</w:t>
      </w:r>
      <w:r>
        <w:rPr>
          <w:color w:val="00B0F0"/>
        </w:rPr>
        <w:fldChar w:fldCharType="end"/>
      </w:r>
      <w:r>
        <w:t xml:space="preserve">. The “slow reaction” refers to all the slow chemical processes (between labile and non-labile phases) in the solid phase, such as the intra-particle diffusion of metals in carbonates and oxyhydroxides. This is included in SWAT-HM because of its importance for long-term metal prediction </w: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fldChar w:fldCharType="end"/>
      </w:r>
      <w:r>
        <w:rPr>
          <w:color w:val="00B0F0"/>
        </w:rPr>
        <w:fldChar w:fldCharType="separate"/>
      </w:r>
      <w:r>
        <w:rPr>
          <w:color w:val="00B0F0"/>
        </w:rPr>
        <w:t>(</w:t>
      </w:r>
      <w:r>
        <w:fldChar w:fldCharType="begin"/>
      </w:r>
      <w:r>
        <w:instrText xml:space="preserve"> HYPERLINK \l "_ENREF_2" \o "Buekers, 2008 #374" </w:instrText>
      </w:r>
      <w:r>
        <w:fldChar w:fldCharType="separate"/>
      </w:r>
      <w:r>
        <w:rPr>
          <w:color w:val="00B0F0"/>
        </w:rPr>
        <w:t>Buekers et al., 2008</w:t>
      </w:r>
      <w:r>
        <w:rPr>
          <w:color w:val="00B0F0"/>
        </w:rPr>
        <w:fldChar w:fldCharType="end"/>
      </w:r>
      <w:r>
        <w:rPr>
          <w:color w:val="00B0F0"/>
        </w:rPr>
        <w:t xml:space="preserve">; </w:t>
      </w:r>
      <w:r>
        <w:fldChar w:fldCharType="begin"/>
      </w:r>
      <w:r>
        <w:instrText xml:space="preserve"> HYPERLINK \l "_ENREF_4" \o "Crout, 2006 #375" </w:instrText>
      </w:r>
      <w:r>
        <w:fldChar w:fldCharType="separate"/>
      </w:r>
      <w:r>
        <w:rPr>
          <w:color w:val="00B0F0"/>
        </w:rPr>
        <w:t>Crout et al., 2006</w:t>
      </w:r>
      <w:r>
        <w:rPr>
          <w:color w:val="00B0F0"/>
        </w:rPr>
        <w:fldChar w:fldCharType="end"/>
      </w:r>
      <w:r>
        <w:rPr>
          <w:color w:val="00B0F0"/>
        </w:rPr>
        <w:t>)</w:t>
      </w:r>
      <w:r>
        <w:rPr>
          <w:color w:val="00B0F0"/>
        </w:rPr>
        <w:fldChar w:fldCharType="end"/>
      </w:r>
      <w:r>
        <w:t xml:space="preserve">. Generally, the sorption reaction is much faster than the solid phase slow reaction, which occurs over months or years. </w:t>
      </w:r>
      <w:r>
        <w:fldChar w:fldCharType="begin"/>
      </w:r>
      <w:r>
        <w:instrText xml:space="preserve"> HYPERLINK \l "_ENREF_7" \o "Ernstberger, 2002 #376" </w:instrText>
      </w:r>
      <w:r>
        <w:fldChar w:fldCharType="separate"/>
      </w:r>
      <w:r>
        <w:rPr>
          <w:color w:val="00B0F0"/>
        </w:rPr>
        <w:fldChar w:fldCharType="begin"/>
      </w:r>
      <w:r>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r>
        <w:rPr>
          <w:color w:val="00B0F0"/>
        </w:rPr>
        <w:fldChar w:fldCharType="end"/>
      </w:r>
      <w:r>
        <w:t xml:space="preserve"> measured the adsorption and desorption rates of Zn, Cd, Ni, and Cu and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fldChar w:fldCharType="separate"/>
      </w:r>
      <w:r>
        <w:t>Table 1</w:t>
      </w:r>
      <w:r>
        <w:rPr>
          <w:color w:val="FF0000"/>
        </w:rPr>
        <w:fldChar w:fldCharType="end"/>
      </w:r>
      <w:r>
        <w:t xml:space="preserve">). For the solid phase slow reaction, </w:t>
      </w:r>
      <w:r>
        <w:fldChar w:fldCharType="begin"/>
      </w:r>
      <w:r>
        <w:instrText xml:space="preserve"> HYPERLINK \l "_ENREF_2" \o "Buekers, 2008 #374" </w:instrText>
      </w:r>
      <w:r>
        <w:fldChar w:fldCharType="separate"/>
      </w:r>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color w:val="00B0F0"/>
        </w:rPr>
        <w:fldChar w:fldCharType="separate"/>
      </w:r>
      <w:r>
        <w:rPr>
          <w:color w:val="00B0F0"/>
        </w:rPr>
        <w:t>Buekers et al. (2008)</w:t>
      </w:r>
      <w:r>
        <w:rPr>
          <w:color w:val="00B0F0"/>
        </w:rPr>
        <w:fldChar w:fldCharType="end"/>
      </w:r>
      <w:r>
        <w:rPr>
          <w:color w:val="00B0F0"/>
        </w:rPr>
        <w:fldChar w:fldCharType="end"/>
      </w:r>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fldChar w:fldCharType="end"/>
      </w:r>
      <w:r>
        <w:rPr>
          <w:rFonts w:asciiTheme="majorBidi" w:hAnsiTheme="majorBidi" w:cstheme="majorBidi"/>
          <w:color w:val="00B0F0"/>
        </w:rPr>
        <w:fldChar w:fldCharType="separate"/>
      </w:r>
      <w:r>
        <w:rPr>
          <w:rFonts w:asciiTheme="majorBidi" w:hAnsiTheme="majorBidi" w:cstheme="majorBidi"/>
          <w:color w:val="00B0F0"/>
        </w:rPr>
        <w:t>(</w:t>
      </w:r>
      <w:r>
        <w:fldChar w:fldCharType="begin"/>
      </w:r>
      <w:r>
        <w:instrText xml:space="preserve"> HYPERLINK \l "_ENREF_1" \o "Bahr, 1987 #377" </w:instrText>
      </w:r>
      <w:r>
        <w:fldChar w:fldCharType="separate"/>
      </w:r>
      <w:r>
        <w:rPr>
          <w:rFonts w:asciiTheme="majorBidi" w:hAnsiTheme="majorBidi" w:cstheme="majorBidi"/>
          <w:color w:val="00B0F0"/>
        </w:rPr>
        <w:t>Bahr and Rubin, 1987</w:t>
      </w:r>
      <w:r>
        <w:rPr>
          <w:rFonts w:asciiTheme="majorBidi" w:hAnsiTheme="majorBidi" w:cstheme="majorBidi"/>
          <w:color w:val="00B0F0"/>
        </w:rPr>
        <w:fldChar w:fldCharType="end"/>
      </w:r>
      <w:r>
        <w:rPr>
          <w:rFonts w:asciiTheme="majorBidi" w:hAnsiTheme="majorBidi" w:cstheme="majorBidi"/>
          <w:color w:val="00B0F0"/>
        </w:rPr>
        <w:t xml:space="preserve">; </w:t>
      </w:r>
      <w:r>
        <w:fldChar w:fldCharType="begin"/>
      </w:r>
      <w:r>
        <w:instrText xml:space="preserve"> HYPERLINK \l "_ENREF_3" \o "Chapra, 2008 #378" </w:instrText>
      </w:r>
      <w:r>
        <w:fldChar w:fldCharType="separate"/>
      </w:r>
      <w:r>
        <w:rPr>
          <w:rFonts w:asciiTheme="majorBidi" w:hAnsiTheme="majorBidi" w:cstheme="majorBidi"/>
          <w:color w:val="00B0F0"/>
        </w:rPr>
        <w:t>Chapra, 2008</w:t>
      </w:r>
      <w:r>
        <w:rPr>
          <w:rFonts w:asciiTheme="majorBidi" w:hAnsiTheme="majorBidi" w:cstheme="majorBidi"/>
          <w:color w:val="00B0F0"/>
        </w:rPr>
        <w:fldChar w:fldCharType="end"/>
      </w:r>
      <w:r>
        <w:rPr>
          <w:rFonts w:asciiTheme="majorBidi" w:hAnsiTheme="majorBidi" w:cstheme="majorBidi"/>
          <w:color w:val="00B0F0"/>
        </w:rPr>
        <w:t xml:space="preserve">; </w:t>
      </w:r>
      <w:r>
        <w:fldChar w:fldCharType="begin"/>
      </w:r>
      <w:r>
        <w:instrText xml:space="preserve"> HYPERLINK \l "_ENREF_12" \o "Rubin, 1983 #379" </w:instrText>
      </w:r>
      <w:r>
        <w:fldChar w:fldCharType="separate"/>
      </w:r>
      <w:r>
        <w:rPr>
          <w:rFonts w:asciiTheme="majorBidi" w:hAnsiTheme="majorBidi" w:cstheme="majorBidi"/>
          <w:color w:val="00B0F0"/>
        </w:rPr>
        <w:t>Rubin, 1983</w:t>
      </w:r>
      <w:r>
        <w:rPr>
          <w:rFonts w:asciiTheme="majorBidi" w:hAnsiTheme="majorBidi" w:cstheme="majorBidi"/>
          <w:color w:val="00B0F0"/>
        </w:rPr>
        <w:fldChar w:fldCharType="end"/>
      </w:r>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used in modeling sorption reaction. In contrast, for the slow reactions, the kinetic approach characterized 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pPr>
        <w:ind w:firstLine="420"/>
        <w:rPr>
          <w:rFonts w:asciiTheme="majorBidi" w:hAnsiTheme="majorBidi" w:eastAsiaTheme="minorEastAsia" w:cstheme="majorBidi"/>
        </w:rPr>
      </w:pPr>
      <w:r>
        <w:rPr>
          <w:rFonts w:asciiTheme="majorBidi" w:hAnsiTheme="majorBidi" w:cstheme="majorBidi"/>
        </w:rPr>
        <w:t>Dissolved metals (solution phase,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defined as the ratio of the labile metal concentration in the solid phase to the dissolved metal concentration in the solution phase when equilibrium is attained: </w:t>
      </w:r>
    </w:p>
    <w:p>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eastAsiaTheme="minorEastAsia" w:cstheme="majorBidi"/>
          <w:position w:val="-28"/>
        </w:rPr>
        <w:object>
          <v:shape id="_x0000_i1025" o:spt="75" type="#_x0000_t75" style="height:37.65pt;width:67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 xml:space="preserve">(</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 xml:space="preserve">1</w:instrText>
      </w:r>
      <w:r>
        <w:rPr>
          <w:rFonts w:asciiTheme="majorBidi" w:hAnsiTheme="majorBidi" w:cstheme="majorBidi"/>
        </w:rPr>
        <w:fldChar w:fldCharType="end"/>
      </w:r>
      <w:r>
        <w:rPr>
          <w:rFonts w:asciiTheme="majorBidi" w:hAnsiTheme="majorBidi" w:cstheme="majorBidi"/>
        </w:rPr>
        <w:instrText xml:space="preserve">)</w:instrText>
      </w:r>
      <w:r>
        <w:rPr>
          <w:rFonts w:asciiTheme="majorBidi" w:hAnsiTheme="majorBidi" w:cstheme="majorBidi"/>
        </w:rPr>
        <w:fldChar w:fldCharType="end"/>
      </w:r>
    </w:p>
    <w:p>
      <w:pPr>
        <w:rPr>
          <w:rFonts w:asciiTheme="majorBidi" w:hAnsiTheme="majorBidi" w:cstheme="majorBidi"/>
        </w:rPr>
      </w:pPr>
      <w:r>
        <w:rPr>
          <w:rFonts w:asciiTheme="majorBidi" w:hAnsiTheme="majorBidi" w:cstheme="majorBidi"/>
        </w:rPr>
        <w:t xml:space="preserve">where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the solid-solution partition coefficient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pPr>
        <w:ind w:firstLine="420"/>
        <w:rPr>
          <w:rFonts w:asciiTheme="majorBidi" w:hAnsiTheme="majorBidi" w:eastAsiaTheme="minorEastAsia"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of the slow reaction are specified 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r>
        <w:rPr>
          <w:rFonts w:asciiTheme="majorBidi" w:hAnsiTheme="majorBidi" w:cstheme="majorBidi"/>
          <w:i/>
        </w:rPr>
        <w:t>M</w:t>
      </w:r>
      <w:r>
        <w:rPr>
          <w:rFonts w:asciiTheme="majorBidi" w:hAnsiTheme="majorBidi" w:cstheme="majorBidi"/>
          <w:vertAlign w:val="subscript"/>
        </w:rPr>
        <w:t>n</w:t>
      </w:r>
      <w:r>
        <w:rPr>
          <w:rFonts w:asciiTheme="majorBidi" w:hAnsiTheme="majorBidi" w:cstheme="majorBidi"/>
        </w:rPr>
        <w:t>).</w:t>
      </w:r>
    </w:p>
    <w:p>
      <w:pPr>
        <w:rPr>
          <w:rFonts w:cstheme="minorBidi"/>
          <w:szCs w:val="22"/>
        </w:rPr>
      </w:pPr>
      <w:r>
        <w:tab/>
      </w:r>
      <w:r>
        <w:tab/>
      </w:r>
      <w:r>
        <w:tab/>
      </w:r>
      <w:r>
        <w:tab/>
      </w:r>
      <w:r>
        <w:tab/>
      </w:r>
      <w:r>
        <w:tab/>
      </w:r>
      <w:r>
        <w:tab/>
      </w:r>
      <w:r>
        <w:rPr>
          <w:rFonts w:eastAsiaTheme="minorEastAsia" w:cstheme="minorBidi"/>
          <w:position w:val="-50"/>
          <w:szCs w:val="22"/>
        </w:rPr>
        <w:object>
          <v:shape id="_x0000_i1026" o:spt="75" type="#_x0000_t75" style="height:63.15pt;width:106.3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 d</w:t>
      </w:r>
      <w:r>
        <w:rPr>
          <w:vertAlign w:val="superscript"/>
        </w:rPr>
        <w:t>-1</w:t>
      </w:r>
      <w:r>
        <w:t xml:space="preserve">), and </w:t>
      </w:r>
      <w:r>
        <w:rPr>
          <w:i/>
        </w:rPr>
        <w:t>M</w:t>
      </w:r>
      <w:r>
        <w:rPr>
          <w:vertAlign w:val="subscript"/>
        </w:rPr>
        <w:t>l</w:t>
      </w:r>
      <w:r>
        <w:t xml:space="preserve"> and </w:t>
      </w:r>
      <w:r>
        <w:rPr>
          <w:i/>
        </w:rPr>
        <w:t>M</w:t>
      </w:r>
      <w:r>
        <w:rPr>
          <w:vertAlign w:val="subscript"/>
        </w:rPr>
        <w:t>n</w:t>
      </w:r>
      <w:r>
        <w:t xml:space="preserve"> denote the labile and non-labile metal concentration in the solid phase (mg kg</w:t>
      </w:r>
      <w:r>
        <w:rPr>
          <w:vertAlign w:val="superscript"/>
        </w:rPr>
        <w:t>-1</w:t>
      </w:r>
      <w:r>
        <w:t>).</w:t>
      </w:r>
    </w:p>
    <w:p>
      <w:pPr>
        <w:tabs>
          <w:tab w:val="left" w:pos="851"/>
          <w:tab w:val="left" w:pos="4678"/>
        </w:tabs>
        <w:spacing w:line="480" w:lineRule="auto"/>
      </w:pPr>
    </w:p>
    <w:p>
      <w:pPr>
        <w:tabs>
          <w:tab w:val="left" w:pos="851"/>
          <w:tab w:val="left" w:pos="4678"/>
        </w:tabs>
        <w:spacing w:line="480" w:lineRule="auto"/>
      </w:pPr>
      <w:r>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pPr>
        <w:pStyle w:val="5"/>
      </w:pPr>
      <w:bookmarkStart w:id="5" w:name="_Ref501026176"/>
      <w:r>
        <w:t xml:space="preserve">Fig. </w:t>
      </w:r>
      <w:r>
        <w:fldChar w:fldCharType="begin"/>
      </w:r>
      <w:r>
        <w:instrText xml:space="preserve"> SEQ Fig. \* ARABIC </w:instrText>
      </w:r>
      <w:r>
        <w:fldChar w:fldCharType="separate"/>
      </w:r>
      <w:r>
        <w:t>3</w:t>
      </w:r>
      <w:r>
        <w:fldChar w:fldCharType="end"/>
      </w:r>
      <w:bookmarkEnd w:id="5"/>
      <w:r>
        <w:t xml:space="preserve"> - Graphical descriptions of the metal transformation model in the soil-water environment. </w:t>
      </w:r>
      <w:r>
        <w:rPr>
          <w:i/>
        </w:rPr>
        <w:t>K</w:t>
      </w:r>
      <w:r>
        <w:rPr>
          <w:vertAlign w:val="subscript"/>
        </w:rPr>
        <w:t>d</w:t>
      </w:r>
      <w:r>
        <w:t xml:space="preserve">, </w:t>
      </w:r>
      <w:r>
        <w:rPr>
          <w:i/>
        </w:rPr>
        <w:t>k</w:t>
      </w:r>
      <w:r>
        <w:rPr>
          <w:vertAlign w:val="subscript"/>
        </w:rPr>
        <w:t>a</w:t>
      </w:r>
      <w:r>
        <w:t xml:space="preserve">, </w:t>
      </w:r>
      <w:r>
        <w:rPr>
          <w:i/>
        </w:rPr>
        <w:t>k</w:t>
      </w:r>
      <w:r>
        <w:rPr>
          <w:vertAlign w:val="subscript"/>
        </w:rPr>
        <w:t>d</w:t>
      </w:r>
      <w:r>
        <w:t xml:space="preserve">, </w:t>
      </w:r>
      <w:r>
        <w:rPr>
          <w:i/>
        </w:rPr>
        <w:t>k</w:t>
      </w:r>
      <w:r>
        <w:rPr>
          <w:vertAlign w:val="subscript"/>
        </w:rPr>
        <w:t>ads</w:t>
      </w:r>
      <w:r>
        <w:t xml:space="preserve">, </w:t>
      </w:r>
      <w:r>
        <w:rPr>
          <w:i/>
        </w:rPr>
        <w:t>k</w:t>
      </w:r>
      <w:r>
        <w:rPr>
          <w:vertAlign w:val="subscript"/>
        </w:rPr>
        <w:t>des</w:t>
      </w:r>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pPr>
        <w:widowControl/>
        <w:spacing w:line="480" w:lineRule="auto"/>
        <w:jc w:val="left"/>
        <w:rPr>
          <w:kern w:val="0"/>
        </w:rPr>
        <w:sectPr>
          <w:pgSz w:w="11906" w:h="16838"/>
          <w:pgMar w:top="1440" w:right="1800" w:bottom="1440" w:left="1800" w:header="851" w:footer="992" w:gutter="0"/>
          <w:cols w:space="720" w:num="1"/>
          <w:docGrid w:type="lines" w:linePitch="326" w:charSpace="0"/>
        </w:sectPr>
      </w:pPr>
    </w:p>
    <w:p>
      <w:pPr>
        <w:pStyle w:val="5"/>
        <w:rPr>
          <w:rFonts w:eastAsia="宋体"/>
          <w:sz w:val="21"/>
        </w:rPr>
      </w:pPr>
      <w:bookmarkStart w:id="6" w:name="_Ref102332158"/>
      <w:r>
        <w:t xml:space="preserve">Table </w:t>
      </w:r>
      <w:r>
        <w:fldChar w:fldCharType="begin"/>
      </w:r>
      <w:r>
        <w:instrText xml:space="preserve"> SEQ Table \* ARABIC </w:instrText>
      </w:r>
      <w:r>
        <w:fldChar w:fldCharType="separate"/>
      </w:r>
      <w:r>
        <w:t>1</w:t>
      </w:r>
      <w:r>
        <w:fldChar w:fldCharType="end"/>
      </w:r>
      <w:bookmarkEnd w:id="6"/>
      <w:r>
        <w:t xml:space="preserve"> - Two major reactions in the soil-water environment and their kinetics equations, </w:t>
      </w:r>
      <w:r>
        <w:rPr>
          <w:rFonts w:eastAsia="宋体"/>
        </w:rPr>
        <w:t>equilibrium constants, response times and reaction rates.</w:t>
      </w:r>
    </w:p>
    <w:tbl>
      <w:tblPr>
        <w:tblStyle w:val="12"/>
        <w:tblW w:w="5000" w:type="pct"/>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86"/>
        <w:gridCol w:w="2152"/>
        <w:gridCol w:w="3329"/>
        <w:gridCol w:w="1805"/>
        <w:gridCol w:w="1177"/>
        <w:gridCol w:w="1177"/>
        <w:gridCol w:w="1177"/>
        <w:gridCol w:w="1184"/>
        <w:gridCol w:w="2027"/>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508"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color="auto" w:sz="12"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Reference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508" w:type="pct"/>
            <w:vMerge w:val="restart"/>
            <w:tcBorders>
              <w:top w:val="single" w:color="auto" w:sz="4" w:space="0"/>
              <w:left w:val="nil"/>
              <w:bottom w:val="single" w:color="auto" w:sz="4" w:space="0"/>
              <w:right w:val="nil"/>
            </w:tcBorders>
          </w:tcPr>
          <w:p>
            <w:pPr>
              <w:spacing w:after="120" w:line="480" w:lineRule="auto"/>
              <w:jc w:val="center"/>
              <w:rPr>
                <w:rFonts w:ascii="Calibri" w:hAnsi="Calibri" w:cs="Calibri"/>
                <w:sz w:val="22"/>
              </w:rPr>
            </w:pPr>
            <w:r>
              <w:rPr>
                <w:rFonts w:ascii="Calibri" w:hAnsi="Calibri" w:cs="Calibri"/>
                <w:sz w:val="22"/>
              </w:rPr>
              <w:t>(1)</w:t>
            </w:r>
          </w:p>
          <w:p>
            <w:pPr>
              <w:spacing w:after="120" w:line="480" w:lineRule="auto"/>
              <w:jc w:val="center"/>
              <w:rPr>
                <w:rFonts w:ascii="Calibri" w:hAnsi="Calibri" w:cs="Calibri"/>
                <w:sz w:val="22"/>
              </w:rPr>
            </w:pPr>
            <w:r>
              <w:rPr>
                <w:rFonts w:ascii="Calibri" w:hAnsi="Calibri" w:cs="Calibri"/>
                <w:sz w:val="22"/>
              </w:rPr>
              <w:t>Sorption</w:t>
            </w:r>
          </w:p>
          <w:p>
            <w:pPr>
              <w:spacing w:after="120" w:line="480" w:lineRule="auto"/>
              <w:jc w:val="center"/>
              <w:rPr>
                <w:rFonts w:ascii="Calibri" w:hAnsi="Calibri" w:cs="Calibri"/>
                <w:sz w:val="22"/>
              </w:rPr>
            </w:pPr>
          </w:p>
        </w:tc>
        <w:tc>
          <w:tcPr>
            <w:tcW w:w="689" w:type="pct"/>
            <w:vMerge w:val="restart"/>
            <w:tcBorders>
              <w:top w:val="single" w:color="auto" w:sz="4" w:space="0"/>
              <w:left w:val="nil"/>
              <w:bottom w:val="single" w:color="auto" w:sz="4" w:space="0"/>
              <w:right w:val="nil"/>
            </w:tcBorders>
          </w:tcPr>
          <w:p>
            <w:pPr>
              <w:spacing w:after="120" w:line="480" w:lineRule="auto"/>
              <w:jc w:val="center"/>
              <w:rPr>
                <w:rFonts w:ascii="Calibri" w:hAnsi="Calibri" w:cs="Calibri" w:eastAsiaTheme="minorEastAsia"/>
                <w:position w:val="-132"/>
                <w:sz w:val="22"/>
              </w:rPr>
            </w:pPr>
            <w:r>
              <w:rPr>
                <w:rFonts w:ascii="Calibri" w:hAnsi="Calibri" w:cs="Calibri" w:eastAsiaTheme="minorEastAsia"/>
                <w:position w:val="-132"/>
                <w:sz w:val="22"/>
                <w:szCs w:val="22"/>
              </w:rPr>
              <w:object>
                <v:shape id="_x0000_i1027" o:spt="75" type="#_x0000_t75" style="height:27.7pt;width:82.5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p>
        </w:tc>
        <w:tc>
          <w:tcPr>
            <w:tcW w:w="1066" w:type="pct"/>
            <w:vMerge w:val="restar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eastAsiaTheme="minorEastAsia"/>
                <w:position w:val="-132"/>
                <w:sz w:val="22"/>
                <w:szCs w:val="22"/>
              </w:rPr>
              <w:object>
                <v:shape id="_x0000_i1028" o:spt="75" type="#_x0000_t75" style="height:134.05pt;width:137.9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fldChar w:fldCharType="begin"/>
            </w:r>
            <w:r>
              <w:instrText xml:space="preserve"> HYPERLINK \l "_ENREF_7" \o "Ernstberger, 2002 #376" </w:instrText>
            </w:r>
            <w:r>
              <w:fldChar w:fldCharType="separate"/>
            </w:r>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rFonts w:ascii="Calibri" w:hAnsi="Calibri" w:cs="Calibri"/>
                <w:color w:val="00B0F0"/>
                <w:sz w:val="22"/>
              </w:rPr>
              <w:fldChar w:fldCharType="separate"/>
            </w:r>
            <w:r>
              <w:rPr>
                <w:rFonts w:ascii="Calibri" w:hAnsi="Calibri" w:cs="Calibri"/>
                <w:color w:val="00B0F0"/>
                <w:sz w:val="22"/>
              </w:rPr>
              <w:t>Ernstberger et al. (2002)</w:t>
            </w:r>
            <w:r>
              <w:rPr>
                <w:rFonts w:ascii="Calibri" w:hAnsi="Calibri" w:cs="Calibri"/>
                <w:color w:val="00B0F0"/>
                <w:sz w:val="22"/>
              </w:rPr>
              <w:fldChar w:fldCharType="end"/>
            </w:r>
            <w:r>
              <w:rPr>
                <w:rFonts w:ascii="Calibri" w:hAnsi="Calibri" w:cs="Calibri"/>
                <w:color w:val="00B0F0"/>
                <w:sz w:val="22"/>
              </w:rPr>
              <w:fldChar w:fldCharType="end"/>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eastAsiaTheme="minorEastAsia"/>
                <w:position w:val="-132"/>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29" o:spt="75" type="#_x0000_t75" style="height:14.4pt;width:14.4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33.2</w:t>
            </w: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eastAsiaTheme="minorEastAsia"/>
                <w:position w:val="-132"/>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30" o:spt="75" type="#_x0000_t75" style="height:14.4pt;width:35.4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sz w:val="22"/>
              </w:rPr>
              <w:t>9.5</w:t>
            </w: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726" w:hRule="atLeast"/>
        </w:trPr>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eastAsiaTheme="minorEastAsia"/>
                <w:position w:val="-132"/>
                <w:sz w:val="22"/>
                <w:szCs w:val="22"/>
              </w:rPr>
            </w:pP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szCs w:val="22"/>
              </w:rPr>
              <w:object>
                <v:shape id="_x0000_i1031" o:spt="75" type="#_x0000_t75" style="height:14.4pt;width:14.4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ascii="Calibri" w:hAnsi="Calibri" w:cs="Calibri"/>
                <w:sz w:val="22"/>
              </w:rPr>
              <w:t xml:space="preserve"> (s)</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val="continue"/>
            <w:tcBorders>
              <w:top w:val="single" w:color="auto" w:sz="4" w:space="0"/>
              <w:left w:val="nil"/>
              <w:bottom w:val="single" w:color="auto" w:sz="4"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508" w:type="pct"/>
            <w:vMerge w:val="restart"/>
            <w:tcBorders>
              <w:top w:val="single" w:color="auto" w:sz="4" w:space="0"/>
              <w:left w:val="nil"/>
              <w:bottom w:val="single" w:color="auto" w:sz="12" w:space="0"/>
              <w:right w:val="nil"/>
            </w:tcBorders>
          </w:tcPr>
          <w:p>
            <w:pPr>
              <w:spacing w:after="120" w:line="480" w:lineRule="auto"/>
              <w:jc w:val="center"/>
              <w:rPr>
                <w:rFonts w:ascii="Calibri" w:hAnsi="Calibri" w:cs="Calibri"/>
                <w:sz w:val="22"/>
              </w:rPr>
            </w:pPr>
            <w:r>
              <w:rPr>
                <w:rFonts w:ascii="Calibri" w:hAnsi="Calibri" w:cs="Calibri"/>
                <w:sz w:val="22"/>
              </w:rPr>
              <w:t>(2)</w:t>
            </w:r>
          </w:p>
          <w:p>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color="auto" w:sz="4" w:space="0"/>
              <w:left w:val="nil"/>
              <w:bottom w:val="single" w:color="auto" w:sz="12" w:space="0"/>
              <w:right w:val="nil"/>
            </w:tcBorders>
          </w:tcPr>
          <w:p>
            <w:pPr>
              <w:spacing w:after="120" w:line="480" w:lineRule="auto"/>
              <w:jc w:val="center"/>
              <w:rPr>
                <w:rFonts w:ascii="Calibri" w:hAnsi="Calibri" w:cs="Calibri"/>
                <w:position w:val="-110"/>
                <w:sz w:val="22"/>
              </w:rPr>
            </w:pPr>
            <w:r>
              <w:rPr>
                <w:rFonts w:ascii="Calibri" w:hAnsi="Calibri" w:cs="Calibri"/>
                <w:position w:val="-110"/>
                <w:sz w:val="22"/>
                <w:szCs w:val="22"/>
              </w:rPr>
              <w:object>
                <v:shape id="_x0000_i1032" o:spt="75" type="#_x0000_t75" style="height:27.7pt;width:72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32" r:id="rId21">
                  <o:LockedField>false</o:LockedField>
                </o:OLEObject>
              </w:object>
            </w:r>
          </w:p>
        </w:tc>
        <w:tc>
          <w:tcPr>
            <w:tcW w:w="1066" w:type="pct"/>
            <w:vMerge w:val="restar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sz w:val="22"/>
              </w:rPr>
            </w:pPr>
            <w:r>
              <w:rPr>
                <w:rFonts w:ascii="Calibri" w:hAnsi="Calibri" w:cs="Calibri"/>
                <w:position w:val="-110"/>
                <w:sz w:val="22"/>
                <w:szCs w:val="22"/>
              </w:rPr>
              <w:object>
                <v:shape id="_x0000_i1033" o:spt="75" type="#_x0000_t75" style="height:121.3pt;width:98.6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3" r:id="rId23">
                  <o:LockedField>false</o:LockedField>
                </o:OLEObject>
              </w:object>
            </w:r>
            <w:r>
              <w:rPr>
                <w:rFonts w:ascii="Calibri" w:hAnsi="Calibri" w:cs="Calibri"/>
                <w:sz w:val="22"/>
              </w:rPr>
              <w:t xml:space="preserve"> </w:t>
            </w: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sz w:val="22"/>
              </w:rPr>
            </w:pPr>
            <w:r>
              <w:fldChar w:fldCharType="begin"/>
            </w:r>
            <w:r>
              <w:instrText xml:space="preserve"> HYPERLINK \l "_ENREF_2" \o "Buekers, 2008 #374" </w:instrText>
            </w:r>
            <w:r>
              <w:fldChar w:fldCharType="separate"/>
            </w:r>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rFonts w:ascii="Calibri" w:hAnsi="Calibri" w:cs="Calibri"/>
                <w:color w:val="00B0F0"/>
                <w:sz w:val="22"/>
              </w:rPr>
              <w:fldChar w:fldCharType="separate"/>
            </w:r>
            <w:r>
              <w:rPr>
                <w:rFonts w:ascii="Calibri" w:hAnsi="Calibri" w:cs="Calibri"/>
                <w:color w:val="00B0F0"/>
                <w:sz w:val="22"/>
              </w:rPr>
              <w:t>Buekers et al. (2008)</w:t>
            </w:r>
            <w:r>
              <w:rPr>
                <w:rFonts w:ascii="Calibri" w:hAnsi="Calibri" w:cs="Calibri"/>
                <w:color w:val="00B0F0"/>
                <w:sz w:val="22"/>
              </w:rPr>
              <w:fldChar w:fldCharType="end"/>
            </w:r>
            <w:r>
              <w:rPr>
                <w:rFonts w:ascii="Calibri" w:hAnsi="Calibri" w:cs="Calibri"/>
                <w:color w:val="00B0F0"/>
                <w:sz w:val="22"/>
              </w:rPr>
              <w:fldChar w:fldCharType="end"/>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position w:val="-110"/>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34" o:spt="75" type="#_x0000_t75" style="height:14.4pt;width:7.75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position w:val="-110"/>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sz w:val="22"/>
              </w:rPr>
            </w:pPr>
            <w:r>
              <w:rPr>
                <w:rFonts w:ascii="Calibri" w:hAnsi="Calibri" w:cs="Calibri"/>
                <w:position w:val="-10"/>
                <w:sz w:val="22"/>
                <w:szCs w:val="22"/>
              </w:rPr>
              <w:object>
                <v:shape id="_x0000_i1035" o:spt="75" type="#_x0000_t75" style="height:14.4pt;width:14.4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5" r:id="rId27">
                  <o:LockedField>false</o:LockedField>
                </o:OLEObject>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color="auto" w:sz="4" w:space="0"/>
              <w:left w:val="nil"/>
              <w:bottom w:val="single" w:color="auto" w:sz="4" w:space="0"/>
              <w:right w:val="nil"/>
            </w:tcBorders>
            <w:vAlign w:val="center"/>
          </w:tcPr>
          <w:p>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52" w:hRule="atLeast"/>
        </w:trPr>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position w:val="-110"/>
                <w:sz w:val="22"/>
                <w:szCs w:val="22"/>
              </w:rPr>
            </w:pP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c>
          <w:tcPr>
            <w:tcW w:w="578" w:type="pct"/>
            <w:tcBorders>
              <w:top w:val="single" w:color="auto" w:sz="4" w:space="0"/>
              <w:left w:val="nil"/>
              <w:bottom w:val="single" w:color="auto" w:sz="12" w:space="0"/>
              <w:right w:val="nil"/>
            </w:tcBorders>
            <w:vAlign w:val="center"/>
          </w:tcPr>
          <w:p>
            <w:pPr>
              <w:spacing w:after="120" w:line="480" w:lineRule="auto"/>
              <w:ind w:right="-125" w:rightChars="-52"/>
              <w:jc w:val="center"/>
              <w:rPr>
                <w:rFonts w:ascii="Calibri" w:hAnsi="Calibri" w:cs="Calibri"/>
                <w:position w:val="-10"/>
                <w:sz w:val="22"/>
              </w:rPr>
            </w:pPr>
            <w:r>
              <w:rPr>
                <w:rFonts w:ascii="Calibri" w:hAnsi="Calibri" w:cs="Calibri"/>
                <w:position w:val="-10"/>
                <w:sz w:val="22"/>
                <w:szCs w:val="22"/>
              </w:rPr>
              <w:object>
                <v:shape id="_x0000_i1036" o:spt="75" type="#_x0000_t75" style="height:14.4pt;width:14.4pt;" o:ole="t" filled="f" o:preferrelative="t" stroked="f" coordsize="21600,21600">
                  <v:path/>
                  <v:fill on="f" focussize="0,0"/>
                  <v:stroke on="f" joinstyle="miter"/>
                  <v:imagedata r:id="rId30" o:title=""/>
                  <o:lock v:ext="edit" aspectratio="t"/>
                  <w10:wrap type="none"/>
                  <w10:anchorlock/>
                </v:shape>
                <o:OLEObject Type="Embed" ProgID="Equation.DSMT4" ShapeID="_x0000_i1036" DrawAspect="Content" ObjectID="_1468075736" r:id="rId29">
                  <o:LockedField>false</o:LockedField>
                </o:OLEObject>
              </w:object>
            </w:r>
            <w:r>
              <w:rPr>
                <w:rFonts w:ascii="Calibri" w:hAnsi="Calibri" w:cs="Calibri"/>
                <w:sz w:val="22"/>
              </w:rPr>
              <w:t xml:space="preserve"> (d)</w:t>
            </w:r>
          </w:p>
        </w:tc>
        <w:tc>
          <w:tcPr>
            <w:tcW w:w="377"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color="auto" w:sz="4" w:space="0"/>
              <w:left w:val="nil"/>
              <w:bottom w:val="single" w:color="auto" w:sz="12" w:space="0"/>
              <w:right w:val="nil"/>
            </w:tcBorders>
            <w:vAlign w:val="center"/>
          </w:tcPr>
          <w:p>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val="continue"/>
            <w:tcBorders>
              <w:top w:val="single" w:color="auto" w:sz="4" w:space="0"/>
              <w:left w:val="nil"/>
              <w:bottom w:val="single" w:color="auto" w:sz="12" w:space="0"/>
              <w:right w:val="nil"/>
            </w:tcBorders>
            <w:vAlign w:val="center"/>
          </w:tcPr>
          <w:p>
            <w:pPr>
              <w:widowControl/>
              <w:jc w:val="left"/>
              <w:rPr>
                <w:rFonts w:ascii="Calibri" w:hAnsi="Calibri" w:cs="Calibri"/>
                <w:sz w:val="22"/>
                <w:szCs w:val="22"/>
              </w:rPr>
            </w:pPr>
          </w:p>
        </w:tc>
      </w:tr>
    </w:tbl>
    <w:p>
      <w:pPr>
        <w:spacing w:after="120" w:line="480" w:lineRule="auto"/>
        <w:rPr>
          <w:rFonts w:ascii="Calibri" w:hAnsi="Calibri" w:cs="Calibri"/>
          <w:sz w:val="22"/>
        </w:rPr>
      </w:pPr>
      <w:r>
        <w:rPr>
          <w:rFonts w:ascii="Calibri" w:hAnsi="Calibri" w:cs="Calibri"/>
          <w:sz w:val="22"/>
        </w:rPr>
        <w:t>.</w:t>
      </w:r>
    </w:p>
    <w:p>
      <w:pPr>
        <w:spacing w:after="120" w:line="480" w:lineRule="auto"/>
        <w:rPr>
          <w:rFonts w:ascii="Calibri" w:hAnsi="Calibri" w:cs="Calibri"/>
          <w:sz w:val="22"/>
        </w:rPr>
      </w:pPr>
    </w:p>
    <w:p>
      <w:pPr>
        <w:spacing w:after="120" w:line="480" w:lineRule="auto"/>
        <w:rPr>
          <w:rFonts w:ascii="Calibri" w:hAnsi="Calibri" w:cs="Calibri"/>
          <w:sz w:val="22"/>
        </w:rPr>
      </w:pPr>
    </w:p>
    <w:p>
      <w:pPr>
        <w:pStyle w:val="5"/>
      </w:pPr>
      <w:r>
        <w:t xml:space="preserve">Table </w:t>
      </w:r>
      <w:r>
        <w:fldChar w:fldCharType="begin"/>
      </w:r>
      <w:r>
        <w:instrText xml:space="preserve"> SEQ Table \* ARABIC </w:instrText>
      </w:r>
      <w:r>
        <w:fldChar w:fldCharType="separate"/>
      </w:r>
      <w:r>
        <w:t>2</w:t>
      </w:r>
      <w:r>
        <w:fldChar w:fldCharType="end"/>
      </w:r>
      <w:r>
        <w:t xml:space="preserve"> - Selected regression models for log</w:t>
      </w:r>
      <w:r>
        <w:rPr>
          <w:i/>
        </w:rPr>
        <w:t>K</w:t>
      </w:r>
      <w:r>
        <w:rPr>
          <w:vertAlign w:val="subscript"/>
        </w:rPr>
        <w:t>d</w:t>
      </w:r>
      <w:r>
        <w:t xml:space="preserve"> (in L kg</w:t>
      </w:r>
      <w:r>
        <w:rPr>
          <w:vertAlign w:val="superscript"/>
        </w:rPr>
        <w:t>-1</w:t>
      </w:r>
      <w:r>
        <w:t xml:space="preserve">), derived from pore-water based </w:t>
      </w:r>
      <w:r>
        <w:rPr>
          <w:i/>
        </w:rPr>
        <w:t>K</w:t>
      </w:r>
      <w:r>
        <w:rPr>
          <w:vertAlign w:val="subscript"/>
        </w:rPr>
        <w:t>d</w:t>
      </w:r>
      <w:r>
        <w:t xml:space="preserve"> values. The regression equations were fitted with </w:t>
      </w:r>
      <w:r>
        <w:rPr>
          <w:i/>
        </w:rPr>
        <w:t>K</w:t>
      </w:r>
      <w:r>
        <w:rPr>
          <w:vertAlign w:val="subscript"/>
        </w:rPr>
        <w:t>d</w:t>
      </w:r>
      <w:r>
        <w:rPr>
          <w:rFonts w:hint="eastAsia"/>
        </w:rPr>
        <w:t xml:space="preserve"> </w:t>
      </w:r>
      <w:r>
        <w:t>values that were based on total solid phase concentrations (</w:t>
      </w:r>
      <w:r>
        <w:rPr>
          <w:i/>
        </w:rPr>
        <w:t>K</w:t>
      </w:r>
      <w:r>
        <w:rPr>
          <w:vertAlign w:val="subscript"/>
        </w:rPr>
        <w:t>d</w:t>
      </w:r>
      <w:r>
        <w:rPr>
          <w:vertAlign w:val="superscript"/>
        </w:rPr>
        <w:t>tot/free</w:t>
      </w:r>
      <w:r>
        <w:t>) or on labile solid phase concentration (</w:t>
      </w:r>
      <w:r>
        <w:rPr>
          <w:i/>
        </w:rPr>
        <w:t>K</w:t>
      </w:r>
      <w:r>
        <w:rPr>
          <w:vertAlign w:val="subscript"/>
        </w:rPr>
        <w:t>d</w:t>
      </w:r>
      <w:r>
        <w:rPr>
          <w:vertAlign w:val="superscript"/>
        </w:rPr>
        <w:t>lab</w:t>
      </w:r>
      <w:r>
        <w:t>)</w:t>
      </w:r>
    </w:p>
    <w:tbl>
      <w:tblPr>
        <w:tblStyle w:val="12"/>
        <w:tblW w:w="5000" w:type="pct"/>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485"/>
        <w:gridCol w:w="1696"/>
        <w:gridCol w:w="8141"/>
        <w:gridCol w:w="1565"/>
        <w:gridCol w:w="1727"/>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Metal</w:t>
            </w:r>
          </w:p>
        </w:tc>
        <w:tc>
          <w:tcPr>
            <w:tcW w:w="543"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K</w:t>
            </w:r>
            <w:r>
              <w:rPr>
                <w:b/>
                <w:sz w:val="28"/>
                <w:vertAlign w:val="subscript"/>
              </w:rPr>
              <w:t>d</w:t>
            </w:r>
          </w:p>
        </w:tc>
        <w:tc>
          <w:tcPr>
            <w:tcW w:w="2607"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Regression equation</w:t>
            </w:r>
          </w:p>
        </w:tc>
        <w:tc>
          <w:tcPr>
            <w:tcW w:w="501" w:type="pct"/>
            <w:tcBorders>
              <w:top w:val="single" w:color="auto" w:sz="12" w:space="0"/>
              <w:left w:val="nil"/>
              <w:bottom w:val="single" w:color="auto" w:sz="12" w:space="0"/>
              <w:right w:val="nil"/>
            </w:tcBorders>
          </w:tcPr>
          <w:p>
            <w:pPr>
              <w:spacing w:after="120" w:line="480" w:lineRule="auto"/>
              <w:jc w:val="center"/>
              <w:rPr>
                <w:b/>
                <w:sz w:val="28"/>
              </w:rPr>
            </w:pPr>
            <w:r>
              <w:rPr>
                <w:b/>
                <w:sz w:val="28"/>
              </w:rPr>
              <w:t>N</w:t>
            </w:r>
          </w:p>
        </w:tc>
        <w:tc>
          <w:tcPr>
            <w:tcW w:w="553" w:type="pct"/>
            <w:tcBorders>
              <w:top w:val="single" w:color="auto" w:sz="12" w:space="0"/>
              <w:left w:val="nil"/>
              <w:bottom w:val="single" w:color="auto" w:sz="12" w:space="0"/>
              <w:right w:val="nil"/>
            </w:tcBorders>
            <w:vAlign w:val="center"/>
          </w:tcPr>
          <w:p>
            <w:pPr>
              <w:spacing w:after="120" w:line="480" w:lineRule="auto"/>
              <w:jc w:val="center"/>
              <w:rPr>
                <w:b/>
                <w:sz w:val="28"/>
              </w:rPr>
            </w:pPr>
            <w:r>
              <w:rPr>
                <w:b/>
                <w:sz w:val="28"/>
              </w:rPr>
              <w:t>R</w:t>
            </w:r>
            <w:r>
              <w:rPr>
                <w:b/>
                <w:sz w:val="28"/>
                <w:vertAlign w:val="superscript"/>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12" w:space="0"/>
              <w:left w:val="nil"/>
              <w:bottom w:val="single" w:color="auto" w:sz="4" w:space="0"/>
              <w:right w:val="nil"/>
            </w:tcBorders>
            <w:vAlign w:val="center"/>
          </w:tcPr>
          <w:p>
            <w:pPr>
              <w:spacing w:after="120" w:line="480" w:lineRule="auto"/>
              <w:jc w:val="center"/>
            </w:pPr>
            <w:r>
              <w:t>Cd</w:t>
            </w:r>
          </w:p>
        </w:tc>
        <w:tc>
          <w:tcPr>
            <w:tcW w:w="543" w:type="pct"/>
            <w:tcBorders>
              <w:top w:val="single" w:color="auto" w:sz="12" w:space="0"/>
              <w:left w:val="nil"/>
              <w:bottom w:val="single" w:color="auto" w:sz="4" w:space="0"/>
              <w:right w:val="nil"/>
            </w:tcBorders>
            <w:vAlign w:val="center"/>
          </w:tcPr>
          <w:p>
            <w:pPr>
              <w:spacing w:after="120" w:line="480" w:lineRule="auto"/>
              <w:jc w:val="center"/>
            </w:pPr>
            <w:r>
              <w:rPr>
                <w:rFonts w:hint="eastAsia"/>
                <w:i/>
              </w:rPr>
              <w:t>K</w:t>
            </w:r>
            <w:r>
              <w:rPr>
                <w:vertAlign w:val="subscript"/>
              </w:rPr>
              <w:t>d</w:t>
            </w:r>
            <w:r>
              <w:rPr>
                <w:vertAlign w:val="superscript"/>
              </w:rPr>
              <w:t>tot</w:t>
            </w:r>
          </w:p>
        </w:tc>
        <w:tc>
          <w:tcPr>
            <w:tcW w:w="2607" w:type="pct"/>
            <w:tcBorders>
              <w:top w:val="single" w:color="auto" w:sz="12" w:space="0"/>
              <w:left w:val="nil"/>
              <w:bottom w:val="single" w:color="auto" w:sz="4" w:space="0"/>
              <w:right w:val="nil"/>
            </w:tcBorders>
            <w:vAlign w:val="center"/>
          </w:tcPr>
          <w:p>
            <w:pPr>
              <w:spacing w:after="120" w:line="480" w:lineRule="auto"/>
              <w:jc w:val="center"/>
            </w:pPr>
            <w:r>
              <w:rPr>
                <w:position w:val="-12"/>
              </w:rPr>
              <w:object>
                <v:shape id="_x0000_i1037" o:spt="75" type="#_x0000_t75" style="height:17.7pt;width:139pt;" o:ole="t" filled="f" o:preferrelative="t" stroked="f" coordsize="21600,21600">
                  <v:path/>
                  <v:fill on="f" focussize="0,0"/>
                  <v:stroke on="f" joinstyle="miter"/>
                  <v:imagedata r:id="rId32" o:title=""/>
                  <o:lock v:ext="edit" aspectratio="t"/>
                  <w10:wrap type="none"/>
                  <w10:anchorlock/>
                </v:shape>
                <o:OLEObject Type="Embed" ProgID="Equation.AxMath" ShapeID="_x0000_i1037" DrawAspect="Content" ObjectID="_1468075737" r:id="rId31">
                  <o:LockedField>false</o:LockedField>
                </o:OLEObject>
              </w:object>
            </w:r>
          </w:p>
        </w:tc>
        <w:tc>
          <w:tcPr>
            <w:tcW w:w="501" w:type="pct"/>
            <w:tcBorders>
              <w:top w:val="single" w:color="auto" w:sz="12" w:space="0"/>
              <w:left w:val="nil"/>
              <w:bottom w:val="single" w:color="auto" w:sz="4" w:space="0"/>
              <w:right w:val="nil"/>
            </w:tcBorders>
          </w:tcPr>
          <w:p>
            <w:pPr>
              <w:spacing w:after="120" w:line="480" w:lineRule="auto"/>
              <w:jc w:val="center"/>
            </w:pPr>
            <w:r>
              <w:rPr>
                <w:rFonts w:hint="eastAsia"/>
              </w:rPr>
              <w:t>1</w:t>
            </w:r>
            <w:r>
              <w:t>23</w:t>
            </w:r>
          </w:p>
        </w:tc>
        <w:tc>
          <w:tcPr>
            <w:tcW w:w="553" w:type="pct"/>
            <w:tcBorders>
              <w:top w:val="single" w:color="auto" w:sz="12" w:space="0"/>
              <w:left w:val="nil"/>
              <w:bottom w:val="single" w:color="auto" w:sz="4" w:space="0"/>
              <w:right w:val="nil"/>
            </w:tcBorders>
            <w:vAlign w:val="center"/>
          </w:tcPr>
          <w:p>
            <w:pPr>
              <w:spacing w:after="120" w:line="480" w:lineRule="auto"/>
              <w:jc w:val="center"/>
            </w:pPr>
            <w:r>
              <w:rPr>
                <w:rFonts w:hint="eastAsia"/>
              </w:rPr>
              <w:t>0</w:t>
            </w:r>
            <w:r>
              <w:t>.65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4" w:space="0"/>
              <w:right w:val="nil"/>
            </w:tcBorders>
            <w:vAlign w:val="center"/>
          </w:tcPr>
          <w:p>
            <w:pPr>
              <w:spacing w:after="120" w:line="480" w:lineRule="auto"/>
              <w:jc w:val="center"/>
            </w:pPr>
            <w:r>
              <w:t>Cd</w:t>
            </w:r>
          </w:p>
        </w:tc>
        <w:tc>
          <w:tcPr>
            <w:tcW w:w="543" w:type="pct"/>
            <w:tcBorders>
              <w:top w:val="single" w:color="auto" w:sz="4" w:space="0"/>
              <w:left w:val="nil"/>
              <w:bottom w:val="single" w:color="auto" w:sz="4" w:space="0"/>
              <w:right w:val="nil"/>
            </w:tcBorders>
            <w:vAlign w:val="center"/>
          </w:tcPr>
          <w:p>
            <w:pPr>
              <w:spacing w:after="120" w:line="480" w:lineRule="auto"/>
              <w:jc w:val="center"/>
            </w:pPr>
            <w:r>
              <w:rPr>
                <w:rFonts w:hint="eastAsia"/>
                <w:i/>
              </w:rPr>
              <w:t>K</w:t>
            </w:r>
            <w:r>
              <w:rPr>
                <w:vertAlign w:val="subscript"/>
              </w:rPr>
              <w:t>d</w:t>
            </w:r>
            <w:r>
              <w:rPr>
                <w:vertAlign w:val="superscript"/>
              </w:rPr>
              <w:t>tot</w:t>
            </w:r>
          </w:p>
        </w:tc>
        <w:tc>
          <w:tcPr>
            <w:tcW w:w="2607" w:type="pct"/>
            <w:tcBorders>
              <w:top w:val="single" w:color="auto" w:sz="4" w:space="0"/>
              <w:left w:val="nil"/>
              <w:bottom w:val="single" w:color="auto" w:sz="4" w:space="0"/>
              <w:right w:val="nil"/>
            </w:tcBorders>
            <w:vAlign w:val="center"/>
          </w:tcPr>
          <w:p>
            <w:pPr>
              <w:spacing w:after="120" w:line="480" w:lineRule="auto"/>
              <w:jc w:val="center"/>
            </w:pPr>
            <w:r>
              <w:rPr>
                <w:position w:val="-12"/>
              </w:rPr>
              <w:object>
                <v:shape id="_x0000_i1038" o:spt="75" type="#_x0000_t75" style="height:17.7pt;width:230.95pt;" o:ole="t" filled="f" o:preferrelative="t" stroked="f" coordsize="21600,21600">
                  <v:path/>
                  <v:fill on="f" focussize="0,0"/>
                  <v:stroke on="f" joinstyle="miter"/>
                  <v:imagedata r:id="rId34" o:title=""/>
                  <o:lock v:ext="edit" aspectratio="t"/>
                  <w10:wrap type="none"/>
                  <w10:anchorlock/>
                </v:shape>
                <o:OLEObject Type="Embed" ProgID="Equation.AxMath" ShapeID="_x0000_i1038" DrawAspect="Content" ObjectID="_1468075738" r:id="rId33">
                  <o:LockedField>false</o:LockedField>
                </o:OLEObject>
              </w:object>
            </w:r>
          </w:p>
        </w:tc>
        <w:tc>
          <w:tcPr>
            <w:tcW w:w="501" w:type="pct"/>
            <w:tcBorders>
              <w:top w:val="single" w:color="auto" w:sz="4" w:space="0"/>
              <w:left w:val="nil"/>
              <w:bottom w:val="single" w:color="auto" w:sz="4" w:space="0"/>
              <w:right w:val="nil"/>
            </w:tcBorders>
          </w:tcPr>
          <w:p>
            <w:pPr>
              <w:spacing w:after="120" w:line="480" w:lineRule="auto"/>
              <w:jc w:val="center"/>
            </w:pPr>
            <w:r>
              <w:rPr>
                <w:rFonts w:hint="eastAsia"/>
              </w:rPr>
              <w:t>1</w:t>
            </w:r>
            <w:r>
              <w:t>22</w:t>
            </w:r>
          </w:p>
        </w:tc>
        <w:tc>
          <w:tcPr>
            <w:tcW w:w="553" w:type="pct"/>
            <w:tcBorders>
              <w:top w:val="single" w:color="auto" w:sz="4" w:space="0"/>
              <w:left w:val="nil"/>
              <w:bottom w:val="single" w:color="auto" w:sz="4" w:space="0"/>
              <w:right w:val="nil"/>
            </w:tcBorders>
            <w:vAlign w:val="center"/>
          </w:tcPr>
          <w:p>
            <w:pPr>
              <w:spacing w:after="120" w:line="480" w:lineRule="auto"/>
              <w:jc w:val="center"/>
            </w:pPr>
            <w:r>
              <w:rPr>
                <w:rFonts w:hint="eastAsia"/>
              </w:rPr>
              <w:t>0</w:t>
            </w:r>
            <w:r>
              <w:t>.72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4" w:space="0"/>
              <w:right w:val="nil"/>
            </w:tcBorders>
            <w:vAlign w:val="center"/>
          </w:tcPr>
          <w:p>
            <w:pPr>
              <w:spacing w:after="120" w:line="480" w:lineRule="auto"/>
              <w:jc w:val="center"/>
            </w:pPr>
            <w:r>
              <w:rPr>
                <w:rFonts w:hint="eastAsia"/>
              </w:rPr>
              <w:t>C</w:t>
            </w:r>
            <w:r>
              <w:t>d</w:t>
            </w:r>
          </w:p>
        </w:tc>
        <w:tc>
          <w:tcPr>
            <w:tcW w:w="543" w:type="pct"/>
            <w:tcBorders>
              <w:top w:val="single" w:color="auto" w:sz="4" w:space="0"/>
              <w:left w:val="nil"/>
              <w:bottom w:val="single" w:color="auto" w:sz="4" w:space="0"/>
              <w:right w:val="nil"/>
            </w:tcBorders>
            <w:vAlign w:val="center"/>
          </w:tcPr>
          <w:p>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color="auto" w:sz="4" w:space="0"/>
              <w:left w:val="nil"/>
              <w:bottom w:val="single" w:color="auto" w:sz="4" w:space="0"/>
              <w:right w:val="nil"/>
            </w:tcBorders>
            <w:vAlign w:val="center"/>
          </w:tcPr>
          <w:p>
            <w:pPr>
              <w:spacing w:after="120" w:line="480" w:lineRule="auto"/>
              <w:jc w:val="center"/>
            </w:pPr>
            <w:r>
              <w:rPr>
                <w:position w:val="-12"/>
              </w:rPr>
              <w:object>
                <v:shape id="_x0000_i1039" o:spt="75" type="#_x0000_t75" style="height:17.7pt;width:138.45pt;" o:ole="t" filled="f" o:preferrelative="t" stroked="f" coordsize="21600,21600">
                  <v:path/>
                  <v:fill on="f" focussize="0,0"/>
                  <v:stroke on="f" joinstyle="miter"/>
                  <v:imagedata r:id="rId36" o:title=""/>
                  <o:lock v:ext="edit" aspectratio="t"/>
                  <w10:wrap type="none"/>
                  <w10:anchorlock/>
                </v:shape>
                <o:OLEObject Type="Embed" ProgID="Equation.AxMath" ShapeID="_x0000_i1039" DrawAspect="Content" ObjectID="_1468075739" r:id="rId35">
                  <o:LockedField>false</o:LockedField>
                </o:OLEObject>
              </w:object>
            </w:r>
          </w:p>
        </w:tc>
        <w:tc>
          <w:tcPr>
            <w:tcW w:w="501" w:type="pct"/>
            <w:tcBorders>
              <w:top w:val="single" w:color="auto" w:sz="4" w:space="0"/>
              <w:left w:val="nil"/>
              <w:bottom w:val="single" w:color="auto" w:sz="4" w:space="0"/>
              <w:right w:val="nil"/>
            </w:tcBorders>
          </w:tcPr>
          <w:p>
            <w:pPr>
              <w:spacing w:after="120" w:line="480" w:lineRule="auto"/>
              <w:jc w:val="center"/>
            </w:pPr>
            <w:r>
              <w:rPr>
                <w:rFonts w:hint="eastAsia"/>
              </w:rPr>
              <w:t>8</w:t>
            </w:r>
            <w:r>
              <w:t>6</w:t>
            </w:r>
          </w:p>
        </w:tc>
        <w:tc>
          <w:tcPr>
            <w:tcW w:w="553" w:type="pct"/>
            <w:tcBorders>
              <w:top w:val="single" w:color="auto" w:sz="4" w:space="0"/>
              <w:left w:val="nil"/>
              <w:bottom w:val="single" w:color="auto" w:sz="4" w:space="0"/>
              <w:right w:val="nil"/>
            </w:tcBorders>
            <w:vAlign w:val="center"/>
          </w:tcPr>
          <w:p>
            <w:pPr>
              <w:spacing w:after="120" w:line="480" w:lineRule="auto"/>
              <w:jc w:val="center"/>
            </w:pPr>
            <w:r>
              <w:rPr>
                <w:rFonts w:hint="eastAsia"/>
              </w:rPr>
              <w:t>0</w:t>
            </w:r>
            <w:r>
              <w:t>.66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4" w:space="0"/>
              <w:right w:val="nil"/>
            </w:tcBorders>
            <w:vAlign w:val="center"/>
          </w:tcPr>
          <w:p>
            <w:pPr>
              <w:spacing w:after="120" w:line="480" w:lineRule="auto"/>
              <w:jc w:val="center"/>
            </w:pPr>
            <w:r>
              <w:rPr>
                <w:rFonts w:hint="eastAsia"/>
              </w:rPr>
              <w:t>C</w:t>
            </w:r>
            <w:r>
              <w:t>d</w:t>
            </w:r>
          </w:p>
        </w:tc>
        <w:tc>
          <w:tcPr>
            <w:tcW w:w="543" w:type="pct"/>
            <w:tcBorders>
              <w:top w:val="single" w:color="auto" w:sz="4" w:space="0"/>
              <w:left w:val="nil"/>
              <w:bottom w:val="single" w:color="auto" w:sz="4" w:space="0"/>
              <w:right w:val="nil"/>
            </w:tcBorders>
            <w:vAlign w:val="center"/>
          </w:tcPr>
          <w:p>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color="auto" w:sz="4" w:space="0"/>
              <w:left w:val="nil"/>
              <w:bottom w:val="single" w:color="auto" w:sz="4" w:space="0"/>
              <w:right w:val="nil"/>
            </w:tcBorders>
            <w:vAlign w:val="center"/>
          </w:tcPr>
          <w:p>
            <w:pPr>
              <w:spacing w:after="120" w:line="480" w:lineRule="auto"/>
              <w:jc w:val="center"/>
            </w:pPr>
            <w:r>
              <w:rPr>
                <w:position w:val="-12"/>
              </w:rPr>
              <w:object>
                <v:shape id="_x0000_i1040" o:spt="75" type="#_x0000_t75" style="height:17.7pt;width:224.85pt;" o:ole="t" filled="f" o:preferrelative="t" stroked="f" coordsize="21600,21600">
                  <v:path/>
                  <v:fill on="f" focussize="0,0"/>
                  <v:stroke on="f" joinstyle="miter"/>
                  <v:imagedata r:id="rId38" o:title=""/>
                  <o:lock v:ext="edit" aspectratio="t"/>
                  <w10:wrap type="none"/>
                  <w10:anchorlock/>
                </v:shape>
                <o:OLEObject Type="Embed" ProgID="Equation.AxMath" ShapeID="_x0000_i1040" DrawAspect="Content" ObjectID="_1468075740" r:id="rId37">
                  <o:LockedField>false</o:LockedField>
                </o:OLEObject>
              </w:object>
            </w:r>
          </w:p>
        </w:tc>
        <w:tc>
          <w:tcPr>
            <w:tcW w:w="501" w:type="pct"/>
            <w:tcBorders>
              <w:top w:val="single" w:color="auto" w:sz="4" w:space="0"/>
              <w:left w:val="nil"/>
              <w:bottom w:val="single" w:color="auto" w:sz="4" w:space="0"/>
              <w:right w:val="nil"/>
            </w:tcBorders>
          </w:tcPr>
          <w:p>
            <w:pPr>
              <w:spacing w:after="120" w:line="480" w:lineRule="auto"/>
              <w:jc w:val="center"/>
            </w:pPr>
            <w:r>
              <w:rPr>
                <w:rFonts w:hint="eastAsia"/>
              </w:rPr>
              <w:t>8</w:t>
            </w:r>
            <w:r>
              <w:t>6</w:t>
            </w:r>
          </w:p>
        </w:tc>
        <w:tc>
          <w:tcPr>
            <w:tcW w:w="553" w:type="pct"/>
            <w:tcBorders>
              <w:top w:val="single" w:color="auto" w:sz="4" w:space="0"/>
              <w:left w:val="nil"/>
              <w:bottom w:val="single" w:color="auto" w:sz="4" w:space="0"/>
              <w:right w:val="nil"/>
            </w:tcBorders>
            <w:vAlign w:val="center"/>
          </w:tcPr>
          <w:p>
            <w:pPr>
              <w:spacing w:after="120" w:line="480" w:lineRule="auto"/>
              <w:jc w:val="center"/>
            </w:pPr>
            <w:r>
              <w:t>0.71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635" w:hRule="atLeast"/>
        </w:trPr>
        <w:tc>
          <w:tcPr>
            <w:tcW w:w="796" w:type="pct"/>
            <w:tcBorders>
              <w:top w:val="single" w:color="auto" w:sz="4" w:space="0"/>
              <w:left w:val="nil"/>
              <w:bottom w:val="single" w:color="auto" w:sz="12" w:space="0"/>
              <w:right w:val="nil"/>
            </w:tcBorders>
            <w:vAlign w:val="center"/>
          </w:tcPr>
          <w:p>
            <w:pPr>
              <w:spacing w:after="120" w:line="480" w:lineRule="auto"/>
            </w:pPr>
          </w:p>
        </w:tc>
        <w:tc>
          <w:tcPr>
            <w:tcW w:w="543" w:type="pct"/>
            <w:tcBorders>
              <w:top w:val="single" w:color="auto" w:sz="4" w:space="0"/>
              <w:left w:val="nil"/>
              <w:bottom w:val="single" w:color="auto" w:sz="12" w:space="0"/>
              <w:right w:val="nil"/>
            </w:tcBorders>
            <w:vAlign w:val="center"/>
          </w:tcPr>
          <w:p>
            <w:pPr>
              <w:spacing w:after="120" w:line="480" w:lineRule="auto"/>
              <w:jc w:val="center"/>
              <w:rPr>
                <w:i/>
              </w:rPr>
            </w:pPr>
          </w:p>
        </w:tc>
        <w:tc>
          <w:tcPr>
            <w:tcW w:w="2607" w:type="pct"/>
            <w:tcBorders>
              <w:top w:val="single" w:color="auto" w:sz="4" w:space="0"/>
              <w:left w:val="nil"/>
              <w:bottom w:val="single" w:color="auto" w:sz="12" w:space="0"/>
              <w:right w:val="nil"/>
            </w:tcBorders>
            <w:vAlign w:val="center"/>
          </w:tcPr>
          <w:p>
            <w:pPr>
              <w:spacing w:after="120" w:line="480" w:lineRule="auto"/>
              <w:jc w:val="center"/>
            </w:pPr>
          </w:p>
        </w:tc>
        <w:tc>
          <w:tcPr>
            <w:tcW w:w="501" w:type="pct"/>
            <w:tcBorders>
              <w:top w:val="single" w:color="auto" w:sz="4" w:space="0"/>
              <w:left w:val="nil"/>
              <w:bottom w:val="single" w:color="auto" w:sz="12" w:space="0"/>
              <w:right w:val="nil"/>
            </w:tcBorders>
          </w:tcPr>
          <w:p>
            <w:pPr>
              <w:spacing w:after="120" w:line="480" w:lineRule="auto"/>
              <w:jc w:val="center"/>
            </w:pPr>
          </w:p>
        </w:tc>
        <w:tc>
          <w:tcPr>
            <w:tcW w:w="553" w:type="pct"/>
            <w:tcBorders>
              <w:top w:val="single" w:color="auto" w:sz="4" w:space="0"/>
              <w:left w:val="nil"/>
              <w:bottom w:val="single" w:color="auto" w:sz="12" w:space="0"/>
              <w:right w:val="nil"/>
            </w:tcBorders>
            <w:vAlign w:val="center"/>
          </w:tcPr>
          <w:p>
            <w:pPr>
              <w:spacing w:after="120" w:line="480" w:lineRule="auto"/>
              <w:jc w:val="center"/>
            </w:pPr>
          </w:p>
        </w:tc>
      </w:tr>
    </w:tbl>
    <w:p>
      <w:pPr>
        <w:spacing w:after="120" w:line="480" w:lineRule="auto"/>
        <w:rPr>
          <w:rFonts w:ascii="Calibri" w:hAnsi="Calibri" w:cs="Calibri"/>
          <w:sz w:val="22"/>
          <w:szCs w:val="22"/>
        </w:rPr>
      </w:pPr>
    </w:p>
    <w:p>
      <w:pPr>
        <w:widowControl/>
        <w:spacing w:line="480" w:lineRule="auto"/>
        <w:jc w:val="left"/>
        <w:rPr>
          <w:rFonts w:ascii="Calibri" w:hAnsi="Calibri" w:cs="Calibri"/>
          <w:kern w:val="0"/>
          <w:sz w:val="22"/>
        </w:rPr>
        <w:sectPr>
          <w:pgSz w:w="16838" w:h="11906" w:orient="landscape"/>
          <w:pgMar w:top="720" w:right="720" w:bottom="720" w:left="720" w:header="851" w:footer="992" w:gutter="0"/>
          <w:cols w:space="720" w:num="1"/>
          <w:docGrid w:type="lines" w:linePitch="326" w:charSpace="0"/>
        </w:sectPr>
      </w:pPr>
    </w:p>
    <w:p>
      <w:pPr>
        <w:pStyle w:val="3"/>
      </w:pPr>
      <w:r>
        <w:t xml:space="preserve">The framework of the heavy metal module in the upland </w:t>
      </w:r>
    </w:p>
    <w:p>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the soil profile is expressed as </w:t>
      </w:r>
      <w:r>
        <w:rPr>
          <w:color w:val="FF0000"/>
        </w:rPr>
        <w:t>Eq. (3)</w:t>
      </w:r>
      <w:r>
        <w:t>.</w:t>
      </w:r>
    </w:p>
    <w:p>
      <w:pPr>
        <w:pStyle w:val="22"/>
        <w:spacing w:line="480" w:lineRule="auto"/>
        <w:rPr>
          <w:rFonts w:asciiTheme="majorBidi" w:hAnsiTheme="majorBidi" w:eastAsiaTheme="minorEastAsia" w:cstheme="majorBidi"/>
          <w:sz w:val="24"/>
          <w:szCs w:val="24"/>
        </w:rPr>
      </w:pPr>
      <w:r>
        <w:rPr>
          <w:rFonts w:asciiTheme="majorBidi" w:hAnsiTheme="majorBidi" w:cstheme="majorBidi"/>
          <w:sz w:val="24"/>
          <w:szCs w:val="24"/>
        </w:rPr>
        <w:tab/>
      </w:r>
      <w:r>
        <w:rPr>
          <w:rFonts w:asciiTheme="majorBidi" w:hAnsiTheme="majorBidi" w:eastAsiaTheme="minorEastAsia" w:cstheme="majorBidi"/>
          <w:kern w:val="2"/>
          <w:position w:val="-22"/>
          <w:sz w:val="24"/>
          <w:szCs w:val="24"/>
        </w:rPr>
        <w:object>
          <v:shape id="_x0000_i1041" o:spt="75" type="#_x0000_t75" style="height:31.55pt;width:354.45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 xml:space="preserve">(</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 xml:space="preserve">3</w:instrText>
      </w:r>
      <w:r>
        <w:rPr>
          <w:rFonts w:asciiTheme="majorBidi" w:hAnsiTheme="majorBidi" w:cstheme="majorBidi"/>
          <w:sz w:val="24"/>
          <w:szCs w:val="24"/>
        </w:rPr>
        <w:fldChar w:fldCharType="end"/>
      </w:r>
      <w:r>
        <w:rPr>
          <w:rFonts w:asciiTheme="majorBidi" w:hAnsiTheme="majorBidi" w:cstheme="majorBidi"/>
          <w:sz w:val="24"/>
          <w:szCs w:val="24"/>
        </w:rPr>
        <w:instrText xml:space="preserve">)</w:instrText>
      </w:r>
      <w:r>
        <w:rPr>
          <w:rFonts w:asciiTheme="majorBidi" w:hAnsiTheme="majorBidi" w:cstheme="majorBidi"/>
          <w:sz w:val="24"/>
          <w:szCs w:val="24"/>
        </w:rPr>
        <w:fldChar w:fldCharType="end"/>
      </w:r>
    </w:p>
    <w:p>
      <w:pPr>
        <w:ind w:firstLine="420"/>
      </w:pPr>
      <w:r>
        <w:t xml:space="preserve">Where </w:t>
      </w:r>
      <w:r>
        <w:rPr>
          <w:i/>
        </w:rPr>
        <w:t>M</w:t>
      </w:r>
      <w:r>
        <w:rPr>
          <w:vertAlign w:val="subscript"/>
        </w:rPr>
        <w:t>atmo</w:t>
      </w:r>
      <w:r>
        <w:t xml:space="preserve"> is the metal input from atmospheric deposition, </w:t>
      </w:r>
      <w:r>
        <w:rPr>
          <w:i/>
        </w:rPr>
        <w:t>M</w:t>
      </w:r>
      <w:r>
        <w:rPr>
          <w:vertAlign w:val="subscript"/>
        </w:rPr>
        <w:t>weth</w:t>
      </w:r>
      <w:r>
        <w:t xml:space="preserve"> is the metal input from weathering of waste rocks, </w:t>
      </w:r>
      <w:r>
        <w:rPr>
          <w:i/>
        </w:rPr>
        <w:t>M</w:t>
      </w:r>
      <w:r>
        <w:rPr>
          <w:vertAlign w:val="subscript"/>
        </w:rPr>
        <w:t>fer</w:t>
      </w:r>
      <w:r>
        <w:t xml:space="preserve"> is the metal input from chemical fertilizer and manure; while metal outputs include plant metal uptakes (</w:t>
      </w:r>
      <w:r>
        <w:rPr>
          <w:i/>
        </w:rPr>
        <w:t>M</w:t>
      </w:r>
      <w:r>
        <w:rPr>
          <w:vertAlign w:val="subscript"/>
        </w:rPr>
        <w:t>pu</w:t>
      </w:r>
      <w:r>
        <w:t>), metal leached down out of soil profile (</w:t>
      </w:r>
      <w:r>
        <w:rPr>
          <w:i/>
        </w:rPr>
        <w:t>M</w:t>
      </w:r>
      <w:r>
        <w:rPr>
          <w:vertAlign w:val="subscript"/>
        </w:rPr>
        <w:t>perc,ly=n</w:t>
      </w:r>
      <w:r>
        <w:t>, bottom soil layer), and metal exports from upland to the river channel with surface runoff (</w:t>
      </w:r>
      <w:r>
        <w:rPr>
          <w:i/>
        </w:rPr>
        <w:t>M</w:t>
      </w:r>
      <w:r>
        <w:rPr>
          <w:vertAlign w:val="subscript"/>
        </w:rPr>
        <w:t>surf</w:t>
      </w:r>
      <w:r>
        <w:t>), lateral flow (</w:t>
      </w:r>
      <m:oMath>
        <m:nary>
          <m:naryPr>
            <m:chr m:val="∑"/>
            <m:limLoc m:val="subSup"/>
            <m:ctrlPr>
              <w:rPr>
                <w:rFonts w:ascii="Cambria Math" w:hAnsi="Cambria Math"/>
              </w:rPr>
            </m:ctrlPr>
          </m:naryPr>
          <m:sub>
            <m:r>
              <w:rPr>
                <w:rFonts w:ascii="Cambria Math" w:hAnsi="Cambria Math"/>
              </w:rPr>
              <m:t>ly=1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lat,ly</m:t>
                </m:r>
                <m:ctrlPr>
                  <w:rPr>
                    <w:rFonts w:ascii="Cambria Math" w:hAnsi="Cambria Math"/>
                    <w:i/>
                  </w:rPr>
                </m:ctrlPr>
              </m:sub>
            </m:sSub>
            <m:ctrlPr>
              <w:rPr>
                <w:rFonts w:ascii="Cambria Math" w:hAnsi="Cambria Math"/>
              </w:rPr>
            </m:ctrlPr>
          </m:e>
        </m:nary>
      </m:oMath>
      <w:r>
        <w:t>, all soil layers) and soil erosion (</w:t>
      </w:r>
      <w:r>
        <w:rPr>
          <w:i/>
        </w:rPr>
        <w:t>M</w:t>
      </w:r>
      <w:r>
        <w:rPr>
          <w:vertAlign w:val="subscript"/>
        </w:rPr>
        <w:t>ero</w:t>
      </w:r>
      <w:r>
        <w:t>).</w:t>
      </w:r>
    </w:p>
    <w:p/>
    <w:p>
      <w:pPr>
        <w:spacing w:line="480" w:lineRule="auto"/>
        <w:jc w:val="center"/>
      </w:pPr>
      <w: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pPr>
        <w:pStyle w:val="5"/>
      </w:pPr>
      <w:r>
        <w:t xml:space="preserve">Fig. </w:t>
      </w:r>
      <w:r>
        <w:fldChar w:fldCharType="begin"/>
      </w:r>
      <w:r>
        <w:instrText xml:space="preserve"> SEQ Fig. \* ARABIC </w:instrText>
      </w:r>
      <w:r>
        <w:fldChar w:fldCharType="separate"/>
      </w:r>
      <w:r>
        <w:t>4</w:t>
      </w:r>
      <w:r>
        <w:fldChar w:fldCharType="end"/>
      </w:r>
      <w:r>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pPr>
        <w:spacing w:after="120" w:line="480" w:lineRule="auto"/>
        <w:rPr>
          <w:rFonts w:asciiTheme="majorBidi" w:hAnsiTheme="majorBidi" w:cstheme="majorBidi"/>
        </w:rPr>
      </w:pPr>
    </w:p>
    <w:p>
      <w:pPr>
        <w:pStyle w:val="4"/>
        <w:numPr>
          <w:ilvl w:val="2"/>
          <w:numId w:val="2"/>
        </w:numPr>
        <w:spacing w:after="120" w:line="480" w:lineRule="auto"/>
        <w:ind w:left="425" w:hanging="425" w:firstLineChars="0"/>
        <w:jc w:val="left"/>
        <w:rPr>
          <w:rFonts w:eastAsia="宋体" w:cstheme="minorBidi"/>
          <w:i/>
          <w:iCs/>
          <w:sz w:val="24"/>
          <w:szCs w:val="24"/>
        </w:rPr>
      </w:pPr>
      <w:r>
        <w:rPr>
          <w:i/>
          <w:iCs/>
          <w:sz w:val="24"/>
          <w:szCs w:val="24"/>
        </w:rPr>
        <w:t xml:space="preserve">Leaching </w:t>
      </w:r>
    </w:p>
    <w:p>
      <w:pPr>
        <w:ind w:firstLine="420"/>
        <w:rPr>
          <w:szCs w:val="22"/>
        </w:rPr>
      </w:pPr>
      <w:r>
        <w:t xml:space="preserve">Heavy metal in the solution phase of soil layers can be transported with surface runoff </w:t>
      </w:r>
      <w:r>
        <w:rPr>
          <w:i/>
        </w:rPr>
        <w:t>Q</w:t>
      </w:r>
      <w:r>
        <w:rPr>
          <w:vertAlign w:val="subscript"/>
        </w:rPr>
        <w:t>surf</w:t>
      </w:r>
      <w:r>
        <w:t xml:space="preserve">, lateral flow </w:t>
      </w:r>
      <w:r>
        <w:rPr>
          <w:i/>
        </w:rPr>
        <w:t>Q</w:t>
      </w:r>
      <w:r>
        <w:rPr>
          <w:vertAlign w:val="subscript"/>
        </w:rPr>
        <w:t>lat</w:t>
      </w:r>
      <w:r>
        <w:t xml:space="preserve"> and percolation </w:t>
      </w:r>
      <w:r>
        <w:rPr>
          <w:i/>
        </w:rPr>
        <w:t>Q</w:t>
      </w:r>
      <w:r>
        <w:rPr>
          <w:vertAlign w:val="subscript"/>
        </w:rPr>
        <w:t>perc</w:t>
      </w:r>
      <w:r>
        <w:t xml:space="preserve">. For each soil layer, the amount of metal moved with water flow </w:t>
      </w:r>
      <w:r>
        <w:rPr>
          <w:i/>
        </w:rPr>
        <w:t>M</w:t>
      </w:r>
      <w:r>
        <w:rPr>
          <w:vertAlign w:val="subscript"/>
        </w:rPr>
        <w:t>flow</w:t>
      </w:r>
      <w:r>
        <w:t xml:space="preserve">, is a function of time, initial metal concentration and flow rate </w:t>
      </w:r>
      <w:r>
        <w:rPr>
          <w:i/>
        </w:rPr>
        <w:t>w</w:t>
      </w:r>
      <w:r>
        <w:rPr>
          <w:vertAlign w:val="subscript"/>
        </w:rPr>
        <w:t>mobile</w:t>
      </w:r>
      <w:r>
        <w:t xml:space="preserve"> (surface runoff, lateral flow and percolation for the topsoil layer, </w:t>
      </w:r>
      <w:r>
        <w:rPr>
          <w:i/>
        </w:rPr>
        <w:t>w</w:t>
      </w:r>
      <w:r>
        <w:rPr>
          <w:vertAlign w:val="subscript"/>
        </w:rPr>
        <w:t>mobile</w:t>
      </w:r>
      <w:r>
        <w:t xml:space="preserve"> =</w:t>
      </w:r>
      <w:r>
        <w:rPr>
          <w:i/>
        </w:rPr>
        <w:t xml:space="preserve"> Q</w:t>
      </w:r>
      <w:r>
        <w:rPr>
          <w:vertAlign w:val="subscript"/>
        </w:rPr>
        <w:t>surf</w:t>
      </w:r>
      <w:r>
        <w:t xml:space="preserve"> +</w:t>
      </w:r>
      <w:r>
        <w:rPr>
          <w:i/>
        </w:rPr>
        <w:t xml:space="preserve"> Q</w:t>
      </w:r>
      <w:r>
        <w:rPr>
          <w:vertAlign w:val="subscript"/>
        </w:rPr>
        <w:t>lat</w:t>
      </w:r>
      <w:r>
        <w:t xml:space="preserve"> +</w:t>
      </w:r>
      <w:r>
        <w:rPr>
          <w:i/>
        </w:rPr>
        <w:t xml:space="preserve"> Q</w:t>
      </w:r>
      <w:r>
        <w:rPr>
          <w:vertAlign w:val="subscript"/>
        </w:rPr>
        <w:t>perc</w:t>
      </w:r>
      <w:r>
        <w:t xml:space="preserve">; lateral flow and percolation for the lower soil layers, </w:t>
      </w:r>
      <w:r>
        <w:rPr>
          <w:i/>
        </w:rPr>
        <w:t>w</w:t>
      </w:r>
      <w:r>
        <w:rPr>
          <w:vertAlign w:val="subscript"/>
        </w:rPr>
        <w:t>mobile</w:t>
      </w:r>
      <w:r>
        <w:t xml:space="preserve"> =</w:t>
      </w:r>
      <w:r>
        <w:rPr>
          <w:i/>
        </w:rPr>
        <w:t xml:space="preserve"> Q</w:t>
      </w:r>
      <w:r>
        <w:rPr>
          <w:vertAlign w:val="subscript"/>
        </w:rPr>
        <w:t>lat</w:t>
      </w:r>
      <w:r>
        <w:t xml:space="preserve"> +</w:t>
      </w:r>
      <w:r>
        <w:rPr>
          <w:i/>
        </w:rPr>
        <w:t xml:space="preserve"> Q</w:t>
      </w:r>
      <w:r>
        <w:rPr>
          <w:vertAlign w:val="subscript"/>
        </w:rPr>
        <w:t>perc</w:t>
      </w:r>
      <w:r>
        <w:t xml:space="preserve">), as shown in </w:t>
      </w:r>
      <w:r>
        <w:rPr>
          <w:color w:val="FF0000"/>
        </w:rPr>
        <w:t>Eq. (4)</w:t>
      </w:r>
      <w:r>
        <w:t xml:space="preserve">. </w:t>
      </w:r>
    </w:p>
    <w:p>
      <w:pPr>
        <w:pStyle w:val="22"/>
        <w:spacing w:after="120" w:line="480" w:lineRule="auto"/>
        <w:rPr>
          <w:rFonts w:eastAsiaTheme="minorEastAsia"/>
          <w:sz w:val="21"/>
        </w:rPr>
      </w:pPr>
      <w:r>
        <w:tab/>
      </w:r>
      <w:r>
        <w:rPr>
          <w:rFonts w:eastAsiaTheme="minorEastAsia" w:cstheme="minorBidi"/>
          <w:kern w:val="2"/>
          <w:position w:val="-30"/>
          <w:sz w:val="21"/>
          <w:szCs w:val="22"/>
        </w:rPr>
        <w:object>
          <v:shape id="_x0000_i1042" o:spt="75" type="#_x0000_t75" style="height:37.1pt;width:168.9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pPr>
        <w:ind w:firstLine="420"/>
      </w:pPr>
      <w:r>
        <w:t xml:space="preserve">where </w:t>
      </w:r>
      <w:r>
        <w:rPr>
          <w:i/>
        </w:rPr>
        <w:t>M</w:t>
      </w:r>
      <w:r>
        <w:rPr>
          <w:vertAlign w:val="subscript"/>
        </w:rPr>
        <w:t>flow</w:t>
      </w:r>
      <w:r>
        <w:t xml:space="preserve"> is the amount of heavy metal transported with flow in the soil per hectare (kg ha</w:t>
      </w:r>
      <w:r>
        <w:rPr>
          <w:vertAlign w:val="superscript"/>
        </w:rPr>
        <w:t>-1</w:t>
      </w:r>
      <w:r>
        <w:t xml:space="preserve">), for the top soil layer ly = 1, </w:t>
      </w:r>
      <w:r>
        <w:rPr>
          <w:i/>
        </w:rPr>
        <w:t>M</w:t>
      </w:r>
      <w:r>
        <w:rPr>
          <w:vertAlign w:val="subscript"/>
        </w:rPr>
        <w:t>flow,ly</w:t>
      </w:r>
      <w:r>
        <w:t xml:space="preserve"> =</w:t>
      </w:r>
      <w:r>
        <w:rPr>
          <w:i/>
        </w:rPr>
        <w:t xml:space="preserve"> M</w:t>
      </w:r>
      <w:r>
        <w:rPr>
          <w:vertAlign w:val="subscript"/>
        </w:rPr>
        <w:t>surf,ly</w:t>
      </w:r>
      <w:r>
        <w:t xml:space="preserve"> +</w:t>
      </w:r>
      <w:r>
        <w:rPr>
          <w:i/>
        </w:rPr>
        <w:t xml:space="preserve"> M</w:t>
      </w:r>
      <w:r>
        <w:rPr>
          <w:vertAlign w:val="subscript"/>
        </w:rPr>
        <w:t>lat,ly</w:t>
      </w:r>
      <w:r>
        <w:t xml:space="preserve"> +</w:t>
      </w:r>
      <w:r>
        <w:rPr>
          <w:i/>
        </w:rPr>
        <w:t xml:space="preserve"> M</w:t>
      </w:r>
      <w:r>
        <w:rPr>
          <w:vertAlign w:val="subscript"/>
        </w:rPr>
        <w:t>perc,ly</w:t>
      </w:r>
      <w:r>
        <w:t xml:space="preserve">; for the lower soil layers ly = 2,...,n, </w:t>
      </w:r>
      <w:r>
        <w:rPr>
          <w:i/>
        </w:rPr>
        <w:t>M</w:t>
      </w:r>
      <w:r>
        <w:rPr>
          <w:vertAlign w:val="subscript"/>
        </w:rPr>
        <w:t>flow,ly</w:t>
      </w:r>
      <w:r>
        <w:t xml:space="preserve"> =</w:t>
      </w:r>
      <w:r>
        <w:rPr>
          <w:i/>
        </w:rPr>
        <w:t xml:space="preserve"> M</w:t>
      </w:r>
      <w:r>
        <w:rPr>
          <w:vertAlign w:val="subscript"/>
        </w:rPr>
        <w:t>lat,ly</w:t>
      </w:r>
      <w:r>
        <w:t xml:space="preserve"> +</w:t>
      </w:r>
      <w:r>
        <w:rPr>
          <w:i/>
        </w:rPr>
        <w:t xml:space="preserve"> M</w:t>
      </w:r>
      <w:r>
        <w:rPr>
          <w:vertAlign w:val="subscript"/>
        </w:rPr>
        <w:t>perc,ly</w:t>
      </w:r>
      <w:r>
        <w:t xml:space="preserve">. </w:t>
      </w:r>
      <w:r>
        <w:rPr>
          <w:i/>
        </w:rPr>
        <w:t>M</w:t>
      </w:r>
      <w:r>
        <w:rPr>
          <w:vertAlign w:val="subscript"/>
        </w:rPr>
        <w:t>0,ly</w:t>
      </w:r>
      <w:r>
        <w:t xml:space="preserve"> is the initial amount of mobile heavy metal for each soil layer per hectare (the sum of the </w:t>
      </w:r>
      <w:r>
        <w:rPr>
          <w:i/>
        </w:rPr>
        <w:t>M</w:t>
      </w:r>
      <w:r>
        <w:rPr>
          <w:vertAlign w:val="subscript"/>
        </w:rPr>
        <w:t>d</w:t>
      </w:r>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w:t>
      </w:r>
      <w:r>
        <w:rPr>
          <w:vertAlign w:val="subscript"/>
        </w:rPr>
        <w:t>mobile</w:t>
      </w:r>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rPr>
        <w:t></w:t>
      </w:r>
      <w:r>
        <w:t>is the soil bulk density (kg m</w:t>
      </w:r>
      <w:r>
        <w:rPr>
          <w:vertAlign w:val="superscript"/>
        </w:rPr>
        <w:t>-3</w:t>
      </w:r>
      <w:r>
        <w:t>).</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Movement with soil erosion</w:t>
      </w:r>
    </w:p>
    <w:p>
      <w:pPr>
        <w:ind w:firstLine="420"/>
        <w:rPr>
          <w:szCs w:val="22"/>
        </w:rPr>
      </w:pPr>
      <w:r>
        <w:t xml:space="preserve">When soil erosion occurs, heavy metals in the solid phase migrate with the solids, and the amount of transported metal with eroded soil </w:t>
      </w:r>
      <w:r>
        <w:rPr>
          <w:i/>
        </w:rPr>
        <w:t>M</w:t>
      </w:r>
      <w:r>
        <w:rPr>
          <w:vertAlign w:val="subscript"/>
        </w:rPr>
        <w:t>ero</w:t>
      </w:r>
      <w:r>
        <w:t xml:space="preserve"> is expressed as shown in </w:t>
      </w:r>
      <w:r>
        <w:rPr>
          <w:color w:val="FF0000"/>
        </w:rPr>
        <w:t>Eq. (5)</w:t>
      </w:r>
      <w:r>
        <w:t>.</w:t>
      </w:r>
    </w:p>
    <w:p>
      <w:pPr>
        <w:pStyle w:val="22"/>
        <w:spacing w:after="120" w:line="480" w:lineRule="auto"/>
        <w:rPr>
          <w:rFonts w:eastAsiaTheme="minorEastAsia"/>
          <w:sz w:val="21"/>
        </w:rPr>
      </w:pPr>
      <w:r>
        <w:tab/>
      </w:r>
      <w:r>
        <w:rPr>
          <w:rFonts w:eastAsiaTheme="minorEastAsia" w:cstheme="minorBidi"/>
          <w:kern w:val="2"/>
          <w:position w:val="-14"/>
          <w:sz w:val="21"/>
          <w:szCs w:val="22"/>
        </w:rPr>
        <w:object>
          <v:shape id="_x0000_i1043" o:spt="75" type="#_x0000_t75" style="height:22.15pt;width:131.8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sed</w:t>
      </w:r>
      <w:r>
        <w:rPr>
          <w:vertAlign w:val="subscript"/>
        </w:rPr>
        <w:t>ero</w:t>
      </w:r>
      <w:r>
        <w:t xml:space="preserve"> is the amount of sediment transported to the channel per hectare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Pr>
          <w:color w:val="00B0F0"/>
        </w:rPr>
        <w:fldChar w:fldCharType="separate"/>
      </w:r>
      <w:r>
        <w:rPr>
          <w:color w:val="00B0F0"/>
        </w:rPr>
        <w:t>(</w:t>
      </w:r>
      <w:r>
        <w:fldChar w:fldCharType="begin"/>
      </w:r>
      <w:r>
        <w:instrText xml:space="preserve"> HYPERLINK \l "_ENREF_11" \o "Quinton, 2007 #336" </w:instrText>
      </w:r>
      <w:r>
        <w:fldChar w:fldCharType="separate"/>
      </w:r>
      <w:r>
        <w:rPr>
          <w:color w:val="00B0F0"/>
        </w:rPr>
        <w:t>Quinton and Catt, 2007</w:t>
      </w:r>
      <w:r>
        <w:rPr>
          <w:color w:val="00B0F0"/>
        </w:rPr>
        <w:fldChar w:fldCharType="end"/>
      </w:r>
      <w:r>
        <w:rPr>
          <w:color w:val="00B0F0"/>
        </w:rPr>
        <w:t>)</w:t>
      </w:r>
      <w:r>
        <w:rPr>
          <w:color w:val="00B0F0"/>
        </w:rPr>
        <w:fldChar w:fldCharType="end"/>
      </w:r>
      <w:r>
        <w:t>.</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Plant uptake</w:t>
      </w:r>
    </w:p>
    <w:p>
      <w:pPr>
        <w:ind w:firstLine="420"/>
      </w:pPr>
      <w:r>
        <w:t xml:space="preserve">SWAT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fldChar w:fldCharType="separate"/>
      </w:r>
      <w:r>
        <w:t>(</w:t>
      </w:r>
      <w:r>
        <w:fldChar w:fldCharType="begin"/>
      </w:r>
      <w:r>
        <w:instrText xml:space="preserve"> HYPERLINK \l "_ENREF_13" \o "Williams, 1990 #357" </w:instrText>
      </w:r>
      <w:r>
        <w:fldChar w:fldCharType="separate"/>
      </w:r>
      <w:r>
        <w:t>Williams, 1990</w:t>
      </w:r>
      <w:r>
        <w:fldChar w:fldCharType="end"/>
      </w:r>
      <w:r>
        <w:t>)</w:t>
      </w:r>
      <w:r>
        <w:fldChar w:fldCharType="end"/>
      </w:r>
      <w:r>
        <w:t xml:space="preserve">. In SWAT, the phenological plant development is based on daily accumulated heat units, potential biomass is based on a method developed by Monteith </w:t>
      </w:r>
      <w:r>
        <w:fldChar w:fldCharType="begin"/>
      </w:r>
      <w:r>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fldChar w:fldCharType="separate"/>
      </w:r>
      <w:r>
        <w:t>(</w:t>
      </w:r>
      <w:r>
        <w:fldChar w:fldCharType="begin"/>
      </w:r>
      <w:r>
        <w:instrText xml:space="preserve"> HYPERLINK \l "_ENREF_10" \o "Monteith, 1977 #403" </w:instrText>
      </w:r>
      <w:r>
        <w:fldChar w:fldCharType="separate"/>
      </w:r>
      <w:r>
        <w:t>Monteith et al., 1977</w:t>
      </w:r>
      <w:r>
        <w:fldChar w:fldCharType="end"/>
      </w:r>
      <w:r>
        <w:t>)</w:t>
      </w:r>
      <w:r>
        <w:fldChar w:fldCharType="end"/>
      </w:r>
      <w:r>
        <w:t>. We used the common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xml:space="preserve">). The amount of metal uptake by plant </w:t>
      </w:r>
      <w:r>
        <w:rPr>
          <w:i/>
        </w:rPr>
        <w:t>M</w:t>
      </w:r>
      <w:r>
        <w:rPr>
          <w:vertAlign w:val="subscript"/>
        </w:rPr>
        <w:t>plt</w:t>
      </w:r>
      <w:r>
        <w:t xml:space="preserve"> is expressed as </w:t>
      </w:r>
      <w:r>
        <w:rPr>
          <w:color w:val="FF0000"/>
        </w:rPr>
        <w:t>Eq. (6)</w:t>
      </w:r>
      <w:r>
        <w:t>.</w:t>
      </w:r>
    </w:p>
    <w:p>
      <w:pPr>
        <w:pStyle w:val="22"/>
        <w:spacing w:after="120" w:line="480" w:lineRule="auto"/>
        <w:rPr>
          <w:rFonts w:eastAsiaTheme="minorEastAsia"/>
          <w:sz w:val="21"/>
          <w:szCs w:val="22"/>
        </w:rPr>
      </w:pPr>
      <w:r>
        <w:tab/>
      </w:r>
      <w:r>
        <w:rPr>
          <w:rFonts w:eastAsiaTheme="minorEastAsia" w:cstheme="minorBidi"/>
          <w:kern w:val="2"/>
          <w:position w:val="-14"/>
          <w:sz w:val="21"/>
          <w:szCs w:val="22"/>
        </w:rPr>
        <w:object>
          <v:shape id="_x0000_i1044" o:spt="75" type="#_x0000_t75" style="height:22.15pt;width:166.15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pPr>
        <w:ind w:firstLine="420"/>
      </w:pPr>
      <w:r>
        <w:t xml:space="preserve">where </w:t>
      </w:r>
      <w:r>
        <w:rPr>
          <w:i/>
        </w:rPr>
        <w:t>M</w:t>
      </w:r>
      <w:r>
        <w:rPr>
          <w:vertAlign w:val="subscript"/>
        </w:rPr>
        <w:t>pu</w:t>
      </w:r>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PUF</w:t>
      </w:r>
      <w:r>
        <w:rPr>
          <w:rFonts w:ascii="Symbol" w:hAnsi="Symbol"/>
        </w:rPr>
        <w:t></w:t>
      </w:r>
      <w:r>
        <w:t xml:space="preserve">is the plant uptake factor (-), and </w:t>
      </w:r>
      <w:r>
        <w:rPr>
          <w:i/>
        </w:rPr>
        <w:t>bio_ms</w:t>
      </w:r>
      <w:r>
        <w:t xml:space="preserve"> is the plant biomass per hectare (kg ha</w:t>
      </w:r>
      <w:r>
        <w:rPr>
          <w:vertAlign w:val="superscript"/>
        </w:rPr>
        <w:t>-1</w:t>
      </w:r>
      <w:r>
        <w:t>).</w:t>
      </w:r>
    </w:p>
    <w:p>
      <w:pPr>
        <w:spacing w:after="120" w:line="480" w:lineRule="auto"/>
        <w:rPr>
          <w:rFonts w:eastAsiaTheme="minorEastAsia"/>
          <w:szCs w:val="22"/>
        </w:rPr>
      </w:pPr>
    </w:p>
    <w:p>
      <w:pPr>
        <w:pStyle w:val="3"/>
      </w:pPr>
      <w:r>
        <w:t>The framework of heavy metal module in the water body</w:t>
      </w:r>
    </w:p>
    <w:p>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fldChar w:fldCharType="separate"/>
      </w:r>
      <w:r>
        <w:t>(</w:t>
      </w:r>
      <w:r>
        <w:fldChar w:fldCharType="begin"/>
      </w:r>
      <w:r>
        <w:instrText xml:space="preserve"> HYPERLINK \l "_ENREF_5" \o "Debele, 2008 #380" </w:instrText>
      </w:r>
      <w:r>
        <w:fldChar w:fldCharType="separate"/>
      </w:r>
      <w:r>
        <w:t>Debele et al., 2008</w:t>
      </w:r>
      <w:r>
        <w:fldChar w:fldCharType="end"/>
      </w:r>
      <w:r>
        <w:t>)</w:t>
      </w:r>
      <w:r>
        <w:fldChar w:fldCharType="end"/>
      </w:r>
      <w:r>
        <w:t>, a simple mass balance method is used to simulate the in-stream processes including settling, resuspension, diffusion, and burial (</w:t>
      </w:r>
      <w:r>
        <w:rPr>
          <w:color w:val="FF0000"/>
        </w:rPr>
        <w:fldChar w:fldCharType="begin"/>
      </w:r>
      <w:r>
        <w:rPr>
          <w:color w:val="FF0000"/>
        </w:rPr>
        <w:instrText xml:space="preserve"> REF _Ref102332431 \h </w:instrText>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pPr>
        <w:pStyle w:val="22"/>
        <w:spacing w:after="120" w:line="480" w:lineRule="auto"/>
        <w:rPr>
          <w:rFonts w:eastAsiaTheme="minorEastAsia"/>
          <w:sz w:val="21"/>
        </w:rPr>
      </w:pPr>
      <w:r>
        <w:tab/>
      </w:r>
      <w:r>
        <w:rPr>
          <w:rFonts w:eastAsiaTheme="minorEastAsia" w:cstheme="minorBidi"/>
          <w:kern w:val="2"/>
          <w:position w:val="-14"/>
          <w:sz w:val="21"/>
          <w:szCs w:val="22"/>
        </w:rPr>
        <w:object>
          <v:shape id="_x0000_i1045" o:spt="75" type="#_x0000_t75" style="height:22.15pt;width:180.55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p>
      <w:pPr>
        <w:pStyle w:val="22"/>
        <w:spacing w:after="120" w:line="480" w:lineRule="auto"/>
      </w:pPr>
      <w:r>
        <w:tab/>
      </w:r>
      <w:r>
        <w:rPr>
          <w:rFonts w:eastAsiaTheme="minorEastAsia" w:cstheme="minorBidi"/>
          <w:kern w:val="2"/>
          <w:position w:val="-14"/>
          <w:sz w:val="21"/>
          <w:szCs w:val="22"/>
        </w:rPr>
        <w:object>
          <v:shape id="_x0000_i1046" o:spt="75" type="#_x0000_t75" style="height:22.15pt;width:130.7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p/>
    <w:p>
      <w:pPr>
        <w:spacing w:line="480" w:lineRule="auto"/>
        <w:jc w:val="center"/>
      </w:pPr>
      <w: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bookmarkStart w:id="7" w:name="_Ref102332431"/>
      <w:r>
        <w:t xml:space="preserve">Fig. </w:t>
      </w:r>
      <w:r>
        <w:fldChar w:fldCharType="begin"/>
      </w:r>
      <w:r>
        <w:instrText xml:space="preserve"> SEQ Fig. \* ARABIC </w:instrText>
      </w:r>
      <w:r>
        <w:fldChar w:fldCharType="separate"/>
      </w:r>
      <w:r>
        <w:t>5</w:t>
      </w:r>
      <w:r>
        <w:fldChar w:fldCharType="end"/>
      </w:r>
      <w:bookmarkEnd w:id="7"/>
      <w:r>
        <w:t xml:space="preserve"> - Schematic framework of heavy metal transport and transformation in the water body. The processes of adsorption and desorption, settling and resuspension, diffusion, and burial are included.</w:t>
      </w:r>
    </w:p>
    <w:p/>
    <w:p>
      <w:pPr>
        <w:pStyle w:val="4"/>
        <w:numPr>
          <w:ilvl w:val="2"/>
          <w:numId w:val="2"/>
        </w:numPr>
        <w:spacing w:after="120" w:line="480" w:lineRule="auto"/>
        <w:ind w:left="425" w:hanging="425" w:firstLineChars="0"/>
        <w:jc w:val="left"/>
        <w:rPr>
          <w:i/>
          <w:iCs/>
          <w:sz w:val="24"/>
          <w:szCs w:val="24"/>
        </w:rPr>
      </w:pPr>
      <w:r>
        <w:rPr>
          <w:i/>
          <w:iCs/>
          <w:sz w:val="24"/>
          <w:szCs w:val="24"/>
        </w:rPr>
        <w:t>Settling and resuspension</w:t>
      </w:r>
    </w:p>
    <w:p>
      <w:pPr>
        <w:ind w:firstLine="420"/>
        <w:rPr>
          <w:szCs w:val="22"/>
        </w:rPr>
      </w:pPr>
      <w:r>
        <w:t>The sediment budget obtained in SWAT is used to determine the settling or resuspension amount of heavy metal:</w:t>
      </w:r>
    </w:p>
    <w:p>
      <w:pPr>
        <w:pStyle w:val="22"/>
        <w:spacing w:after="120" w:line="480" w:lineRule="auto"/>
        <w:rPr>
          <w:rFonts w:eastAsiaTheme="minorEastAsia"/>
          <w:sz w:val="21"/>
        </w:rPr>
      </w:pPr>
      <w:r>
        <w:tab/>
      </w:r>
      <w:r>
        <w:rPr>
          <w:rFonts w:eastAsiaTheme="minorEastAsia" w:cstheme="minorBidi"/>
          <w:kern w:val="2"/>
          <w:position w:val="-20"/>
          <w:sz w:val="21"/>
          <w:szCs w:val="22"/>
        </w:rPr>
        <w:object>
          <v:shape id="_x0000_i1047" o:spt="75" type="#_x0000_t75" style="height:22.15pt;width:138.45pt;" o:ole="t" filled="f" o:preferrelative="t" stroked="f" coordsize="21600,21600">
            <v:path/>
            <v:fill on="f" focussize="0,0"/>
            <v:stroke on="f" joinstyle="miter"/>
            <v:imagedata r:id="rId54" o:title=""/>
            <o:lock v:ext="edit" aspectratio="t"/>
            <w10:wrap type="none"/>
            <w10:anchorlock/>
          </v:shape>
          <o:OLEObject Type="Embed" ProgID="Equation.DSMT4" ShapeID="_x0000_i1047" DrawAspect="Content" ObjectID="_1468075747" r:id="rId53">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p>
      <w:pPr>
        <w:pStyle w:val="22"/>
        <w:spacing w:after="120" w:line="480" w:lineRule="auto"/>
      </w:pPr>
      <w:r>
        <w:tab/>
      </w:r>
      <w:r>
        <w:rPr>
          <w:rFonts w:eastAsiaTheme="minorEastAsia" w:cstheme="minorBidi"/>
          <w:kern w:val="2"/>
          <w:position w:val="-18"/>
          <w:sz w:val="21"/>
          <w:szCs w:val="22"/>
        </w:rPr>
        <w:object>
          <v:shape id="_x0000_i1048" o:spt="75" type="#_x0000_t75" style="height:22.15pt;width:141.8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8" r:id="rId55">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p>
      <w:r>
        <w:t xml:space="preserve">where </w:t>
      </w:r>
      <w:r>
        <w:rPr>
          <w:i/>
        </w:rPr>
        <w:t>M</w:t>
      </w:r>
      <w:r>
        <w:rPr>
          <w:vertAlign w:val="subscript"/>
        </w:rPr>
        <w:t xml:space="preserve">set </w:t>
      </w:r>
      <w:r>
        <w:t xml:space="preserve">and </w:t>
      </w:r>
      <w:r>
        <w:rPr>
          <w:i/>
        </w:rPr>
        <w:t>M</w:t>
      </w:r>
      <w:r>
        <w:rPr>
          <w:vertAlign w:val="subscript"/>
        </w:rPr>
        <w:t>res</w:t>
      </w:r>
      <w:r>
        <w:t xml:space="preserve"> are the amounts of settled and resuspended heavy metal (kg), respectively; </w:t>
      </w:r>
      <w:r>
        <w:rPr>
          <w:i/>
        </w:rPr>
        <w:t>sed</w:t>
      </w:r>
      <w:r>
        <w:rPr>
          <w:vertAlign w:val="subscript"/>
        </w:rPr>
        <w:t>set</w:t>
      </w:r>
      <w:r>
        <w:t xml:space="preserve"> and </w:t>
      </w:r>
      <w:r>
        <w:rPr>
          <w:i/>
        </w:rPr>
        <w:t>sed</w:t>
      </w:r>
      <w:r>
        <w:rPr>
          <w:vertAlign w:val="subscript"/>
        </w:rPr>
        <w:t>res</w:t>
      </w:r>
      <w:r>
        <w:t xml:space="preserve"> are the amounts of settled and resuspended sediment (kg), respectively; </w:t>
      </w:r>
      <w:r>
        <w:rPr>
          <w:i/>
        </w:rPr>
        <w:t>M</w:t>
      </w:r>
      <w:r>
        <w:rPr>
          <w:vertAlign w:val="subscript"/>
        </w:rPr>
        <w:t>l,p</w:t>
      </w:r>
      <w:r>
        <w:t xml:space="preserve"> and </w:t>
      </w:r>
      <w:r>
        <w:rPr>
          <w:i/>
        </w:rPr>
        <w:t>M</w:t>
      </w:r>
      <w:r>
        <w:rPr>
          <w:vertAlign w:val="subscript"/>
        </w:rPr>
        <w:t>n,p</w:t>
      </w:r>
      <w:r>
        <w:t xml:space="preserve"> are the concentrations of the labile and non-labile metal in the suspended sediment (particulate phase, mg kg</w:t>
      </w:r>
      <w:r>
        <w:rPr>
          <w:vertAlign w:val="superscript"/>
        </w:rPr>
        <w:t>-1</w:t>
      </w:r>
      <w:r>
        <w:t xml:space="preserve">), respectively;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Diffusion</w:t>
      </w:r>
    </w:p>
    <w:p>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Pr>
          <w:color w:val="00B0F0"/>
        </w:rPr>
        <w:fldChar w:fldCharType="separate"/>
      </w:r>
      <w:r>
        <w:rPr>
          <w:color w:val="00B0F0"/>
        </w:rPr>
        <w:t>(</w:t>
      </w:r>
      <w:r>
        <w:fldChar w:fldCharType="begin"/>
      </w:r>
      <w:r>
        <w:instrText xml:space="preserve"> HYPERLINK \l "_ENREF_9" \o "Lick, 2008 #315" </w:instrText>
      </w:r>
      <w:r>
        <w:fldChar w:fldCharType="separate"/>
      </w:r>
      <w:r>
        <w:rPr>
          <w:color w:val="00B0F0"/>
        </w:rPr>
        <w:t>Lick, 2008</w:t>
      </w:r>
      <w:r>
        <w:rPr>
          <w:color w:val="00B0F0"/>
        </w:rPr>
        <w:fldChar w:fldCharType="end"/>
      </w:r>
      <w:r>
        <w:rPr>
          <w:color w:val="00B0F0"/>
        </w:rPr>
        <w:t>)</w:t>
      </w:r>
      <w:r>
        <w:rPr>
          <w:color w:val="00B0F0"/>
        </w:rPr>
        <w:fldChar w:fldCharType="end"/>
      </w:r>
      <w:r>
        <w:t xml:space="preserve">. That is, the dissolved metal in the water column can diffuse into or from the pore water when it has relatively higher or lower concentrations, which is quantitatively expressed by </w:t>
      </w:r>
      <w:r>
        <w:rPr>
          <w:color w:val="FF0000"/>
        </w:rPr>
        <w:t>Eq. (11)</w:t>
      </w:r>
      <w:r>
        <w:t>:</w:t>
      </w:r>
    </w:p>
    <w:p>
      <w:pPr>
        <w:pStyle w:val="22"/>
        <w:spacing w:after="120" w:line="480" w:lineRule="auto"/>
        <w:rPr>
          <w:rFonts w:eastAsiaTheme="minorEastAsia"/>
          <w:sz w:val="21"/>
        </w:rPr>
      </w:pPr>
      <w:r>
        <w:tab/>
      </w:r>
      <w:r>
        <w:rPr>
          <w:rFonts w:eastAsiaTheme="minorEastAsia" w:cstheme="minorBidi"/>
          <w:kern w:val="2"/>
          <w:position w:val="-16"/>
          <w:sz w:val="21"/>
          <w:szCs w:val="22"/>
        </w:rPr>
        <w:object>
          <v:shape id="_x0000_i1049" o:spt="75" type="#_x0000_t75" style="height:22.15pt;width:143.45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7">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p>
      <w:pPr>
        <w:ind w:firstLine="420"/>
      </w:pPr>
      <w:r>
        <w:t xml:space="preserve">where </w:t>
      </w:r>
      <w:r>
        <w:rPr>
          <w:i/>
        </w:rPr>
        <w:t>M</w:t>
      </w:r>
      <w:r>
        <w:rPr>
          <w:vertAlign w:val="subscript"/>
        </w:rPr>
        <w:t xml:space="preserve">dif </w:t>
      </w:r>
      <w:r>
        <w:t>is the diffusion flux of heavy metal (kg m</w:t>
      </w:r>
      <w:r>
        <w:rPr>
          <w:vertAlign w:val="superscript"/>
        </w:rPr>
        <w:t>-2</w:t>
      </w:r>
      <w:r>
        <w:t xml:space="preserve"> d</w:t>
      </w:r>
      <w:r>
        <w:rPr>
          <w:vertAlign w:val="superscript"/>
        </w:rPr>
        <w:t>-1</w:t>
      </w:r>
      <w:r>
        <w:t xml:space="preserve">), positive </w:t>
      </w:r>
      <w:r>
        <w:rPr>
          <w:i/>
        </w:rPr>
        <w:t>M</w:t>
      </w:r>
      <w:r>
        <w:rPr>
          <w:vertAlign w:val="subscript"/>
        </w:rPr>
        <w:t>dif</w:t>
      </w:r>
      <w:r>
        <w:t xml:space="preserve"> means the diffusion is from the water column to bed sediment and negative </w:t>
      </w:r>
      <w:r>
        <w:rPr>
          <w:i/>
        </w:rPr>
        <w:t>M</w:t>
      </w:r>
      <w:r>
        <w:rPr>
          <w:vertAlign w:val="subscript"/>
        </w:rPr>
        <w:t>dif</w:t>
      </w:r>
      <w:r>
        <w:t xml:space="preserve"> means the opposite diffusion direction. </w:t>
      </w:r>
      <w:r>
        <w:rPr>
          <w:i/>
        </w:rPr>
        <w:t>V</w:t>
      </w:r>
      <w:r>
        <w:rPr>
          <w:vertAlign w:val="subscript"/>
        </w:rPr>
        <w:t>d</w:t>
      </w:r>
      <w:r>
        <w:t xml:space="preserve"> is the diffusion velocity (m d</w:t>
      </w:r>
      <w:r>
        <w:rPr>
          <w:vertAlign w:val="superscript"/>
        </w:rPr>
        <w:t>-1</w:t>
      </w:r>
      <w:r>
        <w:t>), [</w:t>
      </w:r>
      <w:r>
        <w:rPr>
          <w:i/>
        </w:rPr>
        <w:t>M</w:t>
      </w:r>
      <w:r>
        <w:rPr>
          <w:vertAlign w:val="subscript"/>
        </w:rPr>
        <w:t>d,w</w:t>
      </w:r>
      <w:r>
        <w:t>] and [</w:t>
      </w:r>
      <w:r>
        <w:rPr>
          <w:i/>
        </w:rPr>
        <w:t>M</w:t>
      </w:r>
      <w:r>
        <w:rPr>
          <w:vertAlign w:val="subscript"/>
        </w:rPr>
        <w:t>d,b</w:t>
      </w:r>
      <w:r>
        <w:t>] are the concentrations of dissolved metal in the water column and the pore water of bed sediment (mg L</w:t>
      </w:r>
      <w:r>
        <w:rPr>
          <w:vertAlign w:val="superscript"/>
        </w:rPr>
        <w:t>-1</w:t>
      </w:r>
      <w:r>
        <w:t xml:space="preserve">), respectively. </w:t>
      </w:r>
    </w:p>
    <w:p>
      <w:pPr>
        <w:pStyle w:val="4"/>
        <w:numPr>
          <w:ilvl w:val="2"/>
          <w:numId w:val="2"/>
        </w:numPr>
        <w:spacing w:after="120" w:line="480" w:lineRule="auto"/>
        <w:ind w:left="425" w:hanging="425" w:firstLineChars="0"/>
        <w:jc w:val="left"/>
        <w:rPr>
          <w:rFonts w:eastAsia="宋体"/>
          <w:i/>
          <w:iCs/>
          <w:sz w:val="24"/>
          <w:szCs w:val="24"/>
        </w:rPr>
      </w:pPr>
      <w:r>
        <w:rPr>
          <w:i/>
          <w:iCs/>
          <w:sz w:val="24"/>
          <w:szCs w:val="24"/>
        </w:rPr>
        <w:t>Burial</w:t>
      </w:r>
    </w:p>
    <w:p>
      <w:pPr>
        <w:ind w:firstLine="420"/>
        <w:rPr>
          <w:szCs w:val="22"/>
        </w:rPr>
      </w:pPr>
      <w:r>
        <w:t xml:space="preserve">Burial refers to the movement of solids downward from the </w:t>
      </w:r>
      <w:bookmarkStart w:id="8" w:name="OLE_LINK1"/>
      <w:bookmarkStart w:id="9" w:name="OLE_LINK2"/>
      <w:r>
        <w:t>active sediment layer</w:t>
      </w:r>
      <w:bookmarkEnd w:id="8"/>
      <w:bookmarkEnd w:id="9"/>
      <w:r>
        <w:t xml:space="preserve"> to the deep sediment </w:t>
      </w:r>
      <w:r>
        <w:fldChar w:fldCharType="begin"/>
      </w:r>
      <w:r>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fldChar w:fldCharType="separate"/>
      </w:r>
      <w:r>
        <w:t>(</w:t>
      </w:r>
      <w:r>
        <w:fldChar w:fldCharType="begin"/>
      </w:r>
      <w:r>
        <w:instrText xml:space="preserve"> HYPERLINK \l "_ENREF_8" \o "Gualtieri, 1999 #381" </w:instrText>
      </w:r>
      <w:r>
        <w:fldChar w:fldCharType="separate"/>
      </w:r>
      <w:r>
        <w:t>Gualtieri, 1999</w:t>
      </w:r>
      <w:r>
        <w:fldChar w:fldCharType="end"/>
      </w:r>
      <w:r>
        <w:t>)</w:t>
      </w:r>
      <w:r>
        <w:fldChar w:fldCharType="end"/>
      </w:r>
      <w:r>
        <w:t xml:space="preserve">. The burial flux of heavy metal transport is expressed, as shown in </w:t>
      </w:r>
      <w:r>
        <w:rPr>
          <w:color w:val="FF0000"/>
        </w:rPr>
        <w:t>Eq. (12)</w:t>
      </w:r>
      <w:r>
        <w:t>:</w:t>
      </w:r>
    </w:p>
    <w:p>
      <w:pPr>
        <w:pStyle w:val="22"/>
        <w:spacing w:after="120" w:line="480" w:lineRule="auto"/>
        <w:rPr>
          <w:rFonts w:eastAsiaTheme="minorEastAsia"/>
          <w:sz w:val="21"/>
        </w:rPr>
      </w:pPr>
      <w:r>
        <w:tab/>
      </w:r>
      <w:r>
        <w:rPr>
          <w:rFonts w:eastAsiaTheme="minorEastAsia" w:cstheme="minorBidi"/>
          <w:kern w:val="2"/>
          <w:position w:val="-14"/>
          <w:sz w:val="21"/>
          <w:szCs w:val="22"/>
        </w:rPr>
        <w:object>
          <v:shape id="_x0000_i1050" o:spt="75" type="#_x0000_t75" style="height:22.15pt;width:131.25pt;" o:ole="t" filled="f" o:preferrelative="t" stroked="f" coordsize="21600,21600">
            <v:path/>
            <v:fill on="f" focussize="0,0"/>
            <v:stroke on="f" joinstyle="miter"/>
            <v:imagedata r:id="rId60" o:title=""/>
            <o:lock v:ext="edit" aspectratio="t"/>
            <w10:wrap type="none"/>
            <w10:anchorlock/>
          </v:shape>
          <o:OLEObject Type="Embed" ProgID="Equation.DSMT4" ShapeID="_x0000_i1050" DrawAspect="Content" ObjectID="_1468075750" r:id="rId59">
            <o:LockedField>false</o:LockedField>
          </o:OLEObject>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p>
      <w:pPr>
        <w:ind w:firstLine="420"/>
      </w:pPr>
      <w:r>
        <w:t xml:space="preserve">where </w:t>
      </w:r>
      <w:r>
        <w:rPr>
          <w:i/>
        </w:rPr>
        <w:t>M</w:t>
      </w:r>
      <w:r>
        <w:rPr>
          <w:vertAlign w:val="subscript"/>
        </w:rPr>
        <w:t xml:space="preserve">bur </w:t>
      </w:r>
      <w:r>
        <w:t>is the burial flux of heavy metal (kg m</w:t>
      </w:r>
      <w:r>
        <w:rPr>
          <w:vertAlign w:val="superscript"/>
        </w:rPr>
        <w:t>-2</w:t>
      </w:r>
      <w:r>
        <w:t xml:space="preserve"> d</w:t>
      </w:r>
      <w:r>
        <w:rPr>
          <w:vertAlign w:val="superscript"/>
        </w:rPr>
        <w:t>-1</w:t>
      </w:r>
      <w:r>
        <w:t xml:space="preserve">), </w:t>
      </w:r>
      <w:r>
        <w:rPr>
          <w:i/>
        </w:rPr>
        <w:t>V</w:t>
      </w:r>
      <w:r>
        <w:rPr>
          <w:vertAlign w:val="subscript"/>
        </w:rPr>
        <w:t>b</w:t>
      </w:r>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pPr>
        <w:pStyle w:val="2"/>
      </w:pPr>
      <w:r>
        <w:rPr>
          <w:rFonts w:eastAsia="宋体"/>
          <w:kern w:val="0"/>
          <w:szCs w:val="24"/>
        </w:rPr>
        <w:br w:type="page"/>
      </w:r>
      <w:r>
        <w:rPr>
          <w:rFonts w:hint="eastAsia"/>
        </w:rPr>
        <w:t>Input</w:t>
      </w:r>
      <w:r>
        <w:t>s of SWAT-HM model</w:t>
      </w:r>
    </w:p>
    <w:p>
      <w:pPr>
        <w:ind w:firstLine="420"/>
        <w:rPr>
          <w:lang w:val="zh-CN" w:eastAsia="zh-CN"/>
        </w:rPr>
      </w:pPr>
      <w:r>
        <w:rPr>
          <w:lang w:val="zh-CN" w:eastAsia="zh-CN"/>
        </w:rPr>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pPr>
        <w:pStyle w:val="3"/>
      </w:pPr>
      <w:r>
        <w:t>Metal property file (metal.dat)</w:t>
      </w:r>
    </w:p>
    <w:p>
      <w:pPr>
        <w:ind w:firstLine="420"/>
        <w:rPr>
          <w:lang w:val="zh-CN" w:eastAsia="zh-CN"/>
        </w:rPr>
      </w:pPr>
      <w:r>
        <w:rPr>
          <w:lang w:val="zh-CN" w:eastAsia="zh-CN"/>
        </w:rPr>
        <w:t>In SWAT-HM (</w:t>
      </w:r>
      <w:r>
        <w:rPr>
          <w:color w:val="FF0000"/>
          <w:lang w:val="zh-CN" w:eastAsia="zh-CN"/>
        </w:rPr>
        <w:fldChar w:fldCharType="begin"/>
      </w:r>
      <w:r>
        <w:rPr>
          <w:color w:val="FF0000"/>
          <w:lang w:val="zh-CN" w:eastAsia="zh-CN"/>
        </w:rPr>
        <w:instrText xml:space="preserve"> REF _Ref501026176 \h </w:instrText>
      </w:r>
      <w:r>
        <w:rPr>
          <w:color w:val="FF0000"/>
          <w:lang w:val="zh-CN" w:eastAsia="zh-CN"/>
        </w:rPr>
        <w:fldChar w:fldCharType="separate"/>
      </w:r>
      <w:r>
        <w:rPr>
          <w:color w:val="FF0000"/>
        </w:rPr>
        <w:t>Fig. 3</w:t>
      </w:r>
      <w:r>
        <w:rPr>
          <w:color w:val="FF0000"/>
          <w:lang w:val="zh-CN" w:eastAsia="zh-CN"/>
        </w:rPr>
        <w:fldChar w:fldCharType="end"/>
      </w:r>
      <w:r>
        <w:rPr>
          <w:lang w:val="zh-CN" w:eastAsia="zh-CN"/>
        </w:rPr>
        <w:t>),</w:t>
      </w:r>
      <w:r>
        <w:rPr>
          <w:rFonts w:hint="eastAsia"/>
          <w:lang w:val="zh-CN"/>
        </w:rPr>
        <w:t xml:space="preserve"> </w:t>
      </w:r>
      <w:r>
        <w:rPr>
          <w:lang w:val="zh-CN"/>
        </w:rPr>
        <w:t xml:space="preserve">dissolved </w:t>
      </w:r>
      <w:r>
        <w:rPr>
          <w:lang w:val="zh-CN" w:eastAsia="zh-CN"/>
        </w:rPr>
        <w:t xml:space="preserve">metal (solution phase, </w:t>
      </w:r>
      <w:r>
        <w:rPr>
          <w:i/>
          <w:lang w:val="zh-CN" w:eastAsia="zh-CN"/>
        </w:rPr>
        <w:t>M</w:t>
      </w:r>
      <w:r>
        <w:rPr>
          <w:vertAlign w:val="subscript"/>
          <w:lang w:val="zh-CN" w:eastAsia="zh-CN"/>
        </w:rPr>
        <w:t>d</w:t>
      </w:r>
      <w:r>
        <w:rPr>
          <w:lang w:val="zh-CN" w:eastAsia="zh-CN"/>
        </w:rPr>
        <w:t>) are reversibly adsorbed onto</w:t>
      </w:r>
      <w:r>
        <w:rPr>
          <w:rFonts w:hint="eastAsia"/>
          <w:lang w:val="zh-CN"/>
        </w:rPr>
        <w:t xml:space="preserve"> </w:t>
      </w:r>
      <w:r>
        <w:rPr>
          <w:lang w:val="zh-CN" w:eastAsia="zh-CN"/>
        </w:rPr>
        <w:t xml:space="preserve">solids and become labile adsorbed metal (solid phase, </w:t>
      </w:r>
      <w:r>
        <w:rPr>
          <w:i/>
          <w:lang w:val="zh-CN" w:eastAsia="zh-CN"/>
        </w:rPr>
        <w:t>M</w:t>
      </w:r>
      <w:r>
        <w:rPr>
          <w:vertAlign w:val="subscript"/>
          <w:lang w:val="zh-CN" w:eastAsia="zh-CN"/>
        </w:rPr>
        <w:t>l</w:t>
      </w:r>
      <w:r>
        <w:rPr>
          <w:lang w:val="zh-CN" w:eastAsia="zh-CN"/>
        </w:rPr>
        <w:t>). In the solution</w:t>
      </w:r>
      <w:r>
        <w:rPr>
          <w:rFonts w:hint="eastAsia"/>
          <w:lang w:val="zh-CN"/>
        </w:rPr>
        <w:t xml:space="preserve"> </w:t>
      </w:r>
      <w:r>
        <w:rPr>
          <w:lang w:val="zh-CN" w:eastAsia="zh-CN"/>
        </w:rPr>
        <w:t xml:space="preserve">phase, </w:t>
      </w:r>
      <w:r>
        <w:rPr>
          <w:lang w:val="zh-CN"/>
        </w:rPr>
        <w:t>dissolved</w:t>
      </w:r>
      <w:r>
        <w:rPr>
          <w:lang w:val="zh-CN" w:eastAsia="zh-CN"/>
        </w:rPr>
        <w:t xml:space="preserve"> metal (</w:t>
      </w:r>
      <w:r>
        <w:rPr>
          <w:i/>
          <w:lang w:val="zh-CN" w:eastAsia="zh-CN"/>
        </w:rPr>
        <w:t>M</w:t>
      </w:r>
      <w:r>
        <w:rPr>
          <w:vertAlign w:val="subscript"/>
          <w:lang w:val="zh-CN" w:eastAsia="zh-CN"/>
        </w:rPr>
        <w:t>d</w:t>
      </w:r>
      <w:r>
        <w:rPr>
          <w:lang w:val="zh-CN" w:eastAsia="zh-CN"/>
        </w:rPr>
        <w:t>) and dissolved ligands (solution</w:t>
      </w:r>
      <w:r>
        <w:rPr>
          <w:rFonts w:hint="eastAsia"/>
          <w:lang w:val="zh-CN"/>
        </w:rPr>
        <w:t xml:space="preserve"> </w:t>
      </w:r>
      <w:r>
        <w:rPr>
          <w:lang w:val="zh-CN" w:eastAsia="zh-CN"/>
        </w:rPr>
        <w:t>phase, L) are reversibly associated to form metal complexes (solution</w:t>
      </w:r>
      <w:r>
        <w:rPr>
          <w:rFonts w:hint="eastAsia"/>
          <w:lang w:val="zh-CN"/>
        </w:rPr>
        <w:t xml:space="preserve"> </w:t>
      </w:r>
      <w:r>
        <w:rPr>
          <w:lang w:val="zh-CN" w:eastAsia="zh-CN"/>
        </w:rPr>
        <w:t xml:space="preserve">phase, </w:t>
      </w:r>
      <w:r>
        <w:rPr>
          <w:i/>
          <w:lang w:val="zh-CN" w:eastAsia="zh-CN"/>
        </w:rPr>
        <w:t>ML</w:t>
      </w:r>
      <w:r>
        <w:rPr>
          <w:lang w:val="zh-CN" w:eastAsia="zh-CN"/>
        </w:rPr>
        <w:t>). In the solid phase, a slow reaction is specified to allow for</w:t>
      </w:r>
      <w:r>
        <w:rPr>
          <w:rFonts w:hint="eastAsia"/>
          <w:lang w:val="zh-CN"/>
        </w:rPr>
        <w:t xml:space="preserve"> </w:t>
      </w:r>
      <w:r>
        <w:rPr>
          <w:lang w:val="zh-CN" w:eastAsia="zh-CN"/>
        </w:rPr>
        <w:t>the reversible conversion between the labile adsorbed metal (M</w:t>
      </w:r>
      <w:r>
        <w:rPr>
          <w:vertAlign w:val="subscript"/>
          <w:lang w:val="zh-CN" w:eastAsia="zh-CN"/>
        </w:rPr>
        <w:t>l</w:t>
      </w:r>
      <w:r>
        <w:rPr>
          <w:lang w:val="zh-CN" w:eastAsia="zh-CN"/>
        </w:rPr>
        <w:t>) and</w:t>
      </w:r>
      <w:r>
        <w:rPr>
          <w:rFonts w:hint="eastAsia"/>
          <w:lang w:val="zh-CN"/>
        </w:rPr>
        <w:t xml:space="preserve"> </w:t>
      </w:r>
      <w:r>
        <w:rPr>
          <w:lang w:val="zh-CN" w:eastAsia="zh-CN"/>
        </w:rPr>
        <w:t xml:space="preserve">its non-labile counterpart (solid phase, </w:t>
      </w:r>
      <w:r>
        <w:rPr>
          <w:i/>
          <w:lang w:val="zh-CN" w:eastAsia="zh-CN"/>
        </w:rPr>
        <w:t>M</w:t>
      </w:r>
      <w:r>
        <w:rPr>
          <w:vertAlign w:val="subscript"/>
          <w:lang w:val="zh-CN" w:eastAsia="zh-CN"/>
        </w:rPr>
        <w:t>n</w:t>
      </w:r>
      <w:r>
        <w:rPr>
          <w:lang w:val="zh-CN" w:eastAsia="zh-CN"/>
        </w:rPr>
        <w:t>). The kinetic rate</w:t>
      </w:r>
      <w:r>
        <w:rPr>
          <w:rFonts w:hint="eastAsia"/>
          <w:lang w:val="zh-CN"/>
        </w:rPr>
        <w:t xml:space="preserve"> </w:t>
      </w:r>
      <w:r>
        <w:rPr>
          <w:lang w:val="zh-CN" w:eastAsia="zh-CN"/>
        </w:rPr>
        <w:t xml:space="preserve">constants for the three types of reaction are denoted by </w:t>
      </w:r>
      <w:r>
        <w:rPr>
          <w:i/>
          <w:lang w:val="zh-CN" w:eastAsia="zh-CN"/>
        </w:rPr>
        <w:t>k</w:t>
      </w:r>
      <w:r>
        <w:rPr>
          <w:vertAlign w:val="subscript"/>
          <w:lang w:val="zh-CN" w:eastAsia="zh-CN"/>
        </w:rPr>
        <w:t>ads</w:t>
      </w:r>
      <w:r>
        <w:rPr>
          <w:lang w:val="zh-CN" w:eastAsia="zh-CN"/>
        </w:rPr>
        <w:t xml:space="preserve">, </w:t>
      </w:r>
      <w:r>
        <w:rPr>
          <w:i/>
          <w:lang w:val="zh-CN" w:eastAsia="zh-CN"/>
        </w:rPr>
        <w:t>k</w:t>
      </w:r>
      <w:r>
        <w:rPr>
          <w:vertAlign w:val="subscript"/>
          <w:lang w:val="zh-CN" w:eastAsia="zh-CN"/>
        </w:rPr>
        <w:t>des</w:t>
      </w:r>
      <w:r>
        <w:rPr>
          <w:lang w:val="zh-CN" w:eastAsia="zh-CN"/>
        </w:rPr>
        <w:t xml:space="preserve">, </w:t>
      </w:r>
      <w:r>
        <w:rPr>
          <w:i/>
          <w:lang w:val="zh-CN" w:eastAsia="zh-CN"/>
        </w:rPr>
        <w:t>k</w:t>
      </w:r>
      <w:r>
        <w:rPr>
          <w:vertAlign w:val="subscript"/>
          <w:lang w:val="zh-CN" w:eastAsia="zh-CN"/>
        </w:rPr>
        <w:t>a</w:t>
      </w:r>
      <w:r>
        <w:rPr>
          <w:lang w:val="zh-CN" w:eastAsia="zh-CN"/>
        </w:rPr>
        <w:t>,</w:t>
      </w:r>
      <w:r>
        <w:rPr>
          <w:rFonts w:hint="eastAsia"/>
          <w:lang w:val="zh-CN"/>
        </w:rPr>
        <w:t xml:space="preserve"> </w:t>
      </w:r>
      <w:r>
        <w:rPr>
          <w:i/>
          <w:lang w:val="zh-CN" w:eastAsia="zh-CN"/>
        </w:rPr>
        <w:t>k</w:t>
      </w:r>
      <w:r>
        <w:rPr>
          <w:vertAlign w:val="subscript"/>
          <w:lang w:val="zh-CN" w:eastAsia="zh-CN"/>
        </w:rPr>
        <w:t>d</w:t>
      </w:r>
      <w:r>
        <w:rPr>
          <w:lang w:val="zh-CN" w:eastAsia="zh-CN"/>
        </w:rPr>
        <w:t xml:space="preserve">, </w:t>
      </w:r>
      <w:r>
        <w:rPr>
          <w:i/>
          <w:lang w:val="zh-CN" w:eastAsia="zh-CN"/>
        </w:rPr>
        <w:t>k</w:t>
      </w:r>
      <w:r>
        <w:rPr>
          <w:vertAlign w:val="subscript"/>
          <w:lang w:val="zh-CN" w:eastAsia="zh-CN"/>
        </w:rPr>
        <w:t>1</w:t>
      </w:r>
      <w:r>
        <w:rPr>
          <w:lang w:val="zh-CN" w:eastAsia="zh-CN"/>
        </w:rPr>
        <w:t xml:space="preserve"> and </w:t>
      </w:r>
      <w:r>
        <w:rPr>
          <w:i/>
          <w:lang w:val="zh-CN" w:eastAsia="zh-CN"/>
        </w:rPr>
        <w:t>k</w:t>
      </w:r>
      <w:r>
        <w:rPr>
          <w:vertAlign w:val="subscript"/>
          <w:lang w:val="zh-CN" w:eastAsia="zh-CN"/>
        </w:rPr>
        <w:t>−1</w:t>
      </w:r>
      <w:r>
        <w:rPr>
          <w:lang w:val="zh-CN" w:eastAsia="zh-CN"/>
        </w:rPr>
        <w:t xml:space="preserve">, respectively. All these parameters are summarized in metal.dat file. </w:t>
      </w:r>
    </w:p>
    <w:p>
      <w:pPr>
        <w:ind w:firstLine="420"/>
        <w:rPr>
          <w:lang w:val="zh-CN" w:eastAsia="zh-CN"/>
        </w:rPr>
      </w:pPr>
      <w:r>
        <w:rPr>
          <w:rFonts w:hint="eastAsia"/>
          <w:highlight w:val="yellow"/>
          <w:lang w:val="zh-CN"/>
        </w:rPr>
        <w:t>Kd</w:t>
      </w:r>
      <w:r>
        <w:rPr>
          <w:highlight w:val="yellow"/>
          <w:lang w:val="zh-CN" w:eastAsia="zh-CN"/>
        </w:rPr>
        <w:t>1</w:t>
      </w:r>
      <w:r>
        <w:rPr>
          <w:rFonts w:hint="eastAsia"/>
          <w:highlight w:val="yellow"/>
          <w:lang w:val="zh-CN"/>
        </w:rPr>
        <w:t>需要解释一下</w:t>
      </w:r>
    </w:p>
    <w:p>
      <w:pPr>
        <w:rPr>
          <w:lang w:val="zh-CN" w:eastAsia="zh-CN"/>
        </w:rPr>
      </w:pPr>
    </w:p>
    <w:p>
      <w:pPr>
        <w:pStyle w:val="5"/>
      </w:pPr>
      <w:r>
        <w:t xml:space="preserve">Table </w:t>
      </w:r>
      <w:r>
        <w:fldChar w:fldCharType="begin"/>
      </w:r>
      <w:r>
        <w:instrText xml:space="preserve"> SEQ Table \* ARABIC </w:instrText>
      </w:r>
      <w:r>
        <w:fldChar w:fldCharType="separate"/>
      </w:r>
      <w:r>
        <w:t>3</w:t>
      </w:r>
      <w:r>
        <w:fldChar w:fldCharType="end"/>
      </w:r>
      <w:r>
        <w:t xml:space="preserve"> - Parameters of metal property file.</w:t>
      </w:r>
    </w:p>
    <w:tbl>
      <w:tblPr>
        <w:tblStyle w:val="12"/>
        <w:tblW w:w="5000"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402"/>
        <w:gridCol w:w="5584"/>
        <w:gridCol w:w="1536"/>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3310" w:type="pct"/>
            <w:tcBorders>
              <w:top w:val="single" w:color="auto" w:sz="12" w:space="0"/>
              <w:bottom w:val="single" w:color="auto" w:sz="12" w:space="0"/>
            </w:tcBorders>
            <w:vAlign w:val="center"/>
          </w:tcPr>
          <w:p>
            <w:pPr>
              <w:jc w:val="center"/>
              <w:rPr>
                <w:b/>
              </w:rPr>
            </w:pPr>
            <w:r>
              <w:rPr>
                <w:rFonts w:hint="eastAsia"/>
                <w:b/>
              </w:rPr>
              <w:t>Definition</w:t>
            </w:r>
          </w:p>
        </w:tc>
        <w:tc>
          <w:tcPr>
            <w:tcW w:w="935" w:type="pct"/>
            <w:tcBorders>
              <w:top w:val="single" w:color="auto" w:sz="12" w:space="0"/>
              <w:bottom w:val="single" w:color="auto" w:sz="12" w:space="0"/>
            </w:tcBorders>
          </w:tcPr>
          <w:p>
            <w:pPr>
              <w:jc w:val="center"/>
              <w:rPr>
                <w:b/>
              </w:rPr>
            </w:pPr>
            <w:r>
              <w:rPr>
                <w:rFonts w:hint="eastAsia"/>
                <w:b/>
              </w:rPr>
              <w:t>File</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12" w:space="0"/>
            </w:tcBorders>
            <w:shd w:val="clear" w:color="auto" w:fill="auto"/>
            <w:noWrap/>
            <w:vAlign w:val="center"/>
          </w:tcPr>
          <w:p>
            <w:pPr>
              <w:jc w:val="center"/>
            </w:pPr>
            <w:r>
              <w:rPr>
                <w:i/>
              </w:rPr>
              <w:t>K</w:t>
            </w:r>
            <w:r>
              <w:rPr>
                <w:rFonts w:hint="eastAsia"/>
                <w:vertAlign w:val="subscript"/>
              </w:rPr>
              <w:t>d</w:t>
            </w:r>
            <w:r>
              <w:rPr>
                <w:vertAlign w:val="subscript"/>
              </w:rPr>
              <w:t>1</w:t>
            </w:r>
          </w:p>
        </w:tc>
        <w:tc>
          <w:tcPr>
            <w:tcW w:w="3310" w:type="pct"/>
            <w:tcBorders>
              <w:top w:val="single" w:color="auto" w:sz="12" w:space="0"/>
            </w:tcBorders>
            <w:vAlign w:val="center"/>
          </w:tcPr>
          <w:p>
            <w:pPr>
              <w:jc w:val="center"/>
            </w:pPr>
            <w:r>
              <w:t>solid-solution partition coefficient</w:t>
            </w:r>
            <w:r>
              <w:rPr>
                <w:rFonts w:hint="eastAsia"/>
              </w:rPr>
              <w:t xml:space="preserve"> </w:t>
            </w:r>
            <w:r>
              <w:t>in soil (L kg</w:t>
            </w:r>
            <w:r>
              <w:rPr>
                <w:vertAlign w:val="superscript"/>
              </w:rPr>
              <w:t>-1</w:t>
            </w:r>
            <w:r>
              <w:t>)</w:t>
            </w:r>
          </w:p>
        </w:tc>
        <w:tc>
          <w:tcPr>
            <w:tcW w:w="935" w:type="pct"/>
            <w:tcBorders>
              <w:top w:val="single" w:color="auto" w:sz="12" w:space="0"/>
            </w:tcBorders>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shd w:val="clear" w:color="auto" w:fill="auto"/>
            <w:noWrap/>
            <w:vAlign w:val="center"/>
          </w:tcPr>
          <w:p>
            <w:pPr>
              <w:jc w:val="center"/>
              <w:rPr>
                <w:vertAlign w:val="subscript"/>
              </w:rPr>
            </w:pPr>
            <w:r>
              <w:rPr>
                <w:i/>
              </w:rPr>
              <w:t>K</w:t>
            </w:r>
            <w:r>
              <w:rPr>
                <w:rFonts w:hint="eastAsia"/>
                <w:vertAlign w:val="subscript"/>
              </w:rPr>
              <w:t>d</w:t>
            </w:r>
            <w:r>
              <w:rPr>
                <w:vertAlign w:val="subscript"/>
              </w:rPr>
              <w:t>2</w:t>
            </w:r>
          </w:p>
        </w:tc>
        <w:tc>
          <w:tcPr>
            <w:tcW w:w="3310" w:type="pct"/>
            <w:vAlign w:val="center"/>
          </w:tcPr>
          <w:p>
            <w:pPr>
              <w:jc w:val="center"/>
            </w:pPr>
            <w:r>
              <w:t>solid-solution partition coefficient</w:t>
            </w:r>
            <w:r>
              <w:rPr>
                <w:rFonts w:hint="eastAsia"/>
              </w:rPr>
              <w:t xml:space="preserve"> </w:t>
            </w:r>
            <w:r>
              <w:t>in channel water (L kg</w:t>
            </w:r>
            <w:r>
              <w:rPr>
                <w:vertAlign w:val="superscript"/>
              </w:rPr>
              <w:t>-1</w:t>
            </w:r>
            <w:r>
              <w:t>)</w:t>
            </w:r>
          </w:p>
        </w:tc>
        <w:tc>
          <w:tcPr>
            <w:tcW w:w="935" w:type="pct"/>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shd w:val="clear" w:color="auto" w:fill="auto"/>
            <w:noWrap/>
            <w:vAlign w:val="center"/>
          </w:tcPr>
          <w:p>
            <w:pPr>
              <w:jc w:val="center"/>
              <w:rPr>
                <w:vertAlign w:val="subscript"/>
              </w:rPr>
            </w:pPr>
            <w:r>
              <w:rPr>
                <w:i/>
              </w:rPr>
              <w:t>K</w:t>
            </w:r>
            <w:r>
              <w:rPr>
                <w:rFonts w:hint="eastAsia"/>
                <w:vertAlign w:val="subscript"/>
              </w:rPr>
              <w:t>d</w:t>
            </w:r>
            <w:r>
              <w:rPr>
                <w:vertAlign w:val="subscript"/>
              </w:rPr>
              <w:t>3</w:t>
            </w:r>
          </w:p>
        </w:tc>
        <w:tc>
          <w:tcPr>
            <w:tcW w:w="3310" w:type="pct"/>
            <w:vAlign w:val="center"/>
          </w:tcPr>
          <w:p>
            <w:pPr>
              <w:jc w:val="center"/>
            </w:pPr>
            <w:r>
              <w:t>solid-solution partition coefficient</w:t>
            </w:r>
            <w:r>
              <w:rPr>
                <w:rFonts w:hint="eastAsia"/>
              </w:rPr>
              <w:t xml:space="preserve"> </w:t>
            </w:r>
            <w:r>
              <w:t>in bed sediment (L kg</w:t>
            </w:r>
            <w:r>
              <w:rPr>
                <w:vertAlign w:val="superscript"/>
              </w:rPr>
              <w:t>-1</w:t>
            </w:r>
            <w:r>
              <w:t>)</w:t>
            </w:r>
          </w:p>
        </w:tc>
        <w:tc>
          <w:tcPr>
            <w:tcW w:w="935" w:type="pct"/>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shd w:val="clear" w:color="auto" w:fill="auto"/>
            <w:noWrap/>
            <w:vAlign w:val="center"/>
          </w:tcPr>
          <w:p>
            <w:pPr>
              <w:jc w:val="center"/>
              <w:rPr>
                <w:vertAlign w:val="subscript"/>
              </w:rPr>
            </w:pPr>
            <w:r>
              <w:rPr>
                <w:i/>
              </w:rPr>
              <w:t>k</w:t>
            </w:r>
            <w:r>
              <w:rPr>
                <w:rFonts w:hint="eastAsia"/>
                <w:vertAlign w:val="subscript"/>
              </w:rPr>
              <w:t>1</w:t>
            </w:r>
          </w:p>
        </w:tc>
        <w:tc>
          <w:tcPr>
            <w:tcW w:w="3310" w:type="pct"/>
            <w:vAlign w:val="center"/>
          </w:tcPr>
          <w:p>
            <w:pPr>
              <w:jc w:val="center"/>
            </w:pPr>
            <w:r>
              <w:t>kinetics rate of forward slow reaction (d</w:t>
            </w:r>
            <w:r>
              <w:rPr>
                <w:vertAlign w:val="superscript"/>
              </w:rPr>
              <w:t>-1</w:t>
            </w:r>
            <w:r>
              <w:t>)</w:t>
            </w:r>
          </w:p>
        </w:tc>
        <w:tc>
          <w:tcPr>
            <w:tcW w:w="935" w:type="pct"/>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bottom w:val="single" w:color="auto" w:sz="6" w:space="0"/>
            </w:tcBorders>
            <w:shd w:val="clear" w:color="auto" w:fill="auto"/>
            <w:noWrap/>
            <w:vAlign w:val="center"/>
          </w:tcPr>
          <w:p>
            <w:pPr>
              <w:jc w:val="center"/>
              <w:rPr>
                <w:vertAlign w:val="subscript"/>
              </w:rPr>
            </w:pPr>
            <w:r>
              <w:rPr>
                <w:i/>
              </w:rPr>
              <w:t>k</w:t>
            </w:r>
            <w:r>
              <w:t>-</w:t>
            </w:r>
            <w:r>
              <w:rPr>
                <w:rFonts w:hint="eastAsia"/>
                <w:vertAlign w:val="subscript"/>
              </w:rPr>
              <w:t>1</w:t>
            </w:r>
          </w:p>
        </w:tc>
        <w:tc>
          <w:tcPr>
            <w:tcW w:w="3310" w:type="pct"/>
            <w:tcBorders>
              <w:bottom w:val="single" w:color="auto" w:sz="6" w:space="0"/>
            </w:tcBorders>
            <w:vAlign w:val="center"/>
          </w:tcPr>
          <w:p>
            <w:pPr>
              <w:jc w:val="center"/>
            </w:pPr>
            <w:r>
              <w:t>kinetics rate of backward slow reaction (d</w:t>
            </w:r>
            <w:r>
              <w:rPr>
                <w:vertAlign w:val="superscript"/>
              </w:rPr>
              <w:t>-1</w:t>
            </w:r>
            <w:r>
              <w:t>)</w:t>
            </w:r>
          </w:p>
        </w:tc>
        <w:tc>
          <w:tcPr>
            <w:tcW w:w="935" w:type="pct"/>
            <w:tcBorders>
              <w:bottom w:val="single" w:color="auto" w:sz="6" w:space="0"/>
            </w:tcBorders>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6" w:space="0"/>
              <w:bottom w:val="single" w:color="auto" w:sz="6" w:space="0"/>
            </w:tcBorders>
            <w:shd w:val="clear" w:color="auto" w:fill="auto"/>
            <w:noWrap/>
            <w:vAlign w:val="center"/>
          </w:tcPr>
          <w:p>
            <w:pPr>
              <w:jc w:val="center"/>
              <w:rPr>
                <w:vertAlign w:val="subscript"/>
              </w:rPr>
            </w:pPr>
            <w:r>
              <w:rPr>
                <w:rFonts w:hint="eastAsia"/>
              </w:rPr>
              <w:t>k</w:t>
            </w:r>
            <w:r>
              <w:rPr>
                <w:rFonts w:hint="eastAsia"/>
                <w:vertAlign w:val="subscript"/>
              </w:rPr>
              <w:t>sol</w:t>
            </w:r>
          </w:p>
        </w:tc>
        <w:tc>
          <w:tcPr>
            <w:tcW w:w="3310" w:type="pct"/>
            <w:tcBorders>
              <w:top w:val="single" w:color="auto" w:sz="6" w:space="0"/>
              <w:bottom w:val="single" w:color="auto" w:sz="6" w:space="0"/>
            </w:tcBorders>
            <w:vAlign w:val="center"/>
          </w:tcPr>
          <w:p>
            <w:pPr>
              <w:jc w:val="center"/>
            </w:pPr>
            <w:r>
              <w:t>solubility of heavy metal in the solution</w:t>
            </w:r>
          </w:p>
        </w:tc>
        <w:tc>
          <w:tcPr>
            <w:tcW w:w="935" w:type="pct"/>
            <w:tcBorders>
              <w:top w:val="single" w:color="auto" w:sz="6" w:space="0"/>
              <w:bottom w:val="single" w:color="auto" w:sz="6" w:space="0"/>
            </w:tcBorders>
          </w:tcPr>
          <w:p>
            <w:pPr>
              <w:jc w:val="center"/>
            </w:pPr>
            <w:r>
              <w:t>m</w:t>
            </w:r>
            <w:r>
              <w:rPr>
                <w:rFonts w:hint="eastAsia"/>
              </w:rPr>
              <w:t>etal.</w:t>
            </w:r>
            <w:r>
              <w:t>dat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755" w:type="pct"/>
            <w:tcBorders>
              <w:top w:val="single" w:color="auto" w:sz="6" w:space="0"/>
              <w:bottom w:val="single" w:color="auto" w:sz="12" w:space="0"/>
            </w:tcBorders>
            <w:shd w:val="clear" w:color="auto" w:fill="auto"/>
            <w:noWrap/>
            <w:vAlign w:val="center"/>
          </w:tcPr>
          <w:p>
            <w:pPr>
              <w:jc w:val="center"/>
            </w:pPr>
            <w:r>
              <w:rPr>
                <w:rFonts w:hint="eastAsia"/>
                <w:i/>
              </w:rPr>
              <w:t>r</w:t>
            </w:r>
            <w:r>
              <w:rPr>
                <w:rFonts w:hint="eastAsia"/>
                <w:vertAlign w:val="subscript"/>
              </w:rPr>
              <w:t>w</w:t>
            </w:r>
          </w:p>
        </w:tc>
        <w:tc>
          <w:tcPr>
            <w:tcW w:w="3310" w:type="pct"/>
            <w:tcBorders>
              <w:top w:val="single" w:color="auto" w:sz="6" w:space="0"/>
              <w:bottom w:val="single" w:color="auto" w:sz="12" w:space="0"/>
            </w:tcBorders>
            <w:vAlign w:val="center"/>
          </w:tcPr>
          <w:p>
            <w:pPr>
              <w:jc w:val="center"/>
            </w:pPr>
            <w:r>
              <w:t>weathering rate (--)</w:t>
            </w:r>
          </w:p>
        </w:tc>
        <w:tc>
          <w:tcPr>
            <w:tcW w:w="935" w:type="pct"/>
            <w:tcBorders>
              <w:top w:val="single" w:color="auto" w:sz="6" w:space="0"/>
              <w:bottom w:val="single" w:color="auto" w:sz="12" w:space="0"/>
            </w:tcBorders>
          </w:tcPr>
          <w:p>
            <w:pPr>
              <w:jc w:val="center"/>
            </w:pPr>
            <w:r>
              <w:t>m</w:t>
            </w:r>
            <w:r>
              <w:rPr>
                <w:rFonts w:hint="eastAsia"/>
              </w:rPr>
              <w:t>etal.</w:t>
            </w:r>
            <w:r>
              <w:t>dat</w:t>
            </w:r>
          </w:p>
        </w:tc>
      </w:tr>
    </w:tbl>
    <w:p/>
    <w:p>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pPr>
        <w:pStyle w:val="5"/>
      </w:pPr>
      <w:r>
        <w:t xml:space="preserve">Table </w:t>
      </w:r>
      <w:r>
        <w:fldChar w:fldCharType="begin"/>
      </w:r>
      <w:r>
        <w:instrText xml:space="preserve"> SEQ Table \* ARABIC </w:instrText>
      </w:r>
      <w:r>
        <w:fldChar w:fldCharType="separate"/>
      </w:r>
      <w:r>
        <w:t>4</w:t>
      </w:r>
      <w:r>
        <w:fldChar w:fldCharType="end"/>
      </w:r>
      <w:r>
        <w:t xml:space="preserve"> - The file format of metal property file.</w:t>
      </w:r>
    </w:p>
    <w:tbl>
      <w:tblPr>
        <w:tblStyle w:val="12"/>
        <w:tblW w:w="5000"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74"/>
        <w:gridCol w:w="1294"/>
        <w:gridCol w:w="1554"/>
        <w:gridCol w:w="1475"/>
        <w:gridCol w:w="2125"/>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5"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I</w:t>
            </w:r>
            <w:r>
              <w:t>D</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Space1-3</w:t>
            </w:r>
          </w:p>
        </w:tc>
        <w:tc>
          <w:tcPr>
            <w:tcW w:w="865"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N</w:t>
            </w:r>
            <w:r>
              <w:t>ame</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w:t>
            </w:r>
            <w:r>
              <w:t>4</w:t>
            </w:r>
            <w:r>
              <w:t>-</w:t>
            </w:r>
            <w:r>
              <w:t>1</w:t>
            </w:r>
            <w:r>
              <w:t>3</w:t>
            </w:r>
          </w:p>
        </w:tc>
        <w:tc>
          <w:tcPr>
            <w:tcW w:w="865" w:type="pct"/>
            <w:tcBorders>
              <w:top w:val="single" w:color="auto" w:sz="12" w:space="0"/>
            </w:tcBorders>
          </w:tcPr>
          <w:p>
            <w:pPr>
              <w:jc w:val="center"/>
            </w:pPr>
            <w:r>
              <w:rPr>
                <w:rFonts w:hint="eastAsia"/>
              </w:rPr>
              <w:t>c</w:t>
            </w:r>
            <w:r>
              <w:t>har</w:t>
            </w:r>
            <w:r>
              <w:t>set</w:t>
            </w:r>
          </w:p>
        </w:tc>
        <w:tc>
          <w:tcPr>
            <w:tcW w:w="1246" w:type="pct"/>
            <w:tcBorders>
              <w:top w:val="single" w:color="auto" w:sz="12" w:space="0"/>
            </w:tcBorders>
          </w:tcPr>
          <w:p>
            <w:pPr>
              <w:jc w:val="center"/>
            </w:pPr>
            <w:r>
              <w:t>a10</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l</w:t>
            </w:r>
            <w:r>
              <w:t>evel</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w:t>
            </w:r>
            <w:r>
              <w:t>14</w:t>
            </w:r>
            <w:r>
              <w:t>-</w:t>
            </w:r>
            <w:r>
              <w:t>16</w:t>
            </w:r>
          </w:p>
        </w:tc>
        <w:tc>
          <w:tcPr>
            <w:tcW w:w="865"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90" w:hRule="atLeast"/>
          <w:jc w:val="center"/>
        </w:trPr>
        <w:tc>
          <w:tcPr>
            <w:tcW w:w="1216" w:type="pct"/>
            <w:tcBorders>
              <w:top w:val="single" w:color="auto" w:sz="12" w:space="0"/>
            </w:tcBorders>
            <w:shd w:val="clear" w:color="auto" w:fill="auto"/>
            <w:noWrap/>
            <w:vAlign w:val="center"/>
          </w:tcPr>
          <w:p>
            <w:pPr>
              <w:jc w:val="center"/>
            </w:pPr>
            <w:r>
              <w:rPr>
                <w:i/>
              </w:rPr>
              <w:t>K</w:t>
            </w:r>
            <w:r>
              <w:rPr>
                <w:rFonts w:hint="eastAsia"/>
                <w:vertAlign w:val="subscript"/>
              </w:rPr>
              <w:t>d</w:t>
            </w:r>
            <w:r>
              <w:rPr>
                <w:vertAlign w:val="subscript"/>
              </w:rPr>
              <w:t>1</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tcPr>
          <w:p>
            <w:pPr>
              <w:jc w:val="center"/>
            </w:pPr>
            <w:r>
              <w:t>Space1</w:t>
            </w:r>
            <w:r>
              <w:t>5</w:t>
            </w:r>
            <w:r>
              <w:t>-</w:t>
            </w:r>
            <w:r>
              <w:t>2</w:t>
            </w:r>
            <w:r>
              <w:t>6</w:t>
            </w:r>
          </w:p>
        </w:tc>
        <w:tc>
          <w:tcPr>
            <w:tcW w:w="865" w:type="pct"/>
            <w:tcBorders>
              <w:top w:val="single" w:color="auto" w:sz="12" w:space="0"/>
            </w:tcBorders>
          </w:tcPr>
          <w:p>
            <w:pPr>
              <w:jc w:val="center"/>
            </w:pPr>
            <w:r>
              <w:t>float</w:t>
            </w:r>
          </w:p>
        </w:tc>
        <w:tc>
          <w:tcPr>
            <w:tcW w:w="1246" w:type="pct"/>
            <w:tcBorders>
              <w:top w:val="single" w:color="auto" w:sz="12" w:space="0"/>
            </w:tcBorders>
          </w:tcPr>
          <w:p>
            <w:pPr>
              <w:jc w:val="cente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i/>
              </w:rPr>
              <w:t>K</w:t>
            </w:r>
            <w:r>
              <w:rPr>
                <w:rFonts w:hint="eastAsia"/>
                <w:vertAlign w:val="subscript"/>
              </w:rPr>
              <w:t>d</w:t>
            </w:r>
            <w:r>
              <w:rPr>
                <w:vertAlign w:val="subscript"/>
              </w:rPr>
              <w:t>2</w:t>
            </w:r>
          </w:p>
        </w:tc>
        <w:tc>
          <w:tcPr>
            <w:tcW w:w="759" w:type="pct"/>
          </w:tcPr>
          <w:p>
            <w:pPr>
              <w:jc w:val="center"/>
            </w:pPr>
            <w:r>
              <w:rPr>
                <w:rFonts w:hint="eastAsia"/>
              </w:rPr>
              <w:t>2</w:t>
            </w: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27</w:t>
            </w:r>
            <w:r>
              <w:t>-</w:t>
            </w:r>
            <w:r>
              <w:t>3</w:t>
            </w:r>
            <w:r>
              <w:t>6</w:t>
            </w:r>
          </w:p>
        </w:tc>
        <w:tc>
          <w:tcPr>
            <w:tcW w:w="865" w:type="pct"/>
          </w:tcPr>
          <w:p>
            <w:pPr>
              <w:jc w:val="center"/>
            </w:pPr>
            <w:r>
              <w:t>float</w:t>
            </w:r>
          </w:p>
        </w:tc>
        <w:tc>
          <w:tcPr>
            <w:tcW w:w="1246" w:type="pct"/>
          </w:tcPr>
          <w:p>
            <w:pPr>
              <w:jc w:val="cente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i/>
              </w:rPr>
              <w:t>K</w:t>
            </w:r>
            <w:r>
              <w:rPr>
                <w:rFonts w:hint="eastAsia"/>
                <w:vertAlign w:val="subscript"/>
              </w:rPr>
              <w:t>d</w:t>
            </w:r>
            <w:r>
              <w:rPr>
                <w:vertAlign w:val="subscript"/>
              </w:rPr>
              <w:t>3</w:t>
            </w:r>
          </w:p>
        </w:tc>
        <w:tc>
          <w:tcPr>
            <w:tcW w:w="759" w:type="pct"/>
          </w:tcPr>
          <w:p>
            <w:pPr>
              <w:jc w:val="center"/>
            </w:pPr>
            <w:r>
              <w:rPr>
                <w:rFonts w:hint="eastAsia"/>
              </w:rPr>
              <w:t>2</w:t>
            </w: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3</w:t>
            </w:r>
            <w:r>
              <w:t>7-</w:t>
            </w:r>
            <w:r>
              <w:t>4</w:t>
            </w:r>
            <w:r>
              <w:t>6</w:t>
            </w:r>
          </w:p>
        </w:tc>
        <w:tc>
          <w:tcPr>
            <w:tcW w:w="865" w:type="pct"/>
          </w:tcPr>
          <w:p>
            <w:pPr>
              <w:jc w:val="center"/>
            </w:pPr>
            <w:r>
              <w:t>float</w:t>
            </w:r>
          </w:p>
        </w:tc>
        <w:tc>
          <w:tcPr>
            <w:tcW w:w="1246" w:type="pct"/>
          </w:tcPr>
          <w:p>
            <w:pPr>
              <w:jc w:val="cente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i/>
              </w:rPr>
              <w:t>k</w:t>
            </w:r>
            <w:r>
              <w:rPr>
                <w:rFonts w:hint="eastAsia"/>
                <w:vertAlign w:val="subscript"/>
              </w:rPr>
              <w:t>1</w:t>
            </w:r>
          </w:p>
        </w:tc>
        <w:tc>
          <w:tcPr>
            <w:tcW w:w="759" w:type="pct"/>
          </w:tcPr>
          <w:p>
            <w:pPr>
              <w:jc w:val="center"/>
            </w:pPr>
            <w:r>
              <w:rPr>
                <w:rFonts w:hint="eastAsia"/>
              </w:rPr>
              <w:t>2</w:t>
            </w: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4</w:t>
            </w:r>
            <w:r>
              <w:t>7-</w:t>
            </w:r>
            <w:r>
              <w:t>5</w:t>
            </w:r>
            <w:r>
              <w:t>6</w:t>
            </w:r>
          </w:p>
        </w:tc>
        <w:tc>
          <w:tcPr>
            <w:tcW w:w="865" w:type="pct"/>
          </w:tcPr>
          <w:p>
            <w:pPr>
              <w:jc w:val="center"/>
            </w:pPr>
            <w:r>
              <w:t>float</w:t>
            </w:r>
          </w:p>
        </w:tc>
        <w:tc>
          <w:tcPr>
            <w:tcW w:w="1246" w:type="pct"/>
          </w:tcPr>
          <w:p>
            <w:pPr>
              <w:jc w:val="cente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bottom w:val="single" w:color="auto" w:sz="6" w:space="0"/>
            </w:tcBorders>
            <w:shd w:val="clear" w:color="auto" w:fill="auto"/>
            <w:noWrap/>
            <w:vAlign w:val="center"/>
          </w:tcPr>
          <w:p>
            <w:pPr>
              <w:jc w:val="center"/>
              <w:rPr>
                <w:vertAlign w:val="subscript"/>
              </w:rPr>
            </w:pPr>
            <w:r>
              <w:rPr>
                <w:i/>
              </w:rPr>
              <w:t>k</w:t>
            </w:r>
            <w:r>
              <w:t>-</w:t>
            </w:r>
            <w:r>
              <w:rPr>
                <w:rFonts w:hint="eastAsia"/>
                <w:vertAlign w:val="subscript"/>
              </w:rPr>
              <w:t>1</w:t>
            </w:r>
          </w:p>
        </w:tc>
        <w:tc>
          <w:tcPr>
            <w:tcW w:w="759" w:type="pct"/>
            <w:tcBorders>
              <w:bottom w:val="single" w:color="auto" w:sz="6" w:space="0"/>
            </w:tcBorders>
          </w:tcPr>
          <w:p>
            <w:pPr>
              <w:jc w:val="center"/>
            </w:pPr>
            <w:r>
              <w:rPr>
                <w:rFonts w:hint="eastAsia"/>
              </w:rPr>
              <w:t>2</w:t>
            </w:r>
          </w:p>
        </w:tc>
        <w:tc>
          <w:tcPr>
            <w:tcW w:w="911" w:type="pct"/>
            <w:tcBorders>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5</w:t>
            </w:r>
            <w:r>
              <w:t>7-</w:t>
            </w:r>
            <w:r>
              <w:t>6</w:t>
            </w:r>
            <w:r>
              <w:t>6</w:t>
            </w:r>
          </w:p>
        </w:tc>
        <w:tc>
          <w:tcPr>
            <w:tcW w:w="865" w:type="pct"/>
            <w:tcBorders>
              <w:bottom w:val="single" w:color="auto" w:sz="6" w:space="0"/>
            </w:tcBorders>
          </w:tcPr>
          <w:p>
            <w:pPr>
              <w:jc w:val="center"/>
            </w:pPr>
            <w:r>
              <w:t>float</w:t>
            </w:r>
          </w:p>
        </w:tc>
        <w:tc>
          <w:tcPr>
            <w:tcW w:w="1246" w:type="pct"/>
            <w:tcBorders>
              <w:bottom w:val="single" w:color="auto" w:sz="6" w:space="0"/>
            </w:tcBorders>
          </w:tcPr>
          <w:p>
            <w:pPr>
              <w:jc w:val="cente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382" w:hRule="atLeast"/>
          <w:jc w:val="center"/>
        </w:trPr>
        <w:tc>
          <w:tcPr>
            <w:tcW w:w="1216" w:type="pct"/>
            <w:tcBorders>
              <w:top w:val="single" w:color="auto" w:sz="6" w:space="0"/>
              <w:bottom w:val="single" w:color="auto" w:sz="6" w:space="0"/>
            </w:tcBorders>
            <w:shd w:val="clear" w:color="auto" w:fill="auto"/>
            <w:noWrap/>
            <w:vAlign w:val="center"/>
          </w:tcPr>
          <w:p>
            <w:pPr>
              <w:jc w:val="center"/>
              <w:rPr>
                <w:vertAlign w:val="subscript"/>
              </w:rPr>
            </w:pPr>
            <w:r>
              <w:rPr>
                <w:rFonts w:hint="eastAsia"/>
              </w:rPr>
              <w:t>k</w:t>
            </w:r>
            <w:r>
              <w:rPr>
                <w:rFonts w:hint="eastAsia"/>
                <w:vertAlign w:val="subscript"/>
              </w:rPr>
              <w:t>sol</w:t>
            </w:r>
          </w:p>
        </w:tc>
        <w:tc>
          <w:tcPr>
            <w:tcW w:w="759" w:type="pct"/>
            <w:tcBorders>
              <w:top w:val="single" w:color="auto" w:sz="6" w:space="0"/>
              <w:bottom w:val="single" w:color="auto" w:sz="6" w:space="0"/>
            </w:tcBorders>
          </w:tcPr>
          <w:p>
            <w:pPr>
              <w:jc w:val="center"/>
            </w:pPr>
            <w:r>
              <w:rPr>
                <w:rFonts w:hint="eastAsia"/>
              </w:rPr>
              <w:t>2</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6</w:t>
            </w:r>
            <w:r>
              <w:t>7-</w:t>
            </w:r>
            <w:r>
              <w:t>7</w:t>
            </w:r>
            <w:r>
              <w:t>6</w:t>
            </w:r>
          </w:p>
        </w:tc>
        <w:tc>
          <w:tcPr>
            <w:tcW w:w="865"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12" w:space="0"/>
            </w:tcBorders>
            <w:shd w:val="clear" w:color="auto" w:fill="auto"/>
            <w:noWrap/>
            <w:vAlign w:val="center"/>
          </w:tcPr>
          <w:p>
            <w:pPr>
              <w:jc w:val="center"/>
            </w:pPr>
            <w:r>
              <w:rPr>
                <w:rFonts w:hint="eastAsia"/>
                <w:i/>
              </w:rPr>
              <w:t>r</w:t>
            </w:r>
            <w:r>
              <w:rPr>
                <w:rFonts w:hint="eastAsia"/>
                <w:vertAlign w:val="subscript"/>
              </w:rPr>
              <w:t>w</w:t>
            </w:r>
          </w:p>
        </w:tc>
        <w:tc>
          <w:tcPr>
            <w:tcW w:w="759" w:type="pct"/>
            <w:tcBorders>
              <w:top w:val="single" w:color="auto" w:sz="6" w:space="0"/>
              <w:bottom w:val="single" w:color="auto" w:sz="12" w:space="0"/>
            </w:tcBorders>
          </w:tcPr>
          <w:p>
            <w:pPr>
              <w:jc w:val="center"/>
            </w:pPr>
            <w:r>
              <w:rPr>
                <w:rFonts w:hint="eastAsia"/>
              </w:rPr>
              <w:t>2</w:t>
            </w:r>
          </w:p>
        </w:tc>
        <w:tc>
          <w:tcPr>
            <w:tcW w:w="911" w:type="pct"/>
            <w:tcBorders>
              <w:top w:val="single" w:color="auto" w:sz="6" w:space="0"/>
              <w:bottom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w:t>
            </w:r>
            <w:r>
              <w:t>7</w:t>
            </w:r>
            <w:r>
              <w:t>7-</w:t>
            </w:r>
            <w:r>
              <w:t>8</w:t>
            </w:r>
            <w:r>
              <w:t>6</w:t>
            </w:r>
          </w:p>
        </w:tc>
        <w:tc>
          <w:tcPr>
            <w:tcW w:w="865" w:type="pct"/>
            <w:tcBorders>
              <w:top w:val="single" w:color="auto" w:sz="6" w:space="0"/>
              <w:bottom w:val="single" w:color="auto" w:sz="12" w:space="0"/>
            </w:tcBorders>
          </w:tcPr>
          <w:p>
            <w:pPr>
              <w:jc w:val="center"/>
            </w:pPr>
            <w:r>
              <w:t>float</w:t>
            </w:r>
          </w:p>
        </w:tc>
        <w:tc>
          <w:tcPr>
            <w:tcW w:w="1246" w:type="pct"/>
            <w:tcBorders>
              <w:top w:val="single" w:color="auto" w:sz="6" w:space="0"/>
              <w:bottom w:val="single" w:color="auto" w:sz="12" w:space="0"/>
            </w:tcBorders>
            <w:vAlign w:val="top"/>
          </w:tcPr>
          <w:p>
            <w:pPr>
              <w:jc w:val="center"/>
              <w:rPr>
                <w:rFonts w:ascii="Times New Roman" w:hAnsi="Times New Roman" w:eastAsia="宋体" w:cs="Times New Roman"/>
                <w:kern w:val="2"/>
                <w:sz w:val="24"/>
                <w:szCs w:val="24"/>
                <w:lang w:val="en-US" w:eastAsia="zh-CN" w:bidi="ar-SA"/>
              </w:rPr>
            </w:pPr>
            <w:r>
              <w:t>f10.3</w:t>
            </w:r>
          </w:p>
        </w:tc>
      </w:tr>
    </w:tbl>
    <w:p>
      <w:pPr>
        <w:pStyle w:val="20"/>
        <w:ind w:left="360" w:firstLine="0" w:firstLineChars="0"/>
      </w:pPr>
    </w:p>
    <w:p>
      <w:pPr>
        <w:pStyle w:val="3"/>
      </w:pPr>
      <w:r>
        <w:t>P</w:t>
      </w:r>
      <w:r>
        <w:rPr>
          <w:rFonts w:hint="eastAsia"/>
        </w:rPr>
        <w:t xml:space="preserve">oint </w:t>
      </w:r>
      <w:r>
        <w:t>source data (xp.dat)</w:t>
      </w:r>
    </w:p>
    <w:p>
      <w:pPr>
        <w:ind w:firstLine="420"/>
      </w:pPr>
      <w:r>
        <w:rPr>
          <w:lang w:val="zh-CN"/>
        </w:rPr>
        <w:t>T</w:t>
      </w:r>
      <w:r>
        <w:t>he original version</w:t>
      </w:r>
      <w:r>
        <w:rPr>
          <w:rFonts w:hint="eastAsia"/>
        </w:rPr>
        <w:t xml:space="preserve"> </w:t>
      </w:r>
      <w:r>
        <w:t>of the heavy metal module in SWAT only routes simple mass balance through 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pPr>
        <w:ind w:firstLine="420"/>
      </w:pPr>
      <w:r>
        <w:t>The point source input files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_Ref500963105 \h </w:instrText>
      </w:r>
      <w:r>
        <w:rPr>
          <w:color w:val="FF0000"/>
        </w:rPr>
        <w:fldChar w:fldCharType="separate"/>
      </w:r>
      <w:r>
        <w:t>Table 3</w:t>
      </w:r>
      <w:r>
        <w:rPr>
          <w:color w:val="FF0000"/>
        </w:rPr>
        <w:fldChar w:fldCharType="end"/>
      </w:r>
      <w:r>
        <w:t>).</w:t>
      </w:r>
    </w:p>
    <w:p/>
    <w:p>
      <w:pPr>
        <w:pStyle w:val="5"/>
      </w:pPr>
      <w:bookmarkStart w:id="10" w:name="_Ref500963105"/>
      <w:r>
        <w:t xml:space="preserve">Table </w:t>
      </w:r>
      <w:r>
        <w:fldChar w:fldCharType="begin"/>
      </w:r>
      <w:r>
        <w:instrText xml:space="preserve"> SEQ Table \* ARABIC </w:instrText>
      </w:r>
      <w:r>
        <w:fldChar w:fldCharType="separate"/>
      </w:r>
      <w:r>
        <w:t>5</w:t>
      </w:r>
      <w:r>
        <w:fldChar w:fldCharType="end"/>
      </w:r>
      <w:bookmarkEnd w:id="10"/>
      <w:r>
        <w:t xml:space="preserve"> - Point source data</w:t>
      </w:r>
    </w:p>
    <w:tbl>
      <w:tblPr>
        <w:tblStyle w:val="12"/>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6241"/>
      </w:tblGrid>
      <w:tr>
        <w:trPr>
          <w:jc w:val="center"/>
        </w:trPr>
        <w:tc>
          <w:tcPr>
            <w:tcW w:w="2065" w:type="dxa"/>
            <w:tcBorders>
              <w:top w:val="single" w:color="auto" w:sz="12" w:space="0"/>
              <w:bottom w:val="single" w:color="auto" w:sz="12" w:space="0"/>
            </w:tcBorders>
            <w:shd w:val="clear" w:color="auto" w:fill="auto"/>
            <w:vAlign w:val="center"/>
          </w:tcPr>
          <w:p>
            <w:pPr>
              <w:jc w:val="center"/>
              <w:rPr>
                <w:b/>
              </w:rPr>
            </w:pPr>
            <w:r>
              <w:rPr>
                <w:rFonts w:hint="eastAsia"/>
                <w:b/>
              </w:rPr>
              <w:t>Variable</w:t>
            </w:r>
          </w:p>
        </w:tc>
        <w:tc>
          <w:tcPr>
            <w:tcW w:w="6241" w:type="dxa"/>
            <w:tcBorders>
              <w:top w:val="single" w:color="auto" w:sz="12" w:space="0"/>
              <w:bottom w:val="single" w:color="auto" w:sz="12" w:space="0"/>
            </w:tcBorders>
            <w:shd w:val="clear" w:color="auto" w:fill="auto"/>
            <w:vAlign w:val="center"/>
          </w:tcPr>
          <w:p>
            <w:pPr>
              <w:jc w:val="center"/>
              <w:rPr>
                <w:b/>
              </w:rPr>
            </w:pPr>
            <w:r>
              <w:rPr>
                <w:rFonts w:hint="eastAsia"/>
                <w:b/>
              </w:rPr>
              <w:t>Definition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tcBorders>
              <w:top w:val="single" w:color="auto" w:sz="12" w:space="0"/>
            </w:tcBorders>
            <w:shd w:val="clear" w:color="auto" w:fill="auto"/>
            <w:vAlign w:val="center"/>
          </w:tcPr>
          <w:p>
            <w:pPr>
              <w:jc w:val="center"/>
            </w:pPr>
            <w:r>
              <w:rPr>
                <w:rFonts w:hint="eastAsia"/>
              </w:rPr>
              <w:t>Title</w:t>
            </w:r>
          </w:p>
        </w:tc>
        <w:tc>
          <w:tcPr>
            <w:tcW w:w="6241" w:type="dxa"/>
            <w:tcBorders>
              <w:top w:val="single" w:color="auto" w:sz="12" w:space="0"/>
            </w:tcBorders>
            <w:shd w:val="clear" w:color="auto" w:fill="auto"/>
            <w:vAlign w:val="center"/>
          </w:tcPr>
          <w:p>
            <w:pPr>
              <w:jc w:val="center"/>
            </w:pPr>
            <w:r>
              <w:t>T</w:t>
            </w:r>
            <w:r>
              <w:rPr>
                <w:rFonts w:hint="eastAsia"/>
              </w:rPr>
              <w:t xml:space="preserve">he </w:t>
            </w:r>
            <w:r>
              <w:t>first six lines of the file are reserved for user comments; the comments may take up to 80 spaces per line.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tcBorders>
              <w:top w:val="single" w:color="auto" w:sz="12" w:space="0"/>
            </w:tcBorders>
            <w:shd w:val="clear" w:color="auto" w:fill="auto"/>
            <w:vAlign w:val="center"/>
          </w:tcPr>
          <w:p>
            <w:pPr>
              <w:jc w:val="center"/>
            </w:pPr>
            <w:r>
              <w:rPr>
                <w:rFonts w:hint="eastAsia"/>
              </w:rPr>
              <w:t>DAY</w:t>
            </w:r>
          </w:p>
        </w:tc>
        <w:tc>
          <w:tcPr>
            <w:tcW w:w="6241" w:type="dxa"/>
            <w:tcBorders>
              <w:top w:val="single" w:color="auto" w:sz="12" w:space="0"/>
            </w:tcBorders>
            <w:shd w:val="clear" w:color="auto" w:fill="auto"/>
            <w:vAlign w:val="center"/>
          </w:tcPr>
          <w:p>
            <w:pPr>
              <w:jc w:val="center"/>
            </w:pPr>
            <w:r>
              <w:rPr>
                <w:rFonts w:hint="eastAsia"/>
              </w:rPr>
              <w:t>Julian</w:t>
            </w:r>
            <w:r>
              <w:t xml:space="preserve"> date for record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rPr>
                <w:rFonts w:hint="eastAsia"/>
              </w:rPr>
              <w:t>YEAR</w:t>
            </w:r>
          </w:p>
        </w:tc>
        <w:tc>
          <w:tcPr>
            <w:tcW w:w="6241" w:type="dxa"/>
            <w:shd w:val="clear" w:color="auto" w:fill="auto"/>
            <w:vAlign w:val="center"/>
          </w:tcPr>
          <w:p>
            <w:pPr>
              <w:jc w:val="center"/>
            </w:pPr>
            <w:r>
              <w:rPr>
                <w:rFonts w:hint="eastAsia"/>
              </w:rPr>
              <w:t>Four-digit year for record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rPr>
                <w:rFonts w:hint="eastAsia"/>
              </w:rPr>
              <w:t>FLODAT</w:t>
            </w:r>
          </w:p>
        </w:tc>
        <w:tc>
          <w:tcPr>
            <w:tcW w:w="6241" w:type="dxa"/>
            <w:shd w:val="clear" w:color="auto" w:fill="auto"/>
            <w:vAlign w:val="center"/>
          </w:tcPr>
          <w:p>
            <w:pPr>
              <w:jc w:val="center"/>
            </w:pPr>
            <w:r>
              <w:rPr>
                <w:rFonts w:hint="eastAsia"/>
              </w:rPr>
              <w:t>Contribution to the streamflow for the day</w:t>
            </w:r>
            <w:r>
              <w:t xml:space="preserve"> (m</w:t>
            </w:r>
            <w:r>
              <w:rPr>
                <w:vertAlign w:val="superscript"/>
              </w:rPr>
              <w:t>3</w:t>
            </w: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rPr>
                <w:rFonts w:hint="eastAsia"/>
              </w:rPr>
              <w:t>SEDDAY</w:t>
            </w:r>
          </w:p>
        </w:tc>
        <w:tc>
          <w:tcPr>
            <w:tcW w:w="6241" w:type="dxa"/>
            <w:shd w:val="clear" w:color="auto" w:fill="auto"/>
            <w:vAlign w:val="center"/>
          </w:tcPr>
          <w:p>
            <w:pPr>
              <w:jc w:val="center"/>
            </w:pPr>
            <w:r>
              <w:t>Sediment loading to the reach for the day (tons/d)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t>……</w:t>
            </w:r>
          </w:p>
        </w:tc>
        <w:tc>
          <w:tcPr>
            <w:tcW w:w="6241" w:type="dxa"/>
            <w:shd w:val="clear" w:color="auto" w:fill="auto"/>
            <w:vAlign w:val="center"/>
          </w:tcPr>
          <w:p>
            <w:pPr>
              <w:jc w:val="center"/>
            </w:pPr>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2065" w:type="dxa"/>
            <w:shd w:val="clear" w:color="auto" w:fill="auto"/>
            <w:vAlign w:val="center"/>
          </w:tcPr>
          <w:p>
            <w:pPr>
              <w:jc w:val="center"/>
            </w:pPr>
            <w:r>
              <w:t>H</w:t>
            </w:r>
            <w:r>
              <w:rPr>
                <w:rFonts w:hint="eastAsia"/>
              </w:rPr>
              <w:t>MLDAY</w:t>
            </w:r>
          </w:p>
        </w:tc>
        <w:tc>
          <w:tcPr>
            <w:tcW w:w="6241" w:type="dxa"/>
            <w:shd w:val="clear" w:color="auto" w:fill="auto"/>
            <w:vAlign w:val="center"/>
          </w:tcPr>
          <w:p>
            <w:pPr>
              <w:jc w:val="center"/>
            </w:pPr>
            <w:r>
              <w:rPr>
                <w:rFonts w:hint="eastAsia"/>
              </w:rPr>
              <w:t>L</w:t>
            </w:r>
            <w:r>
              <w:t>oading of heavy metal to the reach for the day (kg/d)</w:t>
            </w:r>
          </w:p>
        </w:tc>
      </w:tr>
    </w:tbl>
    <w:p/>
    <w:p>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pPr>
        <w:pStyle w:val="5"/>
      </w:pPr>
      <w:r>
        <w:t xml:space="preserve">Table </w:t>
      </w:r>
      <w:r>
        <w:fldChar w:fldCharType="begin"/>
      </w:r>
      <w:r>
        <w:instrText xml:space="preserve"> SEQ Table \* ARABIC </w:instrText>
      </w:r>
      <w:r>
        <w:fldChar w:fldCharType="separate"/>
      </w:r>
      <w:r>
        <w:t>6</w:t>
      </w:r>
      <w:r>
        <w:fldChar w:fldCharType="end"/>
      </w:r>
      <w:r>
        <w:t xml:space="preserve"> - The file format for the xp.dat</w:t>
      </w:r>
    </w:p>
    <w:tbl>
      <w:tblPr>
        <w:tblStyle w:val="12"/>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02"/>
        <w:gridCol w:w="1242"/>
        <w:gridCol w:w="1589"/>
        <w:gridCol w:w="1420"/>
        <w:gridCol w:w="2053"/>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i/>
              </w:rPr>
            </w:pPr>
            <w:r>
              <w:rPr>
                <w:i/>
              </w:rPr>
              <w:t>DAY</w:t>
            </w:r>
          </w:p>
        </w:tc>
        <w:tc>
          <w:tcPr>
            <w:tcW w:w="759" w:type="pct"/>
            <w:tcBorders>
              <w:top w:val="single" w:color="auto" w:sz="12" w:space="0"/>
            </w:tcBorders>
          </w:tcPr>
          <w:p>
            <w:pPr>
              <w:jc w:val="center"/>
            </w:pPr>
          </w:p>
        </w:tc>
        <w:tc>
          <w:tcPr>
            <w:tcW w:w="911" w:type="pct"/>
            <w:tcBorders>
              <w:top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Space1-</w:t>
            </w:r>
            <w:r>
              <w:t>5</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i/>
              </w:rPr>
            </w:pPr>
            <w:r>
              <w:rPr>
                <w:rFonts w:hint="eastAsia"/>
                <w:i/>
              </w:rPr>
              <w:t>YEAR</w:t>
            </w:r>
          </w:p>
        </w:tc>
        <w:tc>
          <w:tcPr>
            <w:tcW w:w="759" w:type="pct"/>
            <w:tcBorders>
              <w:top w:val="single" w:color="auto" w:sz="12" w:space="0"/>
            </w:tcBorders>
          </w:tcPr>
          <w:p>
            <w:pPr>
              <w:jc w:val="center"/>
            </w:pPr>
          </w:p>
        </w:tc>
        <w:tc>
          <w:tcPr>
            <w:tcW w:w="911" w:type="pct"/>
            <w:tcBorders>
              <w:top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w:t>
            </w:r>
            <w:r>
              <w:t>6</w:t>
            </w:r>
            <w:r>
              <w:t>-</w:t>
            </w:r>
            <w:r>
              <w:t>9</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f10.3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pPr>
            <w:r>
              <w:rPr>
                <w:rFonts w:hint="eastAsia"/>
              </w:rPr>
              <w:t>FLOCNST</w:t>
            </w:r>
          </w:p>
        </w:tc>
        <w:tc>
          <w:tcPr>
            <w:tcW w:w="759" w:type="pct"/>
            <w:tcBorders>
              <w:top w:val="single" w:color="auto" w:sz="12" w:space="0"/>
            </w:tcBorders>
          </w:tcPr>
          <w:p>
            <w:pPr>
              <w:jc w:val="center"/>
            </w:pPr>
            <w:r>
              <w:rPr>
                <w:rFonts w:hint="eastAsia"/>
              </w:rPr>
              <w:t>2</w:t>
            </w:r>
          </w:p>
        </w:tc>
        <w:tc>
          <w:tcPr>
            <w:tcW w:w="911" w:type="pct"/>
            <w:tcBorders>
              <w:top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w:t>
            </w:r>
            <w:r>
              <w:t>10</w:t>
            </w:r>
            <w:r>
              <w:t>-</w:t>
            </w:r>
            <w:r>
              <w:t>26</w:t>
            </w:r>
          </w:p>
        </w:tc>
        <w:tc>
          <w:tcPr>
            <w:tcW w:w="866" w:type="pct"/>
            <w:tcBorders>
              <w:top w:val="single" w:color="auto" w:sz="12" w:space="0"/>
            </w:tcBorders>
          </w:tcPr>
          <w:p>
            <w:pPr>
              <w:jc w:val="center"/>
            </w:pPr>
            <w:r>
              <w:t>float</w:t>
            </w:r>
          </w:p>
        </w:tc>
        <w:tc>
          <w:tcPr>
            <w:tcW w:w="1246" w:type="pct"/>
            <w:tcBorders>
              <w:top w:val="single" w:color="auto" w:sz="12"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rFonts w:hint="eastAsia"/>
              </w:rPr>
              <w:t>SEDCNST</w:t>
            </w:r>
          </w:p>
        </w:tc>
        <w:tc>
          <w:tcPr>
            <w:tcW w:w="759" w:type="pct"/>
          </w:tcPr>
          <w:p>
            <w:pPr>
              <w:jc w:val="center"/>
            </w:pPr>
            <w:r>
              <w:rPr>
                <w:rFonts w:hint="eastAsia"/>
              </w:rPr>
              <w:t>2</w:t>
            </w: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27</w:t>
            </w:r>
            <w:r>
              <w:t>-</w:t>
            </w:r>
            <w:r>
              <w:t>43</w:t>
            </w:r>
          </w:p>
        </w:tc>
        <w:tc>
          <w:tcPr>
            <w:tcW w:w="866" w:type="pct"/>
          </w:tcPr>
          <w:p>
            <w:pPr>
              <w:jc w:val="center"/>
            </w:pPr>
            <w:r>
              <w:t>float</w:t>
            </w:r>
          </w:p>
        </w:tc>
        <w:tc>
          <w:tcPr>
            <w:tcW w:w="1246" w:type="pct"/>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rFonts w:hint="eastAsia"/>
                <w:i/>
              </w:rPr>
              <w:t>ORGNCNST</w:t>
            </w:r>
          </w:p>
        </w:tc>
        <w:tc>
          <w:tcPr>
            <w:tcW w:w="759" w:type="pct"/>
          </w:tcPr>
          <w:p>
            <w:pPr>
              <w:jc w:val="center"/>
            </w:pPr>
            <w:r>
              <w:rPr>
                <w:rFonts w:hint="eastAsia"/>
              </w:rPr>
              <w:t>2</w:t>
            </w: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44</w:t>
            </w:r>
            <w:r>
              <w:t>-</w:t>
            </w:r>
            <w:r>
              <w:t>60</w:t>
            </w:r>
          </w:p>
        </w:tc>
        <w:tc>
          <w:tcPr>
            <w:tcW w:w="866" w:type="pct"/>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rFonts w:hint="eastAsia"/>
              </w:rPr>
              <w:t>ORGPCNST</w:t>
            </w:r>
          </w:p>
        </w:tc>
        <w:tc>
          <w:tcPr>
            <w:tcW w:w="759" w:type="pct"/>
          </w:tcPr>
          <w:p>
            <w:pPr>
              <w:jc w:val="center"/>
            </w:pPr>
            <w:r>
              <w:rPr>
                <w:rFonts w:hint="eastAsia"/>
              </w:rPr>
              <w:t>2</w:t>
            </w: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61</w:t>
            </w:r>
            <w:r>
              <w:t>-</w:t>
            </w:r>
            <w:r>
              <w:t>77</w:t>
            </w:r>
          </w:p>
        </w:tc>
        <w:tc>
          <w:tcPr>
            <w:tcW w:w="866" w:type="pct"/>
          </w:tcPr>
          <w:p>
            <w:pPr>
              <w:jc w:val="center"/>
            </w:pPr>
            <w:r>
              <w:t>float</w:t>
            </w:r>
          </w:p>
        </w:tc>
        <w:tc>
          <w:tcPr>
            <w:tcW w:w="1246" w:type="pct"/>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bottom w:val="single" w:color="auto" w:sz="6" w:space="0"/>
            </w:tcBorders>
            <w:shd w:val="clear" w:color="auto" w:fill="auto"/>
            <w:noWrap/>
            <w:vAlign w:val="center"/>
          </w:tcPr>
          <w:p>
            <w:pPr>
              <w:jc w:val="center"/>
              <w:rPr>
                <w:vertAlign w:val="subscript"/>
              </w:rPr>
            </w:pPr>
            <w:r>
              <w:rPr>
                <w:rFonts w:hint="eastAsia"/>
              </w:rPr>
              <w:t>NO3CNST</w:t>
            </w:r>
          </w:p>
        </w:tc>
        <w:tc>
          <w:tcPr>
            <w:tcW w:w="759" w:type="pct"/>
            <w:tcBorders>
              <w:bottom w:val="single" w:color="auto" w:sz="6" w:space="0"/>
            </w:tcBorders>
          </w:tcPr>
          <w:p>
            <w:pPr>
              <w:jc w:val="center"/>
            </w:pPr>
            <w:r>
              <w:rPr>
                <w:rFonts w:hint="eastAsia"/>
              </w:rPr>
              <w:t>2</w:t>
            </w:r>
          </w:p>
        </w:tc>
        <w:tc>
          <w:tcPr>
            <w:tcW w:w="911" w:type="pct"/>
            <w:tcBorders>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78</w:t>
            </w:r>
            <w:r>
              <w:t>-</w:t>
            </w:r>
            <w:r>
              <w:t>94</w:t>
            </w:r>
          </w:p>
        </w:tc>
        <w:tc>
          <w:tcPr>
            <w:tcW w:w="866" w:type="pct"/>
            <w:tcBorders>
              <w:bottom w:val="single" w:color="auto" w:sz="6" w:space="0"/>
            </w:tcBorders>
          </w:tcPr>
          <w:p>
            <w:pPr>
              <w:jc w:val="center"/>
            </w:pPr>
            <w:r>
              <w:t>float</w:t>
            </w:r>
          </w:p>
        </w:tc>
        <w:tc>
          <w:tcPr>
            <w:tcW w:w="1246" w:type="pct"/>
            <w:tcBorders>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vertAlign w:val="subscript"/>
              </w:rPr>
            </w:pPr>
            <w:r>
              <w:rPr>
                <w:rFonts w:hint="eastAsia"/>
              </w:rPr>
              <w:t>NH3CNST</w:t>
            </w:r>
          </w:p>
        </w:tc>
        <w:tc>
          <w:tcPr>
            <w:tcW w:w="759" w:type="pct"/>
            <w:tcBorders>
              <w:top w:val="single" w:color="auto" w:sz="6" w:space="0"/>
              <w:bottom w:val="single" w:color="auto" w:sz="6" w:space="0"/>
            </w:tcBorders>
          </w:tcPr>
          <w:p>
            <w:pPr>
              <w:jc w:val="center"/>
            </w:pPr>
            <w:r>
              <w:rPr>
                <w:rFonts w:hint="eastAsia"/>
              </w:rPr>
              <w:t>2</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95</w:t>
            </w:r>
            <w:r>
              <w:t>-</w:t>
            </w:r>
            <w:r>
              <w:t>111</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pPr>
            <w:r>
              <w:rPr>
                <w:rFonts w:hint="eastAsia"/>
                <w:i/>
              </w:rPr>
              <w:t>NO2CNST</w:t>
            </w:r>
          </w:p>
        </w:tc>
        <w:tc>
          <w:tcPr>
            <w:tcW w:w="759" w:type="pct"/>
            <w:tcBorders>
              <w:top w:val="single" w:color="auto" w:sz="6" w:space="0"/>
              <w:bottom w:val="single" w:color="auto" w:sz="6" w:space="0"/>
            </w:tcBorders>
          </w:tcPr>
          <w:p>
            <w:pPr>
              <w:jc w:val="center"/>
            </w:pPr>
            <w:r>
              <w:rPr>
                <w:rFonts w:hint="eastAsia"/>
              </w:rPr>
              <w:t>2</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112</w:t>
            </w:r>
            <w:r>
              <w:t>-</w:t>
            </w:r>
            <w:r>
              <w:t>128</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rPr>
              <w:t>MINPCNST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129</w:t>
            </w:r>
            <w:r>
              <w:t>-</w:t>
            </w:r>
            <w:r>
              <w:t>145</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CBODCNST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146</w:t>
            </w:r>
            <w:r>
              <w:t>-</w:t>
            </w:r>
            <w:r>
              <w:t>162</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DISOXCNST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163</w:t>
            </w:r>
            <w:r>
              <w:t>-</w:t>
            </w:r>
            <w:r>
              <w:t>179</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CHLACNST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180</w:t>
            </w:r>
            <w:r>
              <w:t>-</w:t>
            </w:r>
            <w:r>
              <w:t>196</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SOLPSTCNST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197</w:t>
            </w:r>
            <w:r>
              <w:t>-</w:t>
            </w:r>
            <w:r>
              <w:t>213</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SRBPSTCNST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214</w:t>
            </w:r>
            <w:r>
              <w:t>-</w:t>
            </w:r>
            <w:r>
              <w:t>230</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BACTPCNST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231</w:t>
            </w:r>
            <w:r>
              <w:t>-</w:t>
            </w:r>
            <w:r>
              <w:t>247</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BACTLPCNST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248</w:t>
            </w:r>
            <w:r>
              <w:t>-</w:t>
            </w:r>
            <w:r>
              <w:t>264</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CMTL1CNST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265</w:t>
            </w:r>
            <w:r>
              <w:t>-</w:t>
            </w:r>
            <w:r>
              <w:t>281</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i/>
              </w:rPr>
            </w:pPr>
            <w:r>
              <w:rPr>
                <w:rFonts w:hint="eastAsia"/>
                <w:i/>
              </w:rPr>
              <w:t>CMTL2CNST</w:t>
            </w:r>
          </w:p>
        </w:tc>
        <w:tc>
          <w:tcPr>
            <w:tcW w:w="759" w:type="pct"/>
            <w:tcBorders>
              <w:top w:val="single" w:color="auto" w:sz="6" w:space="0"/>
              <w:bottom w:val="single" w:color="auto" w:sz="6" w:space="0"/>
            </w:tcBorders>
          </w:tcPr>
          <w:p>
            <w:pPr>
              <w:jc w:val="center"/>
              <w:rPr>
                <w:rFonts w:hint="eastAsia"/>
              </w:rPr>
            </w:pP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w:t>
            </w:r>
            <w:r>
              <w:t>282</w:t>
            </w:r>
            <w:r>
              <w:t>-</w:t>
            </w:r>
            <w:r>
              <w:t>298</w:t>
            </w:r>
          </w:p>
        </w:tc>
        <w:tc>
          <w:tcPr>
            <w:tcW w:w="866"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6" w:space="0"/>
            </w:tcBorders>
          </w:tcPr>
          <w:p>
            <w:pPr>
              <w:jc w:val="center"/>
            </w:pP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6" w:space="0"/>
              <w:bottom w:val="single" w:color="auto" w:sz="12" w:space="0"/>
            </w:tcBorders>
            <w:shd w:val="clear" w:color="auto" w:fill="auto"/>
            <w:noWrap/>
            <w:vAlign w:val="center"/>
          </w:tcPr>
          <w:p>
            <w:pPr>
              <w:jc w:val="center"/>
              <w:rPr>
                <w:rFonts w:hint="eastAsia"/>
                <w:i/>
              </w:rPr>
            </w:pPr>
            <w:r>
              <w:rPr>
                <w:rFonts w:hint="eastAsia"/>
                <w:i/>
              </w:rPr>
              <w:t>CMTL3CNST</w:t>
            </w:r>
          </w:p>
        </w:tc>
        <w:tc>
          <w:tcPr>
            <w:tcW w:w="759" w:type="pct"/>
            <w:tcBorders>
              <w:top w:val="single" w:color="auto" w:sz="6" w:space="0"/>
              <w:bottom w:val="single" w:color="auto" w:sz="12" w:space="0"/>
            </w:tcBorders>
          </w:tcPr>
          <w:p>
            <w:pPr>
              <w:jc w:val="center"/>
              <w:rPr>
                <w:rFonts w:hint="eastAsia"/>
              </w:rPr>
            </w:pPr>
          </w:p>
        </w:tc>
        <w:tc>
          <w:tcPr>
            <w:tcW w:w="911" w:type="pct"/>
            <w:tcBorders>
              <w:top w:val="single" w:color="auto" w:sz="6" w:space="0"/>
              <w:bottom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w:t>
            </w:r>
            <w:r>
              <w:t>299</w:t>
            </w:r>
            <w:r>
              <w:t>-</w:t>
            </w:r>
            <w:r>
              <w:t>315</w:t>
            </w:r>
          </w:p>
        </w:tc>
        <w:tc>
          <w:tcPr>
            <w:tcW w:w="866" w:type="pct"/>
            <w:tcBorders>
              <w:top w:val="single" w:color="auto" w:sz="6" w:space="0"/>
              <w:bottom w:val="single" w:color="auto" w:sz="12" w:space="0"/>
            </w:tcBorders>
            <w:vAlign w:val="top"/>
          </w:tcPr>
          <w:p>
            <w:pPr>
              <w:jc w:val="center"/>
              <w:rPr>
                <w:rFonts w:ascii="Times New Roman" w:hAnsi="Times New Roman" w:eastAsia="宋体" w:cs="Times New Roman"/>
                <w:kern w:val="2"/>
                <w:sz w:val="24"/>
                <w:szCs w:val="24"/>
                <w:lang w:val="en-US" w:eastAsia="zh-CN" w:bidi="ar-SA"/>
              </w:rPr>
            </w:pPr>
            <w:r>
              <w:t>float</w:t>
            </w:r>
          </w:p>
        </w:tc>
        <w:tc>
          <w:tcPr>
            <w:tcW w:w="1246" w:type="pct"/>
            <w:tcBorders>
              <w:top w:val="single" w:color="auto" w:sz="6" w:space="0"/>
              <w:bottom w:val="single" w:color="auto" w:sz="12" w:space="0"/>
            </w:tcBorders>
          </w:tcPr>
          <w:p>
            <w:pPr>
              <w:jc w:val="center"/>
            </w:pPr>
          </w:p>
        </w:tc>
      </w:tr>
    </w:tbl>
    <w:p/>
    <w:p>
      <w:pPr>
        <w:widowControl/>
        <w:jc w:val="left"/>
      </w:pPr>
      <w:r>
        <w:br w:type="page"/>
      </w:r>
    </w:p>
    <w:p>
      <w:pPr>
        <w:pStyle w:val="3"/>
      </w:pPr>
      <w:r>
        <w:t>Nonpoint source data</w:t>
      </w:r>
    </w:p>
    <w:p>
      <w:pPr>
        <w:pStyle w:val="4"/>
        <w:ind w:left="496" w:hanging="496"/>
        <w:rPr>
          <w:lang w:eastAsia="zh-CN"/>
        </w:rPr>
      </w:pPr>
      <w:r>
        <w:t>hml files</w:t>
      </w:r>
    </w:p>
    <w:p>
      <w:pPr>
        <w:ind w:firstLine="420"/>
        <w:rPr>
          <w:lang w:val="zh-CN"/>
        </w:rPr>
      </w:pPr>
      <w:r>
        <w:rPr>
          <w:rFonts w:hint="eastAsia"/>
          <w:lang w:val="zh-CN"/>
        </w:rPr>
        <w:t xml:space="preserve">SWAT-HM </w:t>
      </w:r>
      <w:r>
        <w:rPr>
          <w:lang w:val="zh-CN"/>
        </w:rPr>
        <w:t>accounts for sorption and</w:t>
      </w:r>
      <w:r>
        <w:rPr>
          <w:rFonts w:hint="eastAsia"/>
          <w:lang w:val="zh-CN"/>
        </w:rPr>
        <w:t xml:space="preserve"> </w:t>
      </w:r>
      <w:r>
        <w:rPr>
          <w:lang w:val="zh-CN"/>
        </w:rPr>
        <w:t>slow reactions among metal species; the heavy metals in the upland are allowed to transport vertically through</w:t>
      </w:r>
      <w:r>
        <w:rPr>
          <w:rFonts w:hint="eastAsia"/>
          <w:lang w:val="zh-CN"/>
        </w:rPr>
        <w:t xml:space="preserve"> </w:t>
      </w:r>
      <w:r>
        <w:rPr>
          <w:lang w:val="zh-CN"/>
        </w:rPr>
        <w:t>percolation and evaporation-induced water rising as well as horizontally through soil erosion and surface/subsurface</w:t>
      </w:r>
      <w:r>
        <w:rPr>
          <w:rFonts w:hint="eastAsia"/>
          <w:lang w:val="zh-CN"/>
        </w:rPr>
        <w:t xml:space="preserve"> </w:t>
      </w:r>
      <w:r>
        <w:rPr>
          <w:lang w:val="zh-CN"/>
        </w:rPr>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pPr>
        <w:ind w:firstLine="420"/>
      </w:pPr>
      <w:r>
        <w:t>The nonpoint source input files (e.g., 000010001.hml, 000010000.swq) should be created by user. Following is a brief description of the variables in the daily point source input file.</w:t>
      </w:r>
    </w:p>
    <w:p>
      <w:pPr>
        <w:ind w:firstLine="420"/>
      </w:pPr>
    </w:p>
    <w:p>
      <w:pPr>
        <w:pStyle w:val="5"/>
      </w:pPr>
      <w:r>
        <w:t xml:space="preserve">Table </w:t>
      </w:r>
      <w:r>
        <w:fldChar w:fldCharType="begin"/>
      </w:r>
      <w:r>
        <w:instrText xml:space="preserve"> SEQ Table \* ARABIC </w:instrText>
      </w:r>
      <w:r>
        <w:fldChar w:fldCharType="separate"/>
      </w:r>
      <w:r>
        <w:t>7</w:t>
      </w:r>
      <w:r>
        <w:fldChar w:fldCharType="end"/>
      </w:r>
      <w:r>
        <w:t xml:space="preserve"> - Non-point source data - hml file</w:t>
      </w:r>
    </w:p>
    <w:tbl>
      <w:tblPr>
        <w:tblStyle w:val="12"/>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5815"/>
        <w:gridCol w:w="1326"/>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top w:val="single" w:color="auto" w:sz="12" w:space="0"/>
              <w:left w:val="nil"/>
              <w:bottom w:val="single" w:color="auto" w:sz="12" w:space="0"/>
            </w:tcBorders>
            <w:shd w:val="clear" w:color="auto" w:fill="auto"/>
            <w:vAlign w:val="center"/>
          </w:tcPr>
          <w:p>
            <w:pPr>
              <w:jc w:val="center"/>
              <w:rPr>
                <w:b/>
              </w:rPr>
            </w:pPr>
            <w:r>
              <w:rPr>
                <w:rFonts w:hint="eastAsia"/>
                <w:b/>
              </w:rPr>
              <w:t>Variable</w:t>
            </w:r>
          </w:p>
        </w:tc>
        <w:tc>
          <w:tcPr>
            <w:tcW w:w="3412" w:type="pct"/>
            <w:tcBorders>
              <w:top w:val="single" w:color="auto" w:sz="12" w:space="0"/>
              <w:bottom w:val="single" w:color="auto" w:sz="12" w:space="0"/>
              <w:right w:val="nil"/>
            </w:tcBorders>
            <w:shd w:val="clear" w:color="auto" w:fill="auto"/>
            <w:vAlign w:val="center"/>
          </w:tcPr>
          <w:p>
            <w:pPr>
              <w:jc w:val="center"/>
              <w:rPr>
                <w:b/>
              </w:rPr>
            </w:pPr>
            <w:r>
              <w:rPr>
                <w:rFonts w:hint="eastAsia"/>
                <w:b/>
              </w:rPr>
              <w:t>Definition</w:t>
            </w:r>
          </w:p>
        </w:tc>
        <w:tc>
          <w:tcPr>
            <w:tcW w:w="778" w:type="pct"/>
            <w:tcBorders>
              <w:top w:val="single" w:color="auto" w:sz="12"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top w:val="single" w:color="auto" w:sz="12" w:space="0"/>
              <w:left w:val="nil"/>
            </w:tcBorders>
            <w:shd w:val="clear" w:color="auto" w:fill="auto"/>
            <w:vAlign w:val="center"/>
          </w:tcPr>
          <w:p>
            <w:pPr>
              <w:jc w:val="center"/>
            </w:pPr>
            <w:r>
              <w:rPr>
                <w:rFonts w:hint="eastAsia"/>
              </w:rPr>
              <w:t>ID</w:t>
            </w:r>
          </w:p>
        </w:tc>
        <w:tc>
          <w:tcPr>
            <w:tcW w:w="3412" w:type="pct"/>
            <w:tcBorders>
              <w:top w:val="single" w:color="auto" w:sz="12" w:space="0"/>
              <w:right w:val="nil"/>
            </w:tcBorders>
            <w:shd w:val="clear" w:color="auto" w:fill="auto"/>
            <w:vAlign w:val="center"/>
          </w:tcPr>
          <w:p>
            <w:pPr>
              <w:jc w:val="center"/>
            </w:pPr>
            <w:r>
              <w:rPr>
                <w:rFonts w:hint="eastAsia"/>
              </w:rPr>
              <w:t>Metal</w:t>
            </w:r>
            <w:r>
              <w:t xml:space="preserve"> ID</w:t>
            </w:r>
            <w:r>
              <w:rPr>
                <w:rFonts w:hint="eastAsia"/>
              </w:rPr>
              <w:t xml:space="preserve"> </w:t>
            </w:r>
          </w:p>
        </w:tc>
        <w:tc>
          <w:tcPr>
            <w:tcW w:w="778" w:type="pct"/>
            <w:tcBorders>
              <w:top w:val="single" w:color="auto" w:sz="12" w:space="0"/>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hmfraction</w:t>
            </w:r>
            <w:r>
              <w:rPr>
                <w:vertAlign w:val="superscript"/>
              </w:rPr>
              <w:t>a</w:t>
            </w:r>
          </w:p>
        </w:tc>
        <w:tc>
          <w:tcPr>
            <w:tcW w:w="3412" w:type="pct"/>
            <w:tcBorders>
              <w:right w:val="nil"/>
            </w:tcBorders>
            <w:shd w:val="clear" w:color="auto" w:fill="auto"/>
            <w:vAlign w:val="center"/>
          </w:tcPr>
          <w:p>
            <w:pPr>
              <w:jc w:val="center"/>
            </w:pPr>
            <w:r>
              <w:t xml:space="preserve">fraction of waste rock dumps/tailings area contained in a HRU </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t>hm</w:t>
            </w:r>
            <w:r>
              <w:rPr>
                <w:rFonts w:hint="eastAsia"/>
              </w:rPr>
              <w:t>src</w:t>
            </w:r>
            <w:r>
              <w:rPr>
                <w:vertAlign w:val="superscript"/>
              </w:rPr>
              <w:t>a</w:t>
            </w:r>
          </w:p>
        </w:tc>
        <w:tc>
          <w:tcPr>
            <w:tcW w:w="3412" w:type="pct"/>
            <w:tcBorders>
              <w:right w:val="nil"/>
            </w:tcBorders>
            <w:shd w:val="clear" w:color="auto" w:fill="auto"/>
            <w:vAlign w:val="center"/>
          </w:tcPr>
          <w:p>
            <w:pPr>
              <w:jc w:val="center"/>
            </w:pPr>
            <w:r>
              <w:rPr>
                <w:rFonts w:hint="eastAsia"/>
              </w:rPr>
              <w:t>Source strength</w:t>
            </w:r>
            <w:r>
              <w:t xml:space="preserve"> of the waste rock dumps, tailings after weathering, ready for rain-washing-out (kg/ha)</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hmrock</w:t>
            </w:r>
            <w:r>
              <w:rPr>
                <w:vertAlign w:val="superscript"/>
              </w:rPr>
              <w:t>a</w:t>
            </w:r>
          </w:p>
        </w:tc>
        <w:tc>
          <w:tcPr>
            <w:tcW w:w="3412" w:type="pct"/>
            <w:tcBorders>
              <w:right w:val="nil"/>
            </w:tcBorders>
            <w:shd w:val="clear" w:color="auto" w:fill="auto"/>
            <w:vAlign w:val="center"/>
          </w:tcPr>
          <w:p>
            <w:pPr>
              <w:jc w:val="center"/>
            </w:pPr>
            <w:r>
              <w:t>M</w:t>
            </w:r>
            <w:r>
              <w:rPr>
                <w:rFonts w:hint="eastAsia"/>
              </w:rPr>
              <w:t xml:space="preserve">etal </w:t>
            </w:r>
            <w:r>
              <w:t>in rock to be weathered (kg/ha)</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Sol_M</w:t>
            </w:r>
            <w:r>
              <w:rPr>
                <w:rFonts w:hint="eastAsia"/>
                <w:vertAlign w:val="subscript"/>
              </w:rPr>
              <w:t>l</w:t>
            </w:r>
          </w:p>
        </w:tc>
        <w:tc>
          <w:tcPr>
            <w:tcW w:w="3412" w:type="pct"/>
            <w:tcBorders>
              <w:right w:val="nil"/>
            </w:tcBorders>
            <w:shd w:val="clear" w:color="auto" w:fill="auto"/>
            <w:vAlign w:val="center"/>
          </w:tcPr>
          <w:p>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Sol_M</w:t>
            </w:r>
            <w:r>
              <w:rPr>
                <w:rFonts w:hint="eastAsia"/>
                <w:vertAlign w:val="subscript"/>
              </w:rPr>
              <w:t>n</w:t>
            </w:r>
          </w:p>
        </w:tc>
        <w:tc>
          <w:tcPr>
            <w:tcW w:w="3412" w:type="pct"/>
            <w:tcBorders>
              <w:right w:val="nil"/>
            </w:tcBorders>
            <w:shd w:val="clear" w:color="auto" w:fill="auto"/>
            <w:vAlign w:val="center"/>
          </w:tcPr>
          <w:p>
            <w:pPr>
              <w:jc w:val="center"/>
            </w:pPr>
            <w:r>
              <w:rPr>
                <w:rFonts w:hint="eastAsia"/>
              </w:rPr>
              <w:t>Non-labile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pPr>
              <w:jc w:val="center"/>
            </w:pPr>
            <w:r>
              <w:rPr>
                <w:rFonts w:hint="eastAsia"/>
              </w:rP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rPr>
                <w:rFonts w:ascii="Symbol" w:hAnsi="Symbol"/>
              </w:rPr>
            </w:pPr>
            <w:r>
              <w:rPr>
                <w:rFonts w:ascii="Symbol" w:hAnsi="Symbol"/>
              </w:rPr>
              <w:t></w:t>
            </w:r>
          </w:p>
        </w:tc>
        <w:tc>
          <w:tcPr>
            <w:tcW w:w="3412" w:type="pct"/>
            <w:tcBorders>
              <w:right w:val="nil"/>
            </w:tcBorders>
            <w:shd w:val="clear" w:color="auto" w:fill="auto"/>
            <w:vAlign w:val="center"/>
          </w:tcPr>
          <w:p>
            <w:pPr>
              <w:jc w:val="center"/>
            </w:pPr>
            <w:r>
              <w:t>Enrichment ratio of heavy metal (-)</w:t>
            </w:r>
          </w:p>
        </w:tc>
        <w:tc>
          <w:tcPr>
            <w:tcW w:w="778" w:type="pct"/>
            <w:tcBorders>
              <w:right w:val="nil"/>
            </w:tcBorders>
          </w:tcPr>
          <w:p>
            <w:pPr>
              <w:jc w:val="center"/>
            </w:pPr>
            <w:r>
              <w:t>hml</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810" w:type="pct"/>
            <w:tcBorders>
              <w:left w:val="nil"/>
            </w:tcBorders>
            <w:shd w:val="clear" w:color="auto" w:fill="auto"/>
            <w:vAlign w:val="center"/>
          </w:tcPr>
          <w:p>
            <w:pPr>
              <w:jc w:val="center"/>
            </w:pPr>
            <w:r>
              <w:rPr>
                <w:rFonts w:hint="eastAsia"/>
              </w:rPr>
              <w:t>Sol_pH</w:t>
            </w:r>
          </w:p>
        </w:tc>
        <w:tc>
          <w:tcPr>
            <w:tcW w:w="3412" w:type="pct"/>
            <w:tcBorders>
              <w:right w:val="nil"/>
            </w:tcBorders>
            <w:shd w:val="clear" w:color="auto" w:fill="auto"/>
            <w:vAlign w:val="center"/>
          </w:tcPr>
          <w:p>
            <w:pPr>
              <w:jc w:val="center"/>
            </w:pPr>
            <w:r>
              <w:t>S</w:t>
            </w:r>
            <w:r>
              <w:rPr>
                <w:rFonts w:hint="eastAsia"/>
              </w:rPr>
              <w:t xml:space="preserve">oil </w:t>
            </w:r>
            <w:r>
              <w:t>pH (-)</w:t>
            </w:r>
          </w:p>
        </w:tc>
        <w:tc>
          <w:tcPr>
            <w:tcW w:w="778" w:type="pct"/>
            <w:tcBorders>
              <w:right w:val="nil"/>
            </w:tcBorders>
          </w:tcPr>
          <w:p>
            <w:pPr>
              <w:jc w:val="center"/>
            </w:pPr>
            <w:r>
              <w:rPr>
                <w:rFonts w:hint="eastAsia"/>
              </w:rPr>
              <w:t>.hml</w:t>
            </w:r>
          </w:p>
        </w:tc>
      </w:tr>
    </w:tbl>
    <w:p>
      <w:pPr>
        <w:pStyle w:val="5"/>
        <w:numPr>
          <w:ilvl w:val="0"/>
          <w:numId w:val="3"/>
        </w:numPr>
      </w:pPr>
      <w:r>
        <w:t xml:space="preserve">hmfraction, hmsrc and hmrock are three variables related to the process of metal weathering. In SWAT-HM. The released metals from weathering of waste rocks are added to the labile metal pool in soils. If waste rocks do not exist in HRU, these variables can be set as 0. </w:t>
      </w:r>
    </w:p>
    <w:p/>
    <w:p>
      <w:pPr>
        <w:pStyle w:val="5"/>
      </w:pPr>
      <w:r>
        <w:t xml:space="preserve">Table </w:t>
      </w:r>
      <w:r>
        <w:fldChar w:fldCharType="begin"/>
      </w:r>
      <w:r>
        <w:instrText xml:space="preserve"> SEQ Table \* ARABIC </w:instrText>
      </w:r>
      <w:r>
        <w:fldChar w:fldCharType="separate"/>
      </w:r>
      <w:r>
        <w:t>8</w:t>
      </w:r>
      <w:r>
        <w:fldChar w:fldCharType="end"/>
      </w:r>
      <w:r>
        <w:t xml:space="preserve"> - The file format for the .hml</w:t>
      </w:r>
    </w:p>
    <w:tbl>
      <w:tblPr>
        <w:tblStyle w:val="12"/>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21"/>
        <w:gridCol w:w="1261"/>
        <w:gridCol w:w="1514"/>
        <w:gridCol w:w="1439"/>
        <w:gridCol w:w="2071"/>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rPr>
          <w:trHeight w:val="90" w:hRule="atLeast"/>
          <w:jc w:val="center"/>
        </w:trPr>
        <w:tc>
          <w:tcPr>
            <w:tcW w:w="1216" w:type="pct"/>
            <w:tcBorders>
              <w:top w:val="single" w:color="auto" w:sz="12" w:space="0"/>
            </w:tcBorders>
            <w:shd w:val="clear" w:color="auto" w:fill="auto"/>
            <w:noWrap/>
            <w:vAlign w:val="center"/>
          </w:tcPr>
          <w:p>
            <w:pPr>
              <w:jc w:val="center"/>
            </w:pPr>
            <w:r>
              <w:rPr>
                <w:rFonts w:hint="eastAsia"/>
              </w:rPr>
              <w:t>HML_P1</w:t>
            </w:r>
          </w:p>
        </w:tc>
        <w:tc>
          <w:tcPr>
            <w:tcW w:w="759" w:type="pct"/>
            <w:tcBorders>
              <w:top w:val="single" w:color="auto" w:sz="12" w:space="0"/>
            </w:tcBorders>
          </w:tcPr>
          <w:p>
            <w:pPr>
              <w:jc w:val="center"/>
            </w:pPr>
            <w:r>
              <w:t>3</w:t>
            </w:r>
          </w:p>
        </w:tc>
        <w:tc>
          <w:tcPr>
            <w:tcW w:w="911" w:type="pct"/>
            <w:tcBorders>
              <w:top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rPr>
                <w:rFonts w:hint="eastAsia" w:eastAsia="宋体"/>
                <w:lang w:val="en-US" w:eastAsia="zh-Hans"/>
              </w:rPr>
            </w:pPr>
            <w:r>
              <w:rPr>
                <w:rFonts w:hint="eastAsia"/>
                <w:lang w:val="en-US" w:eastAsia="zh-Hans"/>
              </w:rPr>
              <w:t>i</w:t>
            </w:r>
            <w:r>
              <w:rPr>
                <w:rFonts w:hint="default"/>
                <w:lang w:eastAsia="zh-Hans"/>
              </w:rPr>
              <w:t>10</w:t>
            </w:r>
          </w:p>
        </w:tc>
      </w:tr>
      <w:tr>
        <w:trPr>
          <w:trHeight w:val="270" w:hRule="atLeast"/>
          <w:jc w:val="center"/>
        </w:trPr>
        <w:tc>
          <w:tcPr>
            <w:tcW w:w="1216" w:type="pct"/>
            <w:shd w:val="clear" w:color="auto" w:fill="auto"/>
            <w:noWrap/>
            <w:vAlign w:val="center"/>
          </w:tcPr>
          <w:p>
            <w:pPr>
              <w:jc w:val="center"/>
              <w:rPr>
                <w:rFonts w:ascii="Times New Roman" w:hAnsi="Times New Roman" w:eastAsia="宋体" w:cs="Times New Roman"/>
                <w:kern w:val="2"/>
                <w:sz w:val="24"/>
                <w:szCs w:val="24"/>
                <w:lang w:val="en-US" w:eastAsia="zh-CN" w:bidi="ar-SA"/>
              </w:rPr>
            </w:pPr>
            <w:r>
              <w:rPr>
                <w:rFonts w:hint="eastAsia"/>
              </w:rPr>
              <w:t>HML_P</w:t>
            </w:r>
            <w:r>
              <w:rPr>
                <w:rFonts w:hint="default"/>
              </w:rPr>
              <w:t>2</w:t>
            </w:r>
          </w:p>
        </w:tc>
        <w:tc>
          <w:tcPr>
            <w:tcW w:w="759" w:type="pct"/>
          </w:tcPr>
          <w:p>
            <w:pPr>
              <w:jc w:val="center"/>
            </w:pPr>
            <w:r>
              <w:t>4</w:t>
            </w:r>
          </w:p>
        </w:tc>
        <w:tc>
          <w:tcPr>
            <w:tcW w:w="911" w:type="pct"/>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Pr>
          <w:p>
            <w:pPr>
              <w:jc w:val="center"/>
            </w:pPr>
            <w:r>
              <w:t>float</w:t>
            </w:r>
          </w:p>
        </w:tc>
        <w:tc>
          <w:tcPr>
            <w:tcW w:w="1246" w:type="pct"/>
          </w:tcPr>
          <w:p>
            <w:pPr>
              <w:jc w:val="center"/>
            </w:pPr>
            <w:r>
              <w:rPr>
                <w:rFonts w:hint="eastAsia"/>
                <w:lang w:val="en-US" w:eastAsia="zh-Hans"/>
              </w:rPr>
              <w:t>f</w:t>
            </w:r>
            <w:r>
              <w:t>3</w:t>
            </w:r>
            <w:r>
              <w:t>.</w:t>
            </w:r>
            <w:r>
              <w:t>6</w:t>
            </w:r>
          </w:p>
        </w:tc>
      </w:tr>
      <w:tr>
        <w:trPr>
          <w:trHeight w:val="270" w:hRule="atLeast"/>
          <w:jc w:val="center"/>
        </w:trPr>
        <w:tc>
          <w:tcPr>
            <w:tcW w:w="1216" w:type="pct"/>
            <w:shd w:val="clear" w:color="auto" w:fill="auto"/>
            <w:noWrap/>
            <w:vAlign w:val="center"/>
          </w:tcPr>
          <w:p>
            <w:pPr>
              <w:jc w:val="center"/>
              <w:rPr>
                <w:rFonts w:ascii="Times New Roman" w:hAnsi="Times New Roman" w:eastAsia="宋体" w:cs="Times New Roman"/>
                <w:kern w:val="2"/>
                <w:sz w:val="24"/>
                <w:szCs w:val="24"/>
                <w:lang w:val="en-US" w:eastAsia="zh-CN" w:bidi="ar-SA"/>
              </w:rPr>
            </w:pPr>
            <w:r>
              <w:rPr>
                <w:rFonts w:hint="eastAsia"/>
              </w:rPr>
              <w:t>HML_P</w:t>
            </w:r>
            <w:r>
              <w:rPr>
                <w:rFonts w:hint="default"/>
              </w:rPr>
              <w:t>3</w:t>
            </w:r>
          </w:p>
        </w:tc>
        <w:tc>
          <w:tcPr>
            <w:tcW w:w="759" w:type="pct"/>
          </w:tcPr>
          <w:p>
            <w:pPr>
              <w:jc w:val="center"/>
            </w:pPr>
            <w:r>
              <w:t>5</w:t>
            </w:r>
          </w:p>
        </w:tc>
        <w:tc>
          <w:tcPr>
            <w:tcW w:w="911" w:type="pct"/>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Pr>
          <w:p>
            <w:pPr>
              <w:jc w:val="center"/>
            </w:pPr>
            <w:r>
              <w:t>float</w:t>
            </w:r>
          </w:p>
        </w:tc>
        <w:tc>
          <w:tcPr>
            <w:tcW w:w="1246" w:type="pct"/>
          </w:tcPr>
          <w:p>
            <w:pPr>
              <w:jc w:val="center"/>
            </w:pPr>
            <w:r>
              <w:rPr>
                <w:rFonts w:hint="eastAsia"/>
                <w:lang w:val="en-US" w:eastAsia="zh-Hans"/>
              </w:rPr>
              <w:t>f</w:t>
            </w:r>
            <w:r>
              <w:rPr>
                <w:rFonts w:hint="default"/>
                <w:lang w:eastAsia="zh-Hans"/>
              </w:rPr>
              <w:t>6</w:t>
            </w:r>
            <w:r>
              <w:t>.</w:t>
            </w:r>
            <w:r>
              <w:t>3</w:t>
            </w:r>
          </w:p>
        </w:tc>
      </w:tr>
      <w:tr>
        <w:trPr>
          <w:trHeight w:val="270" w:hRule="atLeast"/>
          <w:jc w:val="center"/>
        </w:trPr>
        <w:tc>
          <w:tcPr>
            <w:tcW w:w="1216" w:type="pct"/>
            <w:shd w:val="clear" w:color="auto" w:fill="auto"/>
            <w:noWrap/>
            <w:vAlign w:val="center"/>
          </w:tcPr>
          <w:p>
            <w:pPr>
              <w:jc w:val="center"/>
              <w:rPr>
                <w:rFonts w:ascii="Times New Roman" w:hAnsi="Times New Roman" w:eastAsia="宋体" w:cs="Times New Roman"/>
                <w:kern w:val="2"/>
                <w:sz w:val="24"/>
                <w:szCs w:val="24"/>
                <w:lang w:val="en-US" w:eastAsia="zh-CN" w:bidi="ar-SA"/>
              </w:rPr>
            </w:pPr>
            <w:r>
              <w:rPr>
                <w:rFonts w:hint="eastAsia"/>
              </w:rPr>
              <w:t>HML_P</w:t>
            </w:r>
            <w:r>
              <w:rPr>
                <w:rFonts w:hint="default"/>
              </w:rPr>
              <w:t>4</w:t>
            </w:r>
          </w:p>
        </w:tc>
        <w:tc>
          <w:tcPr>
            <w:tcW w:w="759" w:type="pct"/>
          </w:tcPr>
          <w:p>
            <w:pPr>
              <w:jc w:val="center"/>
            </w:pPr>
            <w:r>
              <w:t>6</w:t>
            </w:r>
          </w:p>
        </w:tc>
        <w:tc>
          <w:tcPr>
            <w:tcW w:w="911" w:type="pct"/>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Pr>
          <w:p>
            <w:pPr>
              <w:jc w:val="center"/>
            </w:pPr>
            <w:r>
              <w:t>float</w:t>
            </w:r>
          </w:p>
        </w:tc>
        <w:tc>
          <w:tcPr>
            <w:tcW w:w="1246" w:type="pct"/>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bottom w:val="single" w:color="auto" w:sz="6" w:space="0"/>
            </w:tcBorders>
            <w:shd w:val="clear" w:color="auto" w:fill="auto"/>
            <w:noWrap/>
            <w:vAlign w:val="center"/>
          </w:tcPr>
          <w:p>
            <w:pPr>
              <w:jc w:val="center"/>
              <w:rPr>
                <w:rFonts w:ascii="Times New Roman" w:hAnsi="Times New Roman" w:eastAsia="宋体" w:cs="Times New Roman"/>
                <w:kern w:val="2"/>
                <w:sz w:val="24"/>
                <w:szCs w:val="24"/>
                <w:lang w:val="en-US" w:eastAsia="zh-CN" w:bidi="ar-SA"/>
              </w:rPr>
            </w:pPr>
            <w:r>
              <w:rPr>
                <w:rFonts w:hint="eastAsia"/>
              </w:rPr>
              <w:t>HML_P</w:t>
            </w:r>
            <w:r>
              <w:rPr>
                <w:rFonts w:hint="default"/>
              </w:rPr>
              <w:t>5</w:t>
            </w:r>
          </w:p>
        </w:tc>
        <w:tc>
          <w:tcPr>
            <w:tcW w:w="759" w:type="pct"/>
            <w:tcBorders>
              <w:bottom w:val="single" w:color="auto" w:sz="6" w:space="0"/>
            </w:tcBorders>
          </w:tcPr>
          <w:p>
            <w:pPr>
              <w:jc w:val="center"/>
            </w:pPr>
            <w:r>
              <w:t>7</w:t>
            </w:r>
          </w:p>
        </w:tc>
        <w:tc>
          <w:tcPr>
            <w:tcW w:w="911" w:type="pct"/>
            <w:tcBorders>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bottom w:val="single" w:color="auto" w:sz="6" w:space="0"/>
            </w:tcBorders>
          </w:tcPr>
          <w:p>
            <w:pPr>
              <w:jc w:val="center"/>
            </w:pPr>
            <w:r>
              <w:t>float</w:t>
            </w:r>
          </w:p>
        </w:tc>
        <w:tc>
          <w:tcPr>
            <w:tcW w:w="1246" w:type="pct"/>
            <w:tcBorders>
              <w:bottom w:val="single" w:color="auto" w:sz="6" w:space="0"/>
            </w:tcBorders>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ascii="Times New Roman" w:hAnsi="Times New Roman" w:eastAsia="宋体" w:cs="Times New Roman"/>
                <w:kern w:val="2"/>
                <w:sz w:val="24"/>
                <w:szCs w:val="24"/>
                <w:lang w:val="en-US" w:eastAsia="zh-CN" w:bidi="ar-SA"/>
              </w:rPr>
            </w:pPr>
            <w:r>
              <w:rPr>
                <w:rFonts w:hint="eastAsia"/>
              </w:rPr>
              <w:t>HML_P</w:t>
            </w:r>
            <w:r>
              <w:rPr>
                <w:rFonts w:hint="default"/>
              </w:rPr>
              <w:t>6</w:t>
            </w:r>
          </w:p>
        </w:tc>
        <w:tc>
          <w:tcPr>
            <w:tcW w:w="759" w:type="pct"/>
            <w:tcBorders>
              <w:top w:val="single" w:color="auto" w:sz="6" w:space="0"/>
              <w:bottom w:val="single" w:color="auto" w:sz="6" w:space="0"/>
            </w:tcBorders>
          </w:tcPr>
          <w:p>
            <w:pPr>
              <w:jc w:val="center"/>
            </w:pPr>
            <w:r>
              <w:t>8</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ascii="Times New Roman" w:hAnsi="Times New Roman" w:eastAsia="宋体" w:cs="Times New Roman"/>
                <w:kern w:val="2"/>
                <w:sz w:val="24"/>
                <w:szCs w:val="24"/>
                <w:lang w:val="en-US" w:eastAsia="zh-CN" w:bidi="ar-SA"/>
              </w:rPr>
            </w:pPr>
            <w:r>
              <w:rPr>
                <w:rFonts w:hint="eastAsia"/>
              </w:rPr>
              <w:t>HML_P</w:t>
            </w:r>
            <w:r>
              <w:rPr>
                <w:rFonts w:hint="default"/>
              </w:rPr>
              <w:t>8</w:t>
            </w:r>
          </w:p>
        </w:tc>
        <w:tc>
          <w:tcPr>
            <w:tcW w:w="759" w:type="pct"/>
            <w:tcBorders>
              <w:top w:val="single" w:color="auto" w:sz="6" w:space="0"/>
              <w:bottom w:val="single" w:color="auto" w:sz="6" w:space="0"/>
            </w:tcBorders>
          </w:tcPr>
          <w:p>
            <w:pPr>
              <w:jc w:val="center"/>
            </w:pPr>
            <w:r>
              <w:t>9</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ascii="Times New Roman" w:hAnsi="Times New Roman" w:eastAsia="宋体" w:cs="Times New Roman"/>
                <w:kern w:val="2"/>
                <w:sz w:val="24"/>
                <w:szCs w:val="24"/>
                <w:lang w:val="en-US" w:eastAsia="zh-CN" w:bidi="ar-SA"/>
              </w:rPr>
            </w:pPr>
            <w:r>
              <w:rPr>
                <w:rFonts w:hint="eastAsia"/>
              </w:rPr>
              <w:t>HML_P</w:t>
            </w:r>
            <w:r>
              <w:rPr>
                <w:rFonts w:hint="default"/>
              </w:rPr>
              <w:t>9</w:t>
            </w:r>
          </w:p>
        </w:tc>
        <w:tc>
          <w:tcPr>
            <w:tcW w:w="759" w:type="pct"/>
            <w:tcBorders>
              <w:top w:val="single" w:color="auto" w:sz="6" w:space="0"/>
              <w:bottom w:val="single" w:color="auto" w:sz="6" w:space="0"/>
            </w:tcBorders>
          </w:tcPr>
          <w:p>
            <w:pPr>
              <w:jc w:val="center"/>
              <w:rPr>
                <w:rFonts w:hint="eastAsia"/>
              </w:rPr>
            </w:pPr>
            <w:r>
              <w:rPr>
                <w:rFonts w:hint="default"/>
              </w:rPr>
              <w:t>10</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ascii="Times New Roman" w:hAnsi="Times New Roman" w:eastAsia="宋体" w:cs="Times New Roman"/>
                <w:kern w:val="2"/>
                <w:sz w:val="24"/>
                <w:szCs w:val="24"/>
                <w:lang w:val="en-US" w:eastAsia="zh-CN" w:bidi="ar-SA"/>
              </w:rPr>
            </w:pPr>
            <w:r>
              <w:rPr>
                <w:rFonts w:hint="eastAsia"/>
              </w:rPr>
              <w:t>HML_P</w:t>
            </w:r>
            <w:r>
              <w:rPr>
                <w:rFonts w:hint="default"/>
              </w:rPr>
              <w:t>10</w:t>
            </w:r>
          </w:p>
        </w:tc>
        <w:tc>
          <w:tcPr>
            <w:tcW w:w="759" w:type="pct"/>
            <w:tcBorders>
              <w:top w:val="single" w:color="auto" w:sz="6" w:space="0"/>
              <w:bottom w:val="single" w:color="auto" w:sz="6" w:space="0"/>
            </w:tcBorders>
          </w:tcPr>
          <w:p>
            <w:pPr>
              <w:jc w:val="center"/>
              <w:rPr>
                <w:rFonts w:hint="eastAsia"/>
              </w:rPr>
            </w:pPr>
            <w:r>
              <w:rPr>
                <w:rFonts w:hint="default"/>
              </w:rPr>
              <w:t>11</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top w:val="single" w:color="auto" w:sz="6" w:space="0"/>
              <w:bottom w:val="single" w:color="auto" w:sz="6" w:space="0"/>
            </w:tcBorders>
            <w:shd w:val="clear" w:color="auto" w:fill="auto"/>
            <w:noWrap/>
            <w:vAlign w:val="center"/>
          </w:tcPr>
          <w:p>
            <w:pPr>
              <w:jc w:val="center"/>
              <w:rPr>
                <w:rFonts w:hint="eastAsia" w:ascii="Times New Roman" w:hAnsi="Times New Roman" w:eastAsia="宋体" w:cs="Times New Roman"/>
                <w:kern w:val="2"/>
                <w:sz w:val="24"/>
                <w:szCs w:val="24"/>
                <w:lang w:val="en-US" w:eastAsia="zh-CN" w:bidi="ar-SA"/>
              </w:rPr>
            </w:pPr>
            <w:r>
              <w:rPr>
                <w:rFonts w:hint="eastAsia"/>
              </w:rPr>
              <w:t>HML_P1</w:t>
            </w:r>
            <w:r>
              <w:rPr>
                <w:rFonts w:hint="default"/>
              </w:rPr>
              <w:t>1</w:t>
            </w:r>
          </w:p>
        </w:tc>
        <w:tc>
          <w:tcPr>
            <w:tcW w:w="759" w:type="pct"/>
            <w:tcBorders>
              <w:top w:val="single" w:color="auto" w:sz="6" w:space="0"/>
              <w:bottom w:val="single" w:color="auto" w:sz="6" w:space="0"/>
            </w:tcBorders>
          </w:tcPr>
          <w:p>
            <w:pPr>
              <w:jc w:val="center"/>
              <w:rPr>
                <w:rFonts w:hint="eastAsia"/>
              </w:rPr>
            </w:pPr>
            <w:r>
              <w:rPr>
                <w:rFonts w:hint="default"/>
              </w:rPr>
              <w:t>12</w:t>
            </w:r>
          </w:p>
        </w:tc>
        <w:tc>
          <w:tcPr>
            <w:tcW w:w="911" w:type="pct"/>
            <w:tcBorders>
              <w:top w:val="single" w:color="auto" w:sz="6" w:space="0"/>
              <w:bottom w:val="single" w:color="auto" w:sz="6"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6" w:space="0"/>
              <w:bottom w:val="single" w:color="auto" w:sz="6" w:space="0"/>
            </w:tcBorders>
          </w:tcPr>
          <w:p>
            <w:pPr>
              <w:jc w:val="center"/>
            </w:pPr>
            <w:r>
              <w:t>float</w:t>
            </w:r>
          </w:p>
        </w:tc>
        <w:tc>
          <w:tcPr>
            <w:tcW w:w="1246" w:type="pct"/>
            <w:tcBorders>
              <w:top w:val="single" w:color="auto" w:sz="6" w:space="0"/>
              <w:bottom w:val="single" w:color="auto" w:sz="6" w:space="0"/>
            </w:tcBorders>
          </w:tcPr>
          <w:p>
            <w:pPr>
              <w:jc w:val="center"/>
            </w:pPr>
            <w:r>
              <w:rPr>
                <w:rFonts w:hint="eastAsia"/>
                <w:lang w:val="en-US" w:eastAsia="zh-Hans"/>
              </w:rPr>
              <w:t>f</w:t>
            </w:r>
            <w:r>
              <w:rPr>
                <w:rFonts w:hint="default"/>
                <w:lang w:eastAsia="zh-Hans"/>
              </w:rPr>
              <w:t>6</w:t>
            </w:r>
            <w:r>
              <w:t>.3</w:t>
            </w:r>
          </w:p>
        </w:tc>
      </w:tr>
      <w:tr>
        <w:trPr>
          <w:trHeight w:val="270" w:hRule="atLeast"/>
          <w:jc w:val="center"/>
        </w:trPr>
        <w:tc>
          <w:tcPr>
            <w:tcW w:w="1216" w:type="pct"/>
            <w:tcBorders>
              <w:top w:val="single" w:color="auto" w:sz="6" w:space="0"/>
              <w:bottom w:val="single" w:color="auto" w:sz="12" w:space="0"/>
            </w:tcBorders>
            <w:shd w:val="clear" w:color="auto" w:fill="auto"/>
            <w:noWrap/>
            <w:vAlign w:val="center"/>
          </w:tcPr>
          <w:p>
            <w:pPr>
              <w:jc w:val="center"/>
              <w:rPr>
                <w:rFonts w:hint="eastAsia" w:ascii="Times New Roman" w:hAnsi="Times New Roman" w:eastAsia="宋体" w:cs="Times New Roman"/>
                <w:kern w:val="2"/>
                <w:sz w:val="24"/>
                <w:szCs w:val="24"/>
                <w:lang w:val="en-US" w:eastAsia="zh-CN" w:bidi="ar-SA"/>
              </w:rPr>
            </w:pPr>
            <w:r>
              <w:rPr>
                <w:rFonts w:hint="eastAsia"/>
              </w:rPr>
              <w:t>HML_P</w:t>
            </w:r>
            <w:r>
              <w:rPr>
                <w:rFonts w:hint="default"/>
              </w:rPr>
              <w:t>12</w:t>
            </w:r>
          </w:p>
        </w:tc>
        <w:tc>
          <w:tcPr>
            <w:tcW w:w="759" w:type="pct"/>
            <w:tcBorders>
              <w:top w:val="single" w:color="auto" w:sz="6" w:space="0"/>
              <w:bottom w:val="single" w:color="auto" w:sz="12" w:space="0"/>
            </w:tcBorders>
          </w:tcPr>
          <w:p>
            <w:pPr>
              <w:jc w:val="center"/>
              <w:rPr>
                <w:rFonts w:hint="eastAsia"/>
              </w:rPr>
            </w:pPr>
            <w:r>
              <w:rPr>
                <w:rFonts w:hint="default"/>
              </w:rPr>
              <w:t>13</w:t>
            </w:r>
          </w:p>
        </w:tc>
        <w:tc>
          <w:tcPr>
            <w:tcW w:w="911" w:type="pct"/>
            <w:tcBorders>
              <w:top w:val="single" w:color="auto" w:sz="6" w:space="0"/>
              <w:bottom w:val="single" w:color="auto" w:sz="12" w:space="0"/>
            </w:tcBorders>
            <w:vAlign w:val="top"/>
          </w:tcPr>
          <w:p>
            <w:pPr>
              <w:jc w:val="center"/>
              <w:rPr>
                <w:rFonts w:ascii="Times New Roman" w:hAnsi="Times New Roman" w:eastAsia="宋体" w:cs="Times New Roman"/>
                <w:kern w:val="2"/>
                <w:sz w:val="24"/>
                <w:szCs w:val="24"/>
                <w:lang w:val="en-US" w:eastAsia="zh-CN" w:bidi="ar-SA"/>
              </w:rPr>
            </w:pPr>
            <w:r>
              <w:t>Space1-10</w:t>
            </w:r>
          </w:p>
        </w:tc>
        <w:tc>
          <w:tcPr>
            <w:tcW w:w="866" w:type="pct"/>
            <w:tcBorders>
              <w:top w:val="single" w:color="auto" w:sz="6" w:space="0"/>
              <w:bottom w:val="single" w:color="auto" w:sz="12" w:space="0"/>
            </w:tcBorders>
          </w:tcPr>
          <w:p>
            <w:pPr>
              <w:jc w:val="center"/>
            </w:pPr>
            <w:r>
              <w:t>float</w:t>
            </w:r>
          </w:p>
        </w:tc>
        <w:tc>
          <w:tcPr>
            <w:tcW w:w="1246" w:type="pct"/>
            <w:tcBorders>
              <w:top w:val="single" w:color="auto" w:sz="6" w:space="0"/>
              <w:bottom w:val="single" w:color="auto" w:sz="12" w:space="0"/>
            </w:tcBorders>
          </w:tcPr>
          <w:p>
            <w:pPr>
              <w:jc w:val="center"/>
            </w:pPr>
            <w:r>
              <w:rPr>
                <w:rFonts w:hint="eastAsia"/>
                <w:lang w:val="en-US" w:eastAsia="zh-Hans"/>
              </w:rPr>
              <w:t>f</w:t>
            </w:r>
            <w:r>
              <w:rPr>
                <w:rFonts w:hint="default"/>
                <w:lang w:eastAsia="zh-Hans"/>
              </w:rPr>
              <w:t>6</w:t>
            </w:r>
            <w:r>
              <w:t>.3</w:t>
            </w:r>
          </w:p>
        </w:tc>
      </w:tr>
    </w:tbl>
    <w:p>
      <w:pPr>
        <w:widowControl/>
        <w:jc w:val="left"/>
      </w:pPr>
      <w:r>
        <w:br w:type="page"/>
      </w:r>
    </w:p>
    <w:p>
      <w:pPr>
        <w:pStyle w:val="4"/>
        <w:ind w:left="496" w:hanging="496"/>
      </w:pPr>
      <w:r>
        <w:t>Swq files</w:t>
      </w:r>
    </w:p>
    <w:p>
      <w:pPr>
        <w:pStyle w:val="5"/>
      </w:pPr>
      <w:r>
        <w:t xml:space="preserve">Table </w:t>
      </w:r>
      <w:r>
        <w:fldChar w:fldCharType="begin"/>
      </w:r>
      <w:r>
        <w:instrText xml:space="preserve"> SEQ Table \* ARABIC </w:instrText>
      </w:r>
      <w:r>
        <w:fldChar w:fldCharType="separate"/>
      </w:r>
      <w:r>
        <w:t>9</w:t>
      </w:r>
      <w:r>
        <w:fldChar w:fldCharType="end"/>
      </w:r>
      <w:r>
        <w:t xml:space="preserve"> - Non-point source data - swq file</w:t>
      </w:r>
    </w:p>
    <w:tbl>
      <w:tblPr>
        <w:tblStyle w:val="12"/>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5459"/>
        <w:gridCol w:w="1217"/>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top w:val="single" w:color="auto" w:sz="12" w:space="0"/>
              <w:left w:val="nil"/>
              <w:bottom w:val="single" w:color="auto" w:sz="12" w:space="0"/>
            </w:tcBorders>
          </w:tcPr>
          <w:p>
            <w:pPr>
              <w:jc w:val="center"/>
              <w:rPr>
                <w:b/>
              </w:rPr>
            </w:pPr>
          </w:p>
        </w:tc>
        <w:tc>
          <w:tcPr>
            <w:tcW w:w="3262"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773"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rPr>
                <w:rFonts w:hint="eastAsia"/>
              </w:rPr>
              <w:t>Sed_M</w:t>
            </w:r>
            <w:r>
              <w:rPr>
                <w:rFonts w:hint="eastAsia"/>
                <w:vertAlign w:val="subscript"/>
              </w:rPr>
              <w:t>l</w:t>
            </w:r>
          </w:p>
        </w:tc>
        <w:tc>
          <w:tcPr>
            <w:tcW w:w="3262" w:type="pct"/>
            <w:tcBorders>
              <w:left w:val="nil"/>
              <w:right w:val="single" w:color="auto" w:sz="4" w:space="0"/>
            </w:tcBorders>
            <w:shd w:val="clear" w:color="auto" w:fill="auto"/>
            <w:vAlign w:val="center"/>
          </w:tcPr>
          <w:p>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rPr>
                <w:rFonts w:hint="eastAsia"/>
              </w:rPr>
              <w:t>Sed_M</w:t>
            </w:r>
            <w:r>
              <w:rPr>
                <w:rFonts w:hint="eastAsia"/>
                <w:vertAlign w:val="subscript"/>
              </w:rPr>
              <w:t>n</w:t>
            </w:r>
          </w:p>
        </w:tc>
        <w:tc>
          <w:tcPr>
            <w:tcW w:w="3262" w:type="pct"/>
            <w:tcBorders>
              <w:left w:val="nil"/>
              <w:right w:val="single" w:color="auto" w:sz="4" w:space="0"/>
            </w:tcBorders>
            <w:shd w:val="clear" w:color="auto" w:fill="auto"/>
            <w:vAlign w:val="center"/>
          </w:tcPr>
          <w:p>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t>Sed_HML_STL</w:t>
            </w:r>
            <w:r>
              <w:rPr>
                <w:vertAlign w:val="superscript"/>
              </w:rPr>
              <w:t>a</w:t>
            </w:r>
          </w:p>
        </w:tc>
        <w:tc>
          <w:tcPr>
            <w:tcW w:w="3262" w:type="pct"/>
            <w:tcBorders>
              <w:left w:val="nil"/>
              <w:right w:val="single" w:color="auto" w:sz="4" w:space="0"/>
            </w:tcBorders>
            <w:shd w:val="clear" w:color="auto" w:fill="auto"/>
            <w:vAlign w:val="center"/>
          </w:tcPr>
          <w:p>
            <w:pPr>
              <w:jc w:val="center"/>
            </w:pPr>
            <w:r>
              <w:t>Settling velocity for Heavy Metal (m/d)</w:t>
            </w:r>
          </w:p>
        </w:tc>
        <w:tc>
          <w:tcPr>
            <w:tcW w:w="773" w:type="pct"/>
            <w:tcBorders>
              <w:left w:val="single" w:color="auto" w:sz="4" w:space="0"/>
              <w:right w:val="nil"/>
            </w:tcBorders>
          </w:tcPr>
          <w:p>
            <w:pPr>
              <w:jc w:val="center"/>
            </w:pPr>
            <w:r>
              <w:rPr>
                <w:rFonts w:hint="eastAsia"/>
              </w:rPr>
              <w:t>.</w:t>
            </w:r>
            <w: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t>Sed_HML_RSP</w:t>
            </w:r>
            <w:r>
              <w:rPr>
                <w:vertAlign w:val="superscript"/>
              </w:rPr>
              <w:t>a</w:t>
            </w:r>
          </w:p>
        </w:tc>
        <w:tc>
          <w:tcPr>
            <w:tcW w:w="3262" w:type="pct"/>
            <w:tcBorders>
              <w:left w:val="nil"/>
              <w:right w:val="single" w:color="auto" w:sz="4" w:space="0"/>
            </w:tcBorders>
            <w:shd w:val="clear" w:color="auto" w:fill="auto"/>
            <w:vAlign w:val="center"/>
          </w:tcPr>
          <w:p>
            <w:pPr>
              <w:jc w:val="center"/>
            </w:pPr>
            <w:r>
              <w:t>Resuspension velocity for Heavy Metal (m/d)</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tcBorders>
          </w:tcPr>
          <w:p>
            <w:pPr>
              <w:jc w:val="center"/>
            </w:pPr>
            <w:r>
              <w:t>Sed_HML_MIX</w:t>
            </w:r>
          </w:p>
        </w:tc>
        <w:tc>
          <w:tcPr>
            <w:tcW w:w="3262" w:type="pct"/>
            <w:tcBorders>
              <w:left w:val="nil"/>
              <w:right w:val="single" w:color="auto" w:sz="4" w:space="0"/>
            </w:tcBorders>
            <w:shd w:val="clear" w:color="auto" w:fill="auto"/>
            <w:vAlign w:val="center"/>
          </w:tcPr>
          <w:p>
            <w:pPr>
              <w:jc w:val="center"/>
            </w:pPr>
            <w:r>
              <w:t>Mixing velocity for Heavy Metal (m/d)</w:t>
            </w:r>
          </w:p>
        </w:tc>
        <w:tc>
          <w:tcPr>
            <w:tcW w:w="773" w:type="pct"/>
            <w:tcBorders>
              <w:left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bottom w:val="single" w:color="auto" w:sz="4" w:space="0"/>
            </w:tcBorders>
          </w:tcPr>
          <w:p>
            <w:pPr>
              <w:jc w:val="center"/>
            </w:pPr>
            <w:r>
              <w:t>Sed_HML_BRY</w:t>
            </w:r>
          </w:p>
        </w:tc>
        <w:tc>
          <w:tcPr>
            <w:tcW w:w="3262" w:type="pct"/>
            <w:tcBorders>
              <w:left w:val="nil"/>
              <w:bottom w:val="single" w:color="auto" w:sz="4" w:space="0"/>
              <w:right w:val="single" w:color="auto" w:sz="4" w:space="0"/>
            </w:tcBorders>
            <w:shd w:val="clear" w:color="auto" w:fill="auto"/>
            <w:vAlign w:val="center"/>
          </w:tcPr>
          <w:p>
            <w:pPr>
              <w:jc w:val="center"/>
            </w:pPr>
            <w:r>
              <w:t>Burial velocity for Heavy Metal (m/d)</w:t>
            </w:r>
          </w:p>
        </w:tc>
        <w:tc>
          <w:tcPr>
            <w:tcW w:w="773" w:type="pct"/>
            <w:tcBorders>
              <w:left w:val="single" w:color="auto" w:sz="4" w:space="0"/>
              <w:bottom w:val="single" w:color="auto" w:sz="4" w:space="0"/>
              <w:right w:val="nil"/>
            </w:tcBorders>
          </w:tcPr>
          <w:p>
            <w:pPr>
              <w:jc w:val="center"/>
            </w:pPr>
            <w:r>
              <w:rPr>
                <w:rFonts w:hint="eastAsia"/>
              </w:rPr>
              <w:t>.swq</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965" w:type="pct"/>
            <w:tcBorders>
              <w:left w:val="nil"/>
              <w:bottom w:val="single" w:color="auto" w:sz="12" w:space="0"/>
            </w:tcBorders>
          </w:tcPr>
          <w:p>
            <w:pPr>
              <w:jc w:val="center"/>
            </w:pPr>
            <w:r>
              <w:t>Sed_</w:t>
            </w:r>
            <w:r>
              <w:rPr>
                <w:rFonts w:hint="eastAsia"/>
              </w:rPr>
              <w:t>HML_ACT</w:t>
            </w:r>
          </w:p>
        </w:tc>
        <w:tc>
          <w:tcPr>
            <w:tcW w:w="3262" w:type="pct"/>
            <w:tcBorders>
              <w:left w:val="nil"/>
              <w:bottom w:val="single" w:color="auto" w:sz="12" w:space="0"/>
              <w:right w:val="single" w:color="auto" w:sz="4" w:space="0"/>
            </w:tcBorders>
            <w:shd w:val="clear" w:color="auto" w:fill="auto"/>
            <w:vAlign w:val="center"/>
          </w:tcPr>
          <w:p>
            <w:pPr>
              <w:jc w:val="center"/>
            </w:pPr>
            <w:r>
              <w:t>Depth of active sediment layer for heavy metal (m)</w:t>
            </w:r>
          </w:p>
        </w:tc>
        <w:tc>
          <w:tcPr>
            <w:tcW w:w="773" w:type="pct"/>
            <w:tcBorders>
              <w:left w:val="single" w:color="auto" w:sz="4" w:space="0"/>
              <w:bottom w:val="single" w:color="auto" w:sz="12" w:space="0"/>
              <w:right w:val="nil"/>
            </w:tcBorders>
          </w:tcPr>
          <w:p>
            <w:pPr>
              <w:jc w:val="center"/>
            </w:pPr>
            <w:r>
              <w:rPr>
                <w:rFonts w:hint="eastAsia"/>
              </w:rPr>
              <w:t>swq</w:t>
            </w:r>
          </w:p>
        </w:tc>
      </w:tr>
    </w:tbl>
    <w:p>
      <w:pPr>
        <w:pStyle w:val="5"/>
        <w:numPr>
          <w:ilvl w:val="0"/>
          <w:numId w:val="4"/>
        </w:numPr>
      </w:pPr>
      <w:r>
        <w:t xml:space="preserve">Sed_HML_STL and Sed_HML_RSP are the settling velocity and resuspension velocity of Heavy Metal, respectively. In the current version of SWAT, if you have the sediment data to calibrate the soil erosion process, these two parameters will not be used any more. </w:t>
      </w:r>
    </w:p>
    <w:p>
      <w:pPr>
        <w:rPr>
          <w:rFonts w:hint="eastAsia"/>
        </w:rPr>
      </w:pPr>
    </w:p>
    <w:p>
      <w:pPr>
        <w:pStyle w:val="5"/>
      </w:pPr>
      <w:r>
        <w:t xml:space="preserve">Table </w:t>
      </w:r>
      <w:r>
        <w:fldChar w:fldCharType="begin"/>
      </w:r>
      <w:r>
        <w:instrText xml:space="preserve"> SEQ Table \* ARABIC </w:instrText>
      </w:r>
      <w:r>
        <w:fldChar w:fldCharType="separate"/>
      </w:r>
      <w:r>
        <w:t>10</w:t>
      </w:r>
      <w:r>
        <w:fldChar w:fldCharType="end"/>
      </w:r>
      <w:r>
        <w:t xml:space="preserve"> - The format of the .swq file</w:t>
      </w:r>
    </w:p>
    <w:tbl>
      <w:tblPr>
        <w:tblStyle w:val="12"/>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3216"/>
        <w:gridCol w:w="962"/>
        <w:gridCol w:w="1229"/>
        <w:gridCol w:w="1126"/>
        <w:gridCol w:w="1773"/>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top"/>
          </w:tcPr>
          <w:p>
            <w:pPr>
              <w:jc w:val="center"/>
              <w:rPr>
                <w:i/>
              </w:rPr>
            </w:pPr>
            <w:r>
              <w:t>Sed_HML_STL</w:t>
            </w:r>
            <w:r>
              <w:rPr>
                <w:vertAlign w:val="superscript"/>
              </w:rPr>
              <w:t>a</w:t>
            </w:r>
          </w:p>
        </w:tc>
        <w:tc>
          <w:tcPr>
            <w:tcW w:w="759" w:type="pct"/>
            <w:tcBorders>
              <w:top w:val="single" w:color="auto" w:sz="12" w:space="0"/>
            </w:tcBorders>
          </w:tcPr>
          <w:p>
            <w:pPr>
              <w:jc w:val="center"/>
            </w:pPr>
            <w:r>
              <w:t>32</w:t>
            </w:r>
          </w:p>
        </w:tc>
        <w:tc>
          <w:tcPr>
            <w:tcW w:w="911" w:type="pct"/>
            <w:tcBorders>
              <w:top w:val="single" w:color="auto" w:sz="12" w:space="0"/>
            </w:tcBorders>
          </w:tcPr>
          <w:p>
            <w:pPr>
              <w:jc w:val="center"/>
            </w:pPr>
            <w:r>
              <w:t>Space1-1</w:t>
            </w:r>
            <w:r>
              <w:t>5</w:t>
            </w:r>
          </w:p>
        </w:tc>
        <w:tc>
          <w:tcPr>
            <w:tcW w:w="866" w:type="pct"/>
            <w:tcBorders>
              <w:top w:val="single" w:color="auto" w:sz="12" w:space="0"/>
            </w:tcBorders>
          </w:tcPr>
          <w:p>
            <w:pPr>
              <w:jc w:val="center"/>
              <w:rPr>
                <w:rFonts w:hint="eastAsia" w:eastAsia="宋体"/>
                <w:lang w:val="en-US" w:eastAsia="zh-Hans"/>
              </w:rPr>
            </w:pPr>
            <w:r>
              <w:rPr>
                <w:rFonts w:hint="eastAsia"/>
                <w:lang w:val="en-US" w:eastAsia="zh-Hans"/>
              </w:rPr>
              <w:t>float</w:t>
            </w:r>
          </w:p>
        </w:tc>
        <w:tc>
          <w:tcPr>
            <w:tcW w:w="1246" w:type="pct"/>
            <w:tcBorders>
              <w:top w:val="single" w:color="auto" w:sz="12" w:space="0"/>
            </w:tcBorders>
          </w:tcPr>
          <w:p>
            <w:pPr>
              <w:jc w:val="center"/>
            </w:pPr>
            <w:r>
              <w:rPr>
                <w:rFonts w:hint="eastAsia"/>
                <w:lang w:val="en-US" w:eastAsia="zh-Hans"/>
              </w:rPr>
              <w:t>f</w:t>
            </w:r>
            <w:r>
              <w:rPr>
                <w:rFonts w:hint="default"/>
                <w:lang w:eastAsia="zh-Hans"/>
              </w:rPr>
              <w:t>10</w:t>
            </w:r>
            <w:r>
              <w:t>.</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top"/>
          </w:tcPr>
          <w:p>
            <w:pPr>
              <w:jc w:val="center"/>
              <w:rPr>
                <w:rFonts w:ascii="Times New Roman" w:hAnsi="Times New Roman" w:eastAsia="宋体" w:cs="Times New Roman"/>
                <w:kern w:val="2"/>
                <w:sz w:val="24"/>
                <w:szCs w:val="24"/>
                <w:lang w:val="en-US" w:eastAsia="zh-CN" w:bidi="ar-SA"/>
              </w:rPr>
            </w:pPr>
            <w:r>
              <w:t>Sed_HML_RSP</w:t>
            </w:r>
            <w:r>
              <w:rPr>
                <w:vertAlign w:val="superscript"/>
              </w:rPr>
              <w:t>a</w:t>
            </w:r>
          </w:p>
        </w:tc>
        <w:tc>
          <w:tcPr>
            <w:tcW w:w="759" w:type="pct"/>
            <w:tcBorders>
              <w:top w:val="single" w:color="auto" w:sz="12" w:space="0"/>
            </w:tcBorders>
          </w:tcPr>
          <w:p>
            <w:pPr>
              <w:jc w:val="center"/>
            </w:pPr>
            <w:r>
              <w:t>33</w:t>
            </w:r>
          </w:p>
        </w:tc>
        <w:tc>
          <w:tcPr>
            <w:tcW w:w="911" w:type="pct"/>
            <w:tcBorders>
              <w:top w:val="single" w:color="auto" w:sz="12" w:space="0"/>
            </w:tcBorders>
          </w:tcPr>
          <w:p>
            <w:pPr>
              <w:jc w:val="center"/>
            </w:pPr>
            <w:r>
              <w:t>Space1-1</w:t>
            </w:r>
            <w:r>
              <w:t>5</w:t>
            </w:r>
          </w:p>
        </w:tc>
        <w:tc>
          <w:tcPr>
            <w:tcW w:w="866" w:type="pct"/>
            <w:tcBorders>
              <w:top w:val="single" w:color="auto" w:sz="12" w:space="0"/>
            </w:tcBorders>
          </w:tcPr>
          <w:p>
            <w:pPr>
              <w:jc w:val="center"/>
            </w:pPr>
            <w:r>
              <w:rPr>
                <w:rFonts w:hint="eastAsia"/>
                <w:lang w:val="en-US" w:eastAsia="zh-Hans"/>
              </w:rPr>
              <w:t>float</w:t>
            </w:r>
          </w:p>
        </w:tc>
        <w:tc>
          <w:tcPr>
            <w:tcW w:w="1246" w:type="pct"/>
            <w:tcBorders>
              <w:top w:val="single" w:color="auto" w:sz="12" w:space="0"/>
            </w:tcBorders>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rPr>
                <w:vertAlign w:val="subscript"/>
              </w:rPr>
            </w:pPr>
            <w:r>
              <w:t>Sed_HML_MIX</w:t>
            </w:r>
          </w:p>
        </w:tc>
        <w:tc>
          <w:tcPr>
            <w:tcW w:w="759" w:type="pct"/>
          </w:tcPr>
          <w:p>
            <w:pPr>
              <w:jc w:val="center"/>
            </w:pPr>
            <w:r>
              <w:t>34</w:t>
            </w:r>
          </w:p>
        </w:tc>
        <w:tc>
          <w:tcPr>
            <w:tcW w:w="911" w:type="pct"/>
          </w:tcPr>
          <w:p>
            <w:pPr>
              <w:jc w:val="center"/>
            </w:pPr>
            <w:r>
              <w:t>Space1-1</w:t>
            </w:r>
            <w:r>
              <w:t>5</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rPr>
                <w:vertAlign w:val="subscript"/>
              </w:rPr>
            </w:pPr>
            <w:r>
              <w:t>Sed_HML_BRY</w:t>
            </w:r>
          </w:p>
        </w:tc>
        <w:tc>
          <w:tcPr>
            <w:tcW w:w="759" w:type="pct"/>
          </w:tcPr>
          <w:p>
            <w:pPr>
              <w:jc w:val="center"/>
            </w:pPr>
            <w:r>
              <w:t>35</w:t>
            </w:r>
          </w:p>
        </w:tc>
        <w:tc>
          <w:tcPr>
            <w:tcW w:w="911" w:type="pct"/>
          </w:tcPr>
          <w:p>
            <w:pPr>
              <w:jc w:val="center"/>
            </w:pPr>
            <w:r>
              <w:t>Space1-1</w:t>
            </w:r>
            <w:r>
              <w:t>5</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9</w:t>
            </w:r>
            <w:r>
              <w:t>.</w:t>
            </w:r>
            <w:r>
              <w:t>5</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pPr>
            <w:r>
              <w:rPr>
                <w:rFonts w:hint="eastAsia"/>
              </w:rPr>
              <w:t>SWQ_HML_LabileCONC</w:t>
            </w:r>
          </w:p>
        </w:tc>
        <w:tc>
          <w:tcPr>
            <w:tcW w:w="759" w:type="pct"/>
          </w:tcPr>
          <w:p>
            <w:pPr>
              <w:jc w:val="center"/>
            </w:pPr>
            <w:r>
              <w:t>36</w:t>
            </w:r>
          </w:p>
        </w:tc>
        <w:tc>
          <w:tcPr>
            <w:tcW w:w="911" w:type="pct"/>
          </w:tcPr>
          <w:p>
            <w:pPr>
              <w:jc w:val="center"/>
            </w:pPr>
            <w:r>
              <w:t>Space1-1</w:t>
            </w:r>
            <w:r>
              <w:t>5</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pPr>
            <w:r>
              <w:rPr>
                <w:rFonts w:hint="eastAsia"/>
              </w:rPr>
              <w:t>SWQ_HML_NonLabileCONC</w:t>
            </w:r>
          </w:p>
        </w:tc>
        <w:tc>
          <w:tcPr>
            <w:tcW w:w="759" w:type="pct"/>
          </w:tcPr>
          <w:p>
            <w:pPr>
              <w:jc w:val="center"/>
            </w:pPr>
            <w:r>
              <w:t>37</w:t>
            </w:r>
          </w:p>
        </w:tc>
        <w:tc>
          <w:tcPr>
            <w:tcW w:w="911" w:type="pct"/>
          </w:tcPr>
          <w:p>
            <w:pPr>
              <w:jc w:val="center"/>
            </w:pPr>
            <w:r>
              <w:t>Space1-1</w:t>
            </w:r>
            <w:r>
              <w:t>5</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t>Sed_</w:t>
            </w:r>
            <w:r>
              <w:rPr>
                <w:rFonts w:hint="eastAsia"/>
              </w:rPr>
              <w:t>HML_ACT</w:t>
            </w:r>
          </w:p>
        </w:tc>
        <w:tc>
          <w:tcPr>
            <w:tcW w:w="759" w:type="pct"/>
          </w:tcPr>
          <w:p>
            <w:pPr>
              <w:jc w:val="center"/>
            </w:pPr>
            <w:r>
              <w:t>38</w:t>
            </w:r>
          </w:p>
        </w:tc>
        <w:tc>
          <w:tcPr>
            <w:tcW w:w="911" w:type="pct"/>
          </w:tcPr>
          <w:p>
            <w:pPr>
              <w:jc w:val="center"/>
            </w:pPr>
            <w:r>
              <w:t>Space1-1</w:t>
            </w:r>
            <w:r>
              <w:t>5</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bl>
    <w:p/>
    <w:p>
      <w:pPr>
        <w:widowControl/>
        <w:jc w:val="left"/>
      </w:pPr>
      <w:r>
        <w:br w:type="page"/>
      </w:r>
    </w:p>
    <w:p>
      <w:pPr>
        <w:pStyle w:val="2"/>
      </w:pPr>
      <w:r>
        <w:rPr>
          <w:rFonts w:hint="eastAsia"/>
        </w:rPr>
        <w:t>Outputs of SWAT-HM</w:t>
      </w:r>
      <w:r>
        <w:t xml:space="preserve"> model</w:t>
      </w:r>
    </w:p>
    <w:p>
      <w:pPr>
        <w:pStyle w:val="3"/>
      </w:pPr>
      <w:r>
        <w:t>Subbasin level heavy metal output file (</w:t>
      </w:r>
      <w:r>
        <w:rPr>
          <w:rFonts w:hint="eastAsia"/>
        </w:rPr>
        <w:t>outhml.sub</w:t>
      </w:r>
      <w:r>
        <w:t>)</w:t>
      </w:r>
    </w:p>
    <w:p>
      <w:pPr>
        <w:ind w:firstLine="420"/>
        <w:rPr>
          <w:lang w:val="zh-CN"/>
        </w:rPr>
      </w:pPr>
      <w:r>
        <w:rPr>
          <w:lang w:val="zh-CN"/>
        </w:rPr>
        <w:t>T</w:t>
      </w:r>
      <w:r>
        <w:rPr>
          <w:rFonts w:hint="eastAsia"/>
          <w:lang w:val="zh-CN"/>
        </w:rPr>
        <w:t xml:space="preserve">he </w:t>
      </w:r>
      <w:r>
        <w:rPr>
          <w:lang w:val="zh-CN"/>
        </w:rPr>
        <w:t>subbasin heavy metal file contains output data about concentration</w:t>
      </w:r>
      <w:r>
        <w:rPr>
          <w:rFonts w:hint="eastAsia"/>
          <w:lang w:val="zh-CN"/>
        </w:rPr>
        <w:t xml:space="preserve"> </w:t>
      </w:r>
      <w:r>
        <w:rPr>
          <w:lang w:val="zh-CN"/>
        </w:rPr>
        <w:t xml:space="preserve">and amount </w:t>
      </w:r>
      <w:r>
        <w:rPr>
          <w:rFonts w:hint="eastAsia"/>
          <w:lang w:val="zh-CN"/>
        </w:rPr>
        <w:t xml:space="preserve">of </w:t>
      </w:r>
      <w:r>
        <w:rPr>
          <w:lang w:val="zh-CN"/>
        </w:rPr>
        <w:t>dissolved metal, metal complexes, labile adsorbed metal and</w:t>
      </w:r>
      <w:r>
        <w:rPr>
          <w:rFonts w:hint="eastAsia"/>
          <w:lang w:val="zh-CN"/>
        </w:rPr>
        <w:t xml:space="preserve"> </w:t>
      </w:r>
      <w:r>
        <w:rPr>
          <w:lang w:val="zh-CN"/>
        </w:rPr>
        <w:t>non-labile metal, the value are the total amount of all the HRUs within the subbasin.</w:t>
      </w:r>
    </w:p>
    <w:p>
      <w:pPr>
        <w:rPr>
          <w:lang w:val="zh-CN"/>
        </w:rPr>
      </w:pPr>
    </w:p>
    <w:p>
      <w:pPr>
        <w:pStyle w:val="5"/>
      </w:pPr>
      <w:r>
        <w:t xml:space="preserve">Table </w:t>
      </w:r>
      <w:r>
        <w:fldChar w:fldCharType="begin"/>
      </w:r>
      <w:r>
        <w:instrText xml:space="preserve"> SEQ Table \* ARABIC </w:instrText>
      </w:r>
      <w:r>
        <w:fldChar w:fldCharType="separate"/>
      </w:r>
      <w:r>
        <w:t>11</w:t>
      </w:r>
      <w:r>
        <w:fldChar w:fldCharType="end"/>
      </w:r>
      <w:r>
        <w:t xml:space="preserve"> - Subbasin heavy metal file (outhml.sub)</w:t>
      </w:r>
    </w:p>
    <w:tbl>
      <w:tblPr>
        <w:tblStyle w:val="12"/>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199"/>
        <w:gridCol w:w="6022"/>
        <w:gridCol w:w="1301"/>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top w:val="single" w:color="auto" w:sz="12" w:space="0"/>
              <w:left w:val="nil"/>
              <w:bottom w:val="single" w:color="auto" w:sz="12" w:space="0"/>
            </w:tcBorders>
          </w:tcPr>
          <w:p>
            <w:pPr>
              <w:jc w:val="center"/>
              <w:rPr>
                <w:b/>
              </w:rPr>
            </w:pPr>
          </w:p>
        </w:tc>
        <w:tc>
          <w:tcPr>
            <w:tcW w:w="3544"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773"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Sub</w:t>
            </w:r>
          </w:p>
        </w:tc>
        <w:tc>
          <w:tcPr>
            <w:tcW w:w="3544" w:type="pct"/>
            <w:tcBorders>
              <w:left w:val="nil"/>
              <w:right w:val="single" w:color="auto" w:sz="4" w:space="0"/>
            </w:tcBorders>
            <w:shd w:val="clear" w:color="auto" w:fill="auto"/>
            <w:vAlign w:val="center"/>
          </w:tcPr>
          <w:p>
            <w:pPr>
              <w:jc w:val="center"/>
            </w:pPr>
            <w:r>
              <w:rPr>
                <w:rFonts w:hint="eastAsia"/>
              </w:rPr>
              <w:t>Subbasin number</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GIS</w:t>
            </w:r>
          </w:p>
        </w:tc>
        <w:tc>
          <w:tcPr>
            <w:tcW w:w="3544" w:type="pct"/>
            <w:tcBorders>
              <w:left w:val="nil"/>
              <w:right w:val="single" w:color="auto" w:sz="4" w:space="0"/>
            </w:tcBorders>
            <w:shd w:val="clear" w:color="auto" w:fill="auto"/>
            <w:vAlign w:val="center"/>
          </w:tcPr>
          <w:p>
            <w:pPr>
              <w:jc w:val="center"/>
            </w:pPr>
            <w:r>
              <w:rPr>
                <w:rFonts w:hint="eastAsia"/>
              </w:rPr>
              <w:t>GIS number reprinted from wa</w:t>
            </w:r>
            <w:r>
              <w:t>tershed configuration file</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t>Date</w:t>
            </w:r>
          </w:p>
        </w:tc>
        <w:tc>
          <w:tcPr>
            <w:tcW w:w="3544" w:type="pct"/>
            <w:tcBorders>
              <w:left w:val="nil"/>
              <w:right w:val="single" w:color="auto" w:sz="4" w:space="0"/>
            </w:tcBorders>
            <w:shd w:val="clear" w:color="auto" w:fill="auto"/>
            <w:vAlign w:val="center"/>
          </w:tcPr>
          <w:p>
            <w:pPr>
              <w:jc w:val="center"/>
            </w:pPr>
            <w:r>
              <w:rPr>
                <w:rFonts w:hint="eastAsia"/>
              </w:rPr>
              <w:t xml:space="preserve">Daily time step : the </w:t>
            </w:r>
            <w:r>
              <w:t>Julian</w:t>
            </w:r>
            <w:r>
              <w:rPr>
                <w:rFonts w:hint="eastAsia"/>
              </w:rPr>
              <w:t xml:space="preserve"> </w:t>
            </w:r>
            <w:r>
              <w:t>date</w:t>
            </w:r>
          </w:p>
          <w:p>
            <w:pPr>
              <w:jc w:val="center"/>
            </w:pPr>
            <w:r>
              <w:t>Monthly time step : the month (1 - 12)</w:t>
            </w:r>
          </w:p>
          <w:p>
            <w:pPr>
              <w:jc w:val="center"/>
            </w:pPr>
            <w:r>
              <w:t>Annual time step : 4-digit year</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Area</w:t>
            </w:r>
          </w:p>
        </w:tc>
        <w:tc>
          <w:tcPr>
            <w:tcW w:w="3544" w:type="pct"/>
            <w:tcBorders>
              <w:left w:val="nil"/>
              <w:right w:val="single" w:color="auto" w:sz="4" w:space="0"/>
            </w:tcBorders>
            <w:shd w:val="clear" w:color="auto" w:fill="auto"/>
            <w:vAlign w:val="center"/>
          </w:tcPr>
          <w:p>
            <w:pPr>
              <w:jc w:val="center"/>
            </w:pPr>
            <w:r>
              <w:rPr>
                <w:rFonts w:hint="eastAsia"/>
              </w:rPr>
              <w:t xml:space="preserve">Area </w:t>
            </w:r>
            <w:r>
              <w:t>of the subbasin</w:t>
            </w:r>
            <w:r>
              <w:rPr>
                <w:rFonts w:hint="eastAsia"/>
              </w:rPr>
              <w:t xml:space="preserve"> (</w:t>
            </w:r>
            <w:r>
              <w:t>km</w:t>
            </w:r>
            <w:r>
              <w:rPr>
                <w:vertAlign w:val="superscript"/>
              </w:rPr>
              <w:t>2</w:t>
            </w:r>
            <w:r>
              <w:rPr>
                <w:rFonts w:hint="eastAsia"/>
              </w:rPr>
              <w:t>)</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rPr>
                <w:rFonts w:hint="eastAsia"/>
              </w:rPr>
              <w:t>_Sub</w:t>
            </w:r>
          </w:p>
        </w:tc>
        <w:tc>
          <w:tcPr>
            <w:tcW w:w="3544" w:type="pct"/>
            <w:tcBorders>
              <w:left w:val="nil"/>
              <w:right w:val="single" w:color="auto" w:sz="4" w:space="0"/>
            </w:tcBorders>
            <w:shd w:val="clear" w:color="auto" w:fill="auto"/>
            <w:vAlign w:val="center"/>
          </w:tcPr>
          <w:p>
            <w:pPr>
              <w:jc w:val="center"/>
            </w:pPr>
            <w:r>
              <w:t>Dissolved metal transported from the subbasin to the reach through surface runoff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rPr>
                <w:i/>
              </w:rPr>
            </w:pPr>
            <w:r>
              <w:rPr>
                <w:rFonts w:hint="eastAsia"/>
                <w:i/>
              </w:rPr>
              <w:t>M</w:t>
            </w:r>
            <w:r>
              <w:rPr>
                <w:vertAlign w:val="subscript"/>
              </w:rPr>
              <w:t>d</w:t>
            </w:r>
            <w:r>
              <w:rPr>
                <w:rFonts w:hint="eastAsia"/>
              </w:rPr>
              <w:t>_Sub</w:t>
            </w:r>
          </w:p>
        </w:tc>
        <w:tc>
          <w:tcPr>
            <w:tcW w:w="3544" w:type="pct"/>
            <w:tcBorders>
              <w:left w:val="nil"/>
              <w:right w:val="single" w:color="auto" w:sz="4" w:space="0"/>
            </w:tcBorders>
            <w:shd w:val="clear" w:color="auto" w:fill="auto"/>
            <w:vAlign w:val="center"/>
          </w:tcPr>
          <w:p>
            <w:pPr>
              <w:jc w:val="center"/>
              <w:rPr>
                <w:lang w:val="zh-CN"/>
              </w:rPr>
            </w:pPr>
            <w:r>
              <w:t>Dissolved metal transported from the subbasin to the reach through lateral flow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l</w:t>
            </w:r>
            <w:r>
              <w:rPr>
                <w:rFonts w:hint="eastAsia"/>
              </w:rPr>
              <w:t>_Sub</w:t>
            </w:r>
          </w:p>
        </w:tc>
        <w:tc>
          <w:tcPr>
            <w:tcW w:w="3544" w:type="pct"/>
            <w:tcBorders>
              <w:left w:val="nil"/>
              <w:right w:val="single" w:color="auto" w:sz="4" w:space="0"/>
            </w:tcBorders>
            <w:shd w:val="clear" w:color="auto" w:fill="auto"/>
            <w:vAlign w:val="center"/>
          </w:tcPr>
          <w:p>
            <w:pPr>
              <w:jc w:val="center"/>
            </w:pPr>
            <w:r>
              <w:rPr>
                <w:lang w:val="zh-CN"/>
              </w:rPr>
              <w:t>Labile adsorbed</w:t>
            </w:r>
            <w:r>
              <w:t xml:space="preserve"> metal transported from the subbasin to the reach through soil erosion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n</w:t>
            </w:r>
            <w:r>
              <w:rPr>
                <w:rFonts w:hint="eastAsia"/>
              </w:rPr>
              <w:t>_Sub</w:t>
            </w:r>
          </w:p>
        </w:tc>
        <w:tc>
          <w:tcPr>
            <w:tcW w:w="3544" w:type="pct"/>
            <w:tcBorders>
              <w:left w:val="nil"/>
              <w:right w:val="single" w:color="auto" w:sz="4" w:space="0"/>
            </w:tcBorders>
            <w:shd w:val="clear" w:color="auto" w:fill="auto"/>
            <w:vAlign w:val="center"/>
          </w:tcPr>
          <w:p>
            <w:pPr>
              <w:jc w:val="center"/>
            </w:pPr>
            <w:r>
              <w:rPr>
                <w:lang w:val="zh-CN"/>
              </w:rPr>
              <w:t>Non-labile metal</w:t>
            </w:r>
            <w:r>
              <w:t xml:space="preserve"> transported from the subbasin to the reach through erosion (kg)</w:t>
            </w:r>
          </w:p>
        </w:tc>
        <w:tc>
          <w:tcPr>
            <w:tcW w:w="773" w:type="pct"/>
            <w:tcBorders>
              <w:left w:val="single" w:color="auto" w:sz="4" w:space="0"/>
              <w:right w:val="nil"/>
            </w:tcBorders>
          </w:tcPr>
          <w:p>
            <w:pPr>
              <w:jc w:val="center"/>
            </w:pPr>
            <w:r>
              <w:t>o</w:t>
            </w:r>
            <w:r>
              <w:rPr>
                <w:rFonts w:hint="eastAsia"/>
              </w:rPr>
              <w:t>uthml.</w:t>
            </w:r>
            <w:r>
              <w:t>sub</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total</w:t>
            </w:r>
            <w:r>
              <w:t>_Sub</w:t>
            </w:r>
          </w:p>
        </w:tc>
        <w:tc>
          <w:tcPr>
            <w:tcW w:w="3544" w:type="pct"/>
            <w:tcBorders>
              <w:left w:val="nil"/>
              <w:right w:val="single" w:color="auto" w:sz="4" w:space="0"/>
            </w:tcBorders>
            <w:shd w:val="clear" w:color="auto" w:fill="auto"/>
            <w:vAlign w:val="center"/>
          </w:tcPr>
          <w:p>
            <w:pPr>
              <w:jc w:val="center"/>
            </w:pPr>
            <w:r>
              <w:t>Total amount of heavy</w:t>
            </w:r>
            <w:r>
              <w:rPr>
                <w:rFonts w:hint="eastAsia"/>
              </w:rPr>
              <w:t xml:space="preserve"> </w:t>
            </w:r>
            <w:r>
              <w:t>metal transported from the subbasin to the reach (kg)</w:t>
            </w:r>
          </w:p>
        </w:tc>
        <w:tc>
          <w:tcPr>
            <w:tcW w:w="773" w:type="pct"/>
            <w:tcBorders>
              <w:left w:val="single" w:color="auto" w:sz="4" w:space="0"/>
              <w:right w:val="nil"/>
            </w:tcBorders>
          </w:tcPr>
          <w:p>
            <w:pPr>
              <w:jc w:val="center"/>
            </w:pPr>
            <w:r>
              <w:t>o</w:t>
            </w:r>
            <w:r>
              <w:rPr>
                <w:rFonts w:hint="eastAsia"/>
              </w:rPr>
              <w:t>uthml.</w:t>
            </w:r>
            <w:r>
              <w:t>sub</w:t>
            </w:r>
          </w:p>
        </w:tc>
      </w:tr>
    </w:tbl>
    <w:p>
      <w:pPr>
        <w:pStyle w:val="5"/>
      </w:pPr>
      <w:r>
        <w:rPr>
          <w:lang w:val="zh-CN" w:eastAsia="zh-CN"/>
        </w:rPr>
        <w:br w:type="page"/>
      </w:r>
      <w:r>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val="en-US" w:eastAsia="zh-Hans"/>
        </w:rPr>
        <w:t>out</w:t>
      </w:r>
      <w:r>
        <w:rPr>
          <w:rFonts w:hint="default"/>
          <w:lang w:eastAsia="zh-Hans"/>
        </w:rPr>
        <w:t>put.sub</w:t>
      </w:r>
      <w:r>
        <w:t xml:space="preserve"> file</w:t>
      </w:r>
    </w:p>
    <w:tbl>
      <w:tblPr>
        <w:tblStyle w:val="12"/>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002"/>
        <w:gridCol w:w="1242"/>
        <w:gridCol w:w="1589"/>
        <w:gridCol w:w="1420"/>
        <w:gridCol w:w="2053"/>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59" w:type="pct"/>
            <w:tcBorders>
              <w:top w:val="single" w:color="auto" w:sz="12" w:space="0"/>
            </w:tcBorders>
          </w:tcPr>
          <w:p>
            <w:pPr>
              <w:jc w:val="center"/>
              <w:rPr>
                <w:b/>
              </w:rPr>
            </w:pPr>
            <w:r>
              <w:rPr>
                <w:rFonts w:hint="eastAsia"/>
                <w:b/>
              </w:rPr>
              <w:t>L</w:t>
            </w:r>
            <w:r>
              <w:rPr>
                <w:b/>
              </w:rPr>
              <w:t>ine #</w:t>
            </w:r>
          </w:p>
        </w:tc>
        <w:tc>
          <w:tcPr>
            <w:tcW w:w="911" w:type="pct"/>
            <w:tcBorders>
              <w:top w:val="single" w:color="auto" w:sz="12" w:space="0"/>
            </w:tcBorders>
          </w:tcPr>
          <w:p>
            <w:pPr>
              <w:jc w:val="center"/>
              <w:rPr>
                <w:b/>
              </w:rPr>
            </w:pPr>
            <w:r>
              <w:rPr>
                <w:rFonts w:hint="eastAsia"/>
                <w:b/>
              </w:rPr>
              <w:t>P</w:t>
            </w:r>
            <w:r>
              <w:rPr>
                <w:b/>
              </w:rPr>
              <w:t>osition</w:t>
            </w:r>
          </w:p>
        </w:tc>
        <w:tc>
          <w:tcPr>
            <w:tcW w:w="866" w:type="pct"/>
            <w:tcBorders>
              <w:top w:val="single" w:color="auto" w:sz="12" w:space="0"/>
            </w:tcBorders>
          </w:tcPr>
          <w:p>
            <w:pPr>
              <w:jc w:val="center"/>
              <w:rPr>
                <w:b/>
              </w:rPr>
            </w:pPr>
            <w:r>
              <w:rPr>
                <w:rFonts w:hint="eastAsia"/>
                <w:b/>
              </w:rPr>
              <w:t>F</w:t>
            </w:r>
            <w:r>
              <w:rPr>
                <w:b/>
              </w:rPr>
              <w:t>ormat</w:t>
            </w:r>
          </w:p>
        </w:tc>
        <w:tc>
          <w:tcPr>
            <w:tcW w:w="1246" w:type="pct"/>
            <w:tcBorders>
              <w:top w:val="single" w:color="auto" w:sz="12" w:space="0"/>
              <w:bottom w:val="single" w:color="auto" w:sz="12" w:space="0"/>
            </w:tcBorders>
          </w:tcPr>
          <w:p>
            <w:pPr>
              <w:jc w:val="center"/>
              <w:rPr>
                <w:b/>
              </w:rPr>
            </w:pPr>
            <w:r>
              <w:rPr>
                <w:b/>
              </w:rPr>
              <w:t>F90 Format</w:t>
            </w:r>
          </w:p>
        </w:tc>
      </w:tr>
      <w:tr>
        <w:trPr>
          <w:trHeight w:val="270" w:hRule="atLeast"/>
          <w:jc w:val="center"/>
        </w:trPr>
        <w:tc>
          <w:tcPr>
            <w:tcW w:w="1216" w:type="pct"/>
            <w:tcBorders>
              <w:top w:val="single" w:color="auto" w:sz="12" w:space="0"/>
            </w:tcBorders>
            <w:shd w:val="clear" w:color="auto" w:fill="auto"/>
            <w:noWrap/>
            <w:vAlign w:val="top"/>
          </w:tcPr>
          <w:p>
            <w:pPr>
              <w:jc w:val="center"/>
              <w:rPr>
                <w:i/>
              </w:rPr>
            </w:pPr>
            <w:r>
              <w:rPr>
                <w:rFonts w:hint="eastAsia"/>
              </w:rPr>
              <w:t>SUB</w:t>
            </w:r>
          </w:p>
        </w:tc>
        <w:tc>
          <w:tcPr>
            <w:tcW w:w="759" w:type="pct"/>
            <w:tcBorders>
              <w:top w:val="single" w:color="auto" w:sz="12" w:space="0"/>
            </w:tcBorders>
          </w:tcPr>
          <w:p>
            <w:pPr>
              <w:jc w:val="center"/>
            </w:pPr>
          </w:p>
        </w:tc>
        <w:tc>
          <w:tcPr>
            <w:tcW w:w="911" w:type="pct"/>
            <w:tcBorders>
              <w:top w:val="single" w:color="auto" w:sz="12" w:space="0"/>
            </w:tcBorders>
          </w:tcPr>
          <w:p>
            <w:pPr>
              <w:jc w:val="center"/>
            </w:pPr>
            <w:r>
              <w:t>Space1-</w:t>
            </w:r>
            <w:r>
              <w:t>4</w:t>
            </w:r>
          </w:p>
        </w:tc>
        <w:tc>
          <w:tcPr>
            <w:tcW w:w="866" w:type="pct"/>
            <w:tcBorders>
              <w:top w:val="single" w:color="auto" w:sz="12" w:space="0"/>
            </w:tcBorders>
          </w:tcPr>
          <w:p>
            <w:pPr>
              <w:jc w:val="center"/>
              <w:rPr>
                <w:rFonts w:hint="eastAsia" w:eastAsia="宋体"/>
                <w:lang w:val="en-US" w:eastAsia="zh-Hans"/>
              </w:rPr>
            </w:pPr>
            <w:r>
              <w:rPr>
                <w:rFonts w:hint="eastAsia"/>
              </w:rPr>
              <w:t>i</w:t>
            </w:r>
            <w:r>
              <w:t>nteger</w:t>
            </w:r>
          </w:p>
        </w:tc>
        <w:tc>
          <w:tcPr>
            <w:tcW w:w="1246" w:type="pct"/>
            <w:tcBorders>
              <w:top w:val="single" w:color="auto" w:sz="12" w:space="0"/>
            </w:tcBorders>
          </w:tcPr>
          <w:p>
            <w:pPr>
              <w:jc w:val="center"/>
            </w:pPr>
            <w:r>
              <w:t>i4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tcBorders>
              <w:top w:val="single" w:color="auto" w:sz="12" w:space="0"/>
            </w:tcBorders>
            <w:shd w:val="clear" w:color="auto" w:fill="auto"/>
            <w:noWrap/>
            <w:vAlign w:val="top"/>
          </w:tcPr>
          <w:p>
            <w:pPr>
              <w:jc w:val="center"/>
              <w:rPr>
                <w:rFonts w:ascii="Times New Roman" w:hAnsi="Times New Roman" w:eastAsia="宋体" w:cs="Times New Roman"/>
                <w:kern w:val="2"/>
                <w:sz w:val="24"/>
                <w:szCs w:val="24"/>
                <w:lang w:val="en-US" w:eastAsia="zh-CN" w:bidi="ar-SA"/>
              </w:rPr>
            </w:pPr>
            <w:r>
              <w:rPr>
                <w:rFonts w:hint="eastAsia"/>
              </w:rPr>
              <w:t>YEAR</w:t>
            </w:r>
          </w:p>
        </w:tc>
        <w:tc>
          <w:tcPr>
            <w:tcW w:w="759" w:type="pct"/>
            <w:tcBorders>
              <w:top w:val="single" w:color="auto" w:sz="12" w:space="0"/>
            </w:tcBorders>
          </w:tcPr>
          <w:p>
            <w:pPr>
              <w:jc w:val="center"/>
            </w:pPr>
          </w:p>
        </w:tc>
        <w:tc>
          <w:tcPr>
            <w:tcW w:w="911" w:type="pct"/>
            <w:tcBorders>
              <w:top w:val="single" w:color="auto" w:sz="12" w:space="0"/>
            </w:tcBorders>
          </w:tcPr>
          <w:p>
            <w:pPr>
              <w:jc w:val="center"/>
            </w:pPr>
            <w:r>
              <w:t>Space</w:t>
            </w:r>
            <w:r>
              <w:t>5</w:t>
            </w:r>
            <w:r>
              <w:t>-1</w:t>
            </w:r>
            <w:r>
              <w:t>2</w:t>
            </w:r>
          </w:p>
        </w:tc>
        <w:tc>
          <w:tcPr>
            <w:tcW w:w="866" w:type="pct"/>
            <w:tcBorders>
              <w:top w:val="single" w:color="auto" w:sz="12" w:space="0"/>
            </w:tcBorders>
          </w:tcPr>
          <w:p>
            <w:pPr>
              <w:jc w:val="center"/>
            </w:pPr>
            <w:r>
              <w:rPr>
                <w:rFonts w:hint="eastAsia"/>
              </w:rPr>
              <w:t>i</w:t>
            </w:r>
            <w:r>
              <w:t>nteger</w:t>
            </w:r>
          </w:p>
        </w:tc>
        <w:tc>
          <w:tcPr>
            <w:tcW w:w="1246" w:type="pct"/>
            <w:tcBorders>
              <w:top w:val="single" w:color="auto" w:sz="12" w:space="0"/>
            </w:tcBorders>
          </w:tcPr>
          <w:p>
            <w:pPr>
              <w:jc w:val="center"/>
            </w:pPr>
            <w:r>
              <w:t>i4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rPr>
                <w:vertAlign w:val="subscript"/>
              </w:rPr>
            </w:pPr>
            <w:r>
              <w:rPr>
                <w:rFonts w:hint="eastAsia"/>
              </w:rPr>
              <w:t>MON</w:t>
            </w:r>
          </w:p>
        </w:tc>
        <w:tc>
          <w:tcPr>
            <w:tcW w:w="759" w:type="pct"/>
          </w:tcPr>
          <w:p>
            <w:pPr>
              <w:jc w:val="center"/>
            </w:pPr>
          </w:p>
        </w:tc>
        <w:tc>
          <w:tcPr>
            <w:tcW w:w="911" w:type="pct"/>
          </w:tcPr>
          <w:p>
            <w:pPr>
              <w:jc w:val="center"/>
            </w:pPr>
            <w:r>
              <w:t>Space</w:t>
            </w:r>
            <w:r>
              <w:t>13</w:t>
            </w:r>
            <w:r>
              <w:t>-1</w:t>
            </w:r>
            <w:r>
              <w:t>8</w:t>
            </w:r>
          </w:p>
        </w:tc>
        <w:tc>
          <w:tcPr>
            <w:tcW w:w="866" w:type="pct"/>
          </w:tcPr>
          <w:p>
            <w:pPr>
              <w:jc w:val="center"/>
            </w:pPr>
            <w:r>
              <w:rPr>
                <w:rFonts w:hint="eastAsia"/>
              </w:rPr>
              <w:t>i</w:t>
            </w:r>
            <w:r>
              <w:t>nteger</w:t>
            </w:r>
          </w:p>
        </w:tc>
        <w:tc>
          <w:tcPr>
            <w:tcW w:w="1246" w:type="pct"/>
          </w:tcPr>
          <w:p>
            <w:pPr>
              <w:jc w:val="center"/>
            </w:pPr>
            <w:r>
              <w:t>I</w:t>
            </w:r>
            <w:r>
              <w:t>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rPr>
                <w:vertAlign w:val="subscript"/>
              </w:rPr>
            </w:pPr>
            <w:r>
              <w:rPr>
                <w:rFonts w:hint="eastAsia"/>
              </w:rPr>
              <w:t>AREAkm2</w:t>
            </w:r>
          </w:p>
        </w:tc>
        <w:tc>
          <w:tcPr>
            <w:tcW w:w="759" w:type="pct"/>
          </w:tcPr>
          <w:p>
            <w:pPr>
              <w:jc w:val="center"/>
            </w:pPr>
          </w:p>
        </w:tc>
        <w:tc>
          <w:tcPr>
            <w:tcW w:w="911" w:type="pct"/>
          </w:tcPr>
          <w:p>
            <w:pPr>
              <w:jc w:val="center"/>
            </w:pPr>
            <w:r>
              <w:t>Space</w:t>
            </w:r>
            <w:r>
              <w:t>19</w:t>
            </w:r>
            <w:r>
              <w:t>-</w:t>
            </w:r>
            <w:r>
              <w:t>31</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9</w:t>
            </w:r>
            <w:r>
              <w:t>.5</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pPr>
            <w:r>
              <w:rPr>
                <w:rFonts w:hint="eastAsia"/>
              </w:rPr>
              <w:t>HM_SURQkg</w:t>
            </w:r>
          </w:p>
        </w:tc>
        <w:tc>
          <w:tcPr>
            <w:tcW w:w="759" w:type="pct"/>
          </w:tcPr>
          <w:p>
            <w:pPr>
              <w:jc w:val="center"/>
            </w:pPr>
          </w:p>
        </w:tc>
        <w:tc>
          <w:tcPr>
            <w:tcW w:w="911" w:type="pct"/>
          </w:tcPr>
          <w:p>
            <w:pPr>
              <w:jc w:val="center"/>
            </w:pPr>
            <w:r>
              <w:t>Space</w:t>
            </w:r>
            <w:r>
              <w:t>32</w:t>
            </w:r>
            <w:r>
              <w:t>-</w:t>
            </w:r>
            <w:r>
              <w:t>44</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top"/>
          </w:tcPr>
          <w:p>
            <w:pPr>
              <w:jc w:val="center"/>
            </w:pPr>
            <w:r>
              <w:rPr>
                <w:rFonts w:hint="eastAsia"/>
              </w:rPr>
              <w:t>HM_LATkg</w:t>
            </w:r>
          </w:p>
        </w:tc>
        <w:tc>
          <w:tcPr>
            <w:tcW w:w="759" w:type="pct"/>
          </w:tcPr>
          <w:p>
            <w:pPr>
              <w:jc w:val="center"/>
            </w:pPr>
          </w:p>
        </w:tc>
        <w:tc>
          <w:tcPr>
            <w:tcW w:w="911" w:type="pct"/>
          </w:tcPr>
          <w:p>
            <w:pPr>
              <w:jc w:val="center"/>
            </w:pPr>
            <w:r>
              <w:t>Space</w:t>
            </w:r>
            <w:r>
              <w:t>45</w:t>
            </w:r>
            <w:r>
              <w:t>-</w:t>
            </w:r>
            <w:r>
              <w:t>57</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vertAlign w:val="subscript"/>
              </w:rPr>
            </w:pPr>
            <w:r>
              <w:rPr>
                <w:rFonts w:hint="eastAsia"/>
              </w:rPr>
              <w:t>HM_PERCkg</w:t>
            </w:r>
          </w:p>
        </w:tc>
        <w:tc>
          <w:tcPr>
            <w:tcW w:w="759" w:type="pct"/>
          </w:tcPr>
          <w:p>
            <w:pPr>
              <w:jc w:val="center"/>
            </w:pPr>
          </w:p>
        </w:tc>
        <w:tc>
          <w:tcPr>
            <w:tcW w:w="911" w:type="pct"/>
          </w:tcPr>
          <w:p>
            <w:pPr>
              <w:jc w:val="center"/>
            </w:pPr>
            <w:r>
              <w:t>Space</w:t>
            </w:r>
            <w:r>
              <w:t>58</w:t>
            </w:r>
            <w:r>
              <w:t>-</w:t>
            </w:r>
            <w:r>
              <w:t>70</w:t>
            </w:r>
          </w:p>
        </w:tc>
        <w:tc>
          <w:tcPr>
            <w:tcW w:w="866" w:type="pct"/>
          </w:tcPr>
          <w:p>
            <w:pPr>
              <w:jc w:val="center"/>
            </w:pPr>
            <w:r>
              <w:rPr>
                <w:rFonts w:hint="eastAsia"/>
                <w:lang w:val="en-US" w:eastAsia="zh-Hans"/>
              </w:rPr>
              <w:t>float</w:t>
            </w:r>
          </w:p>
        </w:tc>
        <w:tc>
          <w:tcPr>
            <w:tcW w:w="1246"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HM_PLANTkg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71</w:t>
            </w:r>
            <w:r>
              <w:t>-</w:t>
            </w:r>
            <w:r>
              <w:t>83</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HM_GWkg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84</w:t>
            </w:r>
            <w:r>
              <w:t>-</w:t>
            </w:r>
            <w:r>
              <w:t>96</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LabHM_EROkg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97</w:t>
            </w:r>
            <w:r>
              <w:t>-</w:t>
            </w:r>
            <w:r>
              <w:t>109</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NLabHM_EROkg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110</w:t>
            </w:r>
            <w:r>
              <w:t>-</w:t>
            </w:r>
            <w:r>
              <w:t>122</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HM_ATMOkg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123</w:t>
            </w:r>
            <w:r>
              <w:t>-</w:t>
            </w:r>
            <w:r>
              <w:t>135</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HM_WETHkg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136</w:t>
            </w:r>
            <w:r>
              <w:t>-</w:t>
            </w:r>
            <w:r>
              <w:t>148</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HM_AGRkg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149</w:t>
            </w:r>
            <w:r>
              <w:t>-</w:t>
            </w:r>
            <w:r>
              <w:t>161</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HM_OUTkg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162</w:t>
            </w:r>
            <w:r>
              <w:t>-</w:t>
            </w:r>
            <w:r>
              <w:t>174</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16" w:type="pct"/>
            <w:shd w:val="clear" w:color="auto" w:fill="auto"/>
            <w:noWrap/>
            <w:vAlign w:val="center"/>
          </w:tcPr>
          <w:p>
            <w:pPr>
              <w:jc w:val="center"/>
              <w:rPr>
                <w:rFonts w:hint="eastAsia"/>
              </w:rPr>
            </w:pPr>
            <w:r>
              <w:rPr>
                <w:rFonts w:hint="eastAsia"/>
              </w:rPr>
              <w:t>HM_INkg</w:t>
            </w:r>
          </w:p>
        </w:tc>
        <w:tc>
          <w:tcPr>
            <w:tcW w:w="759" w:type="pct"/>
          </w:tcPr>
          <w:p>
            <w:pPr>
              <w:jc w:val="center"/>
            </w:pPr>
          </w:p>
        </w:tc>
        <w:tc>
          <w:tcPr>
            <w:tcW w:w="911" w:type="pct"/>
            <w:vAlign w:val="top"/>
          </w:tcPr>
          <w:p>
            <w:pPr>
              <w:jc w:val="center"/>
              <w:rPr>
                <w:rFonts w:ascii="Times New Roman" w:hAnsi="Times New Roman" w:eastAsia="宋体" w:cs="Times New Roman"/>
                <w:kern w:val="2"/>
                <w:sz w:val="24"/>
                <w:szCs w:val="24"/>
                <w:lang w:val="en-US" w:eastAsia="zh-CN" w:bidi="ar-SA"/>
              </w:rPr>
            </w:pPr>
            <w:r>
              <w:t>Space</w:t>
            </w:r>
            <w:r>
              <w:t>175</w:t>
            </w:r>
            <w:r>
              <w:t>-</w:t>
            </w:r>
            <w:r>
              <w:t>187</w:t>
            </w:r>
          </w:p>
        </w:tc>
        <w:tc>
          <w:tcPr>
            <w:tcW w:w="86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46"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bl>
    <w:p/>
    <w:p>
      <w:pPr>
        <w:widowControl/>
        <w:jc w:val="left"/>
      </w:pPr>
      <w:r>
        <w:br w:type="page"/>
      </w:r>
    </w:p>
    <w:p>
      <w:pPr>
        <w:widowControl/>
        <w:jc w:val="left"/>
        <w:rPr>
          <w:lang w:val="zh-CN" w:eastAsia="zh-CN"/>
        </w:rPr>
      </w:pPr>
    </w:p>
    <w:p>
      <w:pPr>
        <w:pStyle w:val="3"/>
      </w:pPr>
      <w:r>
        <w:t>HRU level heavy metal output file (</w:t>
      </w:r>
      <w:r>
        <w:rPr>
          <w:rFonts w:hint="eastAsia"/>
        </w:rPr>
        <w:t>outhml.hru</w:t>
      </w:r>
      <w:r>
        <w:t>)</w:t>
      </w:r>
    </w:p>
    <w:p>
      <w:pPr>
        <w:ind w:firstLine="420"/>
        <w:rPr>
          <w:lang w:val="zh-CN"/>
        </w:rPr>
      </w:pPr>
      <w:r>
        <w:rPr>
          <w:lang w:val="zh-CN"/>
        </w:rPr>
        <w:t>T</w:t>
      </w:r>
      <w:r>
        <w:rPr>
          <w:rFonts w:hint="eastAsia"/>
          <w:lang w:val="zh-CN"/>
        </w:rPr>
        <w:t xml:space="preserve">he </w:t>
      </w:r>
      <w:r>
        <w:rPr>
          <w:lang w:val="zh-CN"/>
        </w:rPr>
        <w:t>HRU heavy metal file contains output data about concentration</w:t>
      </w:r>
      <w:r>
        <w:rPr>
          <w:rFonts w:hint="eastAsia"/>
          <w:lang w:val="zh-CN"/>
        </w:rPr>
        <w:t xml:space="preserve"> </w:t>
      </w:r>
      <w:r>
        <w:rPr>
          <w:lang w:val="zh-CN"/>
        </w:rPr>
        <w:t xml:space="preserve">and amount </w:t>
      </w:r>
      <w:r>
        <w:rPr>
          <w:rFonts w:hint="eastAsia"/>
          <w:lang w:val="zh-CN"/>
        </w:rPr>
        <w:t xml:space="preserve">of </w:t>
      </w:r>
      <w:r>
        <w:rPr>
          <w:highlight w:val="yellow"/>
          <w:lang w:val="zh-CN"/>
        </w:rPr>
        <w:t>free metal ions</w:t>
      </w:r>
      <w:r>
        <w:rPr>
          <w:lang w:val="zh-CN"/>
        </w:rPr>
        <w:t>, metal complexes, labile adsorbed metal and</w:t>
      </w:r>
      <w:r>
        <w:rPr>
          <w:rFonts w:hint="eastAsia"/>
          <w:lang w:val="zh-CN"/>
        </w:rPr>
        <w:t xml:space="preserve"> </w:t>
      </w:r>
      <w:r>
        <w:rPr>
          <w:lang w:val="zh-CN"/>
        </w:rPr>
        <w:t>non-labile metal in HRU. In the current version of SWAT-HM, only the metal concentrations of first layer are allowed to be output.</w:t>
      </w:r>
    </w:p>
    <w:p>
      <w:pPr>
        <w:rPr>
          <w:lang w:val="zh-CN" w:eastAsia="zh-CN"/>
        </w:rPr>
      </w:pPr>
    </w:p>
    <w:p>
      <w:pPr>
        <w:pStyle w:val="5"/>
      </w:pPr>
      <w:r>
        <w:t xml:space="preserve">Table </w:t>
      </w:r>
      <w:r>
        <w:fldChar w:fldCharType="begin"/>
      </w:r>
      <w:r>
        <w:instrText xml:space="preserve"> SEQ Table \* ARABIC </w:instrText>
      </w:r>
      <w:r>
        <w:fldChar w:fldCharType="separate"/>
      </w:r>
      <w:r>
        <w:t>12</w:t>
      </w:r>
      <w:r>
        <w:fldChar w:fldCharType="end"/>
      </w:r>
      <w:r>
        <w:t xml:space="preserve"> - HRU heavy metal file (outhml.hru)</w:t>
      </w:r>
    </w:p>
    <w:tbl>
      <w:tblPr>
        <w:tblStyle w:val="12"/>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309"/>
        <w:gridCol w:w="5672"/>
        <w:gridCol w:w="1541"/>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top w:val="single" w:color="auto" w:sz="12" w:space="0"/>
              <w:left w:val="nil"/>
              <w:bottom w:val="single" w:color="auto" w:sz="12" w:space="0"/>
            </w:tcBorders>
          </w:tcPr>
          <w:p>
            <w:pPr>
              <w:jc w:val="center"/>
              <w:rPr>
                <w:b/>
              </w:rPr>
            </w:pPr>
          </w:p>
        </w:tc>
        <w:tc>
          <w:tcPr>
            <w:tcW w:w="3328"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904"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CROP</w:t>
            </w:r>
          </w:p>
        </w:tc>
        <w:tc>
          <w:tcPr>
            <w:tcW w:w="3328" w:type="pct"/>
            <w:tcBorders>
              <w:left w:val="nil"/>
              <w:right w:val="single" w:color="auto" w:sz="4" w:space="0"/>
            </w:tcBorders>
            <w:shd w:val="clear" w:color="auto" w:fill="auto"/>
            <w:vAlign w:val="center"/>
          </w:tcPr>
          <w:p>
            <w:pPr>
              <w:jc w:val="center"/>
            </w:pPr>
            <w:r>
              <w:t>Four letter character code for the cover/plant on the HRU</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HRU</w:t>
            </w:r>
          </w:p>
        </w:tc>
        <w:tc>
          <w:tcPr>
            <w:tcW w:w="3328" w:type="pct"/>
            <w:tcBorders>
              <w:left w:val="nil"/>
              <w:right w:val="single" w:color="auto" w:sz="4" w:space="0"/>
            </w:tcBorders>
            <w:shd w:val="clear" w:color="auto" w:fill="auto"/>
            <w:vAlign w:val="center"/>
          </w:tcPr>
          <w:p>
            <w:pPr>
              <w:jc w:val="center"/>
            </w:pPr>
            <w:r>
              <w:rPr>
                <w:rFonts w:hint="eastAsia"/>
              </w:rPr>
              <w:t>HRU number</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SUB</w:t>
            </w:r>
            <w:r>
              <w:t>HRU</w:t>
            </w:r>
          </w:p>
        </w:tc>
        <w:tc>
          <w:tcPr>
            <w:tcW w:w="3328" w:type="pct"/>
            <w:tcBorders>
              <w:left w:val="nil"/>
              <w:right w:val="single" w:color="auto" w:sz="4" w:space="0"/>
            </w:tcBorders>
            <w:shd w:val="clear" w:color="auto" w:fill="auto"/>
            <w:vAlign w:val="center"/>
          </w:tcPr>
          <w:p>
            <w:pPr>
              <w:jc w:val="center"/>
            </w:pPr>
            <w:r>
              <w:rPr>
                <w:rFonts w:hint="eastAsia"/>
              </w:rPr>
              <w:t>Subbasin to which the HRU belongs</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SUB</w:t>
            </w:r>
          </w:p>
        </w:tc>
        <w:tc>
          <w:tcPr>
            <w:tcW w:w="3328" w:type="pct"/>
            <w:tcBorders>
              <w:left w:val="nil"/>
              <w:right w:val="single" w:color="auto" w:sz="4" w:space="0"/>
            </w:tcBorders>
            <w:shd w:val="clear" w:color="auto" w:fill="auto"/>
            <w:vAlign w:val="center"/>
          </w:tcPr>
          <w:p>
            <w:pPr>
              <w:jc w:val="center"/>
            </w:pPr>
            <w:r>
              <w:t>S</w:t>
            </w:r>
            <w:r>
              <w:rPr>
                <w:rFonts w:hint="eastAsia"/>
              </w:rPr>
              <w:t xml:space="preserve">ubbasin </w:t>
            </w:r>
            <w:r>
              <w:t>number</w:t>
            </w:r>
          </w:p>
        </w:tc>
        <w:tc>
          <w:tcPr>
            <w:tcW w:w="904" w:type="pct"/>
            <w:tcBorders>
              <w:left w:val="single" w:color="auto" w:sz="4" w:space="0"/>
              <w:right w:val="nil"/>
            </w:tcBorders>
          </w:tcPr>
          <w:p>
            <w:pPr>
              <w:jc w:val="center"/>
            </w:pPr>
            <w:r>
              <w:t>outhml.hru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MGT</w:t>
            </w:r>
          </w:p>
        </w:tc>
        <w:tc>
          <w:tcPr>
            <w:tcW w:w="3328" w:type="pct"/>
            <w:tcBorders>
              <w:left w:val="nil"/>
              <w:right w:val="single" w:color="auto" w:sz="4" w:space="0"/>
            </w:tcBorders>
            <w:shd w:val="clear" w:color="auto" w:fill="auto"/>
            <w:vAlign w:val="center"/>
          </w:tcPr>
          <w:p>
            <w:pPr>
              <w:jc w:val="center"/>
            </w:pPr>
            <w:r>
              <w:t>Management code</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t>Date</w:t>
            </w:r>
          </w:p>
        </w:tc>
        <w:tc>
          <w:tcPr>
            <w:tcW w:w="3328" w:type="pct"/>
            <w:tcBorders>
              <w:left w:val="nil"/>
              <w:right w:val="single" w:color="auto" w:sz="4" w:space="0"/>
            </w:tcBorders>
            <w:shd w:val="clear" w:color="auto" w:fill="auto"/>
            <w:vAlign w:val="center"/>
          </w:tcPr>
          <w:p>
            <w:pPr>
              <w:jc w:val="center"/>
            </w:pPr>
            <w:r>
              <w:rPr>
                <w:rFonts w:hint="eastAsia"/>
              </w:rPr>
              <w:t xml:space="preserve">Daily time step : the </w:t>
            </w:r>
            <w:r>
              <w:t>Julian</w:t>
            </w:r>
            <w:r>
              <w:rPr>
                <w:rFonts w:hint="eastAsia"/>
              </w:rPr>
              <w:t xml:space="preserve"> </w:t>
            </w:r>
            <w:r>
              <w:t>date</w:t>
            </w:r>
          </w:p>
          <w:p>
            <w:pPr>
              <w:jc w:val="center"/>
            </w:pPr>
            <w:r>
              <w:t>Monthly time step : the month (1 - 12)</w:t>
            </w:r>
          </w:p>
          <w:p>
            <w:pPr>
              <w:jc w:val="center"/>
            </w:pPr>
            <w:r>
              <w:t>Annual time step : 4-digit year</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rPr>
              <w:t>Area</w:t>
            </w:r>
          </w:p>
        </w:tc>
        <w:tc>
          <w:tcPr>
            <w:tcW w:w="3328" w:type="pct"/>
            <w:tcBorders>
              <w:left w:val="nil"/>
              <w:right w:val="single" w:color="auto" w:sz="4" w:space="0"/>
            </w:tcBorders>
            <w:shd w:val="clear" w:color="auto" w:fill="auto"/>
            <w:vAlign w:val="center"/>
          </w:tcPr>
          <w:p>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pPr>
            <w:r>
              <w:rPr>
                <w:rFonts w:hint="eastAsia"/>
                <w:i/>
              </w:rPr>
              <w:t>M</w:t>
            </w:r>
            <w:r>
              <w:rPr>
                <w:vertAlign w:val="subscript"/>
              </w:rPr>
              <w:t>d</w:t>
            </w:r>
            <w:r>
              <w:rPr>
                <w:rFonts w:hint="eastAsia"/>
              </w:rPr>
              <w:t>_Sub</w:t>
            </w:r>
          </w:p>
        </w:tc>
        <w:tc>
          <w:tcPr>
            <w:tcW w:w="3328" w:type="pct"/>
            <w:tcBorders>
              <w:left w:val="nil"/>
              <w:right w:val="single" w:color="auto" w:sz="4" w:space="0"/>
            </w:tcBorders>
            <w:shd w:val="clear" w:color="auto" w:fill="auto"/>
            <w:vAlign w:val="center"/>
          </w:tcPr>
          <w:p>
            <w:pPr>
              <w:jc w:val="center"/>
            </w:pPr>
            <w:r>
              <w:t>Dissolved metal concentration in first soil layer (kg)</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rPr>
                <w:i/>
              </w:rPr>
            </w:pPr>
            <w:r>
              <w:rPr>
                <w:rFonts w:hint="eastAsia"/>
                <w:i/>
              </w:rPr>
              <w:t>M</w:t>
            </w:r>
            <w:r>
              <w:rPr>
                <w:vertAlign w:val="subscript"/>
              </w:rPr>
              <w:t>l</w:t>
            </w:r>
            <w:r>
              <w:rPr>
                <w:rFonts w:hint="eastAsia"/>
              </w:rPr>
              <w:t>_Sub</w:t>
            </w:r>
          </w:p>
        </w:tc>
        <w:tc>
          <w:tcPr>
            <w:tcW w:w="3328" w:type="pct"/>
            <w:tcBorders>
              <w:left w:val="nil"/>
              <w:right w:val="single" w:color="auto" w:sz="4" w:space="0"/>
            </w:tcBorders>
            <w:shd w:val="clear" w:color="auto" w:fill="auto"/>
            <w:vAlign w:val="center"/>
          </w:tcPr>
          <w:p>
            <w:pPr>
              <w:jc w:val="center"/>
              <w:rPr>
                <w:lang w:val="zh-CN"/>
              </w:rPr>
            </w:pPr>
            <w:r>
              <w:rPr>
                <w:lang w:val="zh-CN"/>
              </w:rPr>
              <w:t>Labile adsorbed</w:t>
            </w:r>
            <w:r>
              <w:t xml:space="preserve"> metal concentration in first soil layer (kg)</w:t>
            </w:r>
          </w:p>
        </w:tc>
        <w:tc>
          <w:tcPr>
            <w:tcW w:w="904" w:type="pct"/>
            <w:tcBorders>
              <w:left w:val="single" w:color="auto" w:sz="4" w:space="0"/>
              <w:right w:val="nil"/>
            </w:tcBorders>
          </w:tcPr>
          <w:p>
            <w:pPr>
              <w:jc w:val="center"/>
            </w:pPr>
            <w:r>
              <w:t>o</w:t>
            </w:r>
            <w:r>
              <w:rPr>
                <w:rFonts w:hint="eastAsia"/>
              </w:rPr>
              <w:t>uthml.</w:t>
            </w:r>
            <w:r>
              <w:t>hru</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768" w:type="pct"/>
            <w:tcBorders>
              <w:left w:val="nil"/>
            </w:tcBorders>
          </w:tcPr>
          <w:p>
            <w:pPr>
              <w:jc w:val="center"/>
              <w:rPr>
                <w:i/>
              </w:rPr>
            </w:pPr>
            <w:r>
              <w:rPr>
                <w:rFonts w:hint="eastAsia"/>
                <w:i/>
              </w:rPr>
              <w:t>M</w:t>
            </w:r>
            <w:r>
              <w:rPr>
                <w:vertAlign w:val="subscript"/>
              </w:rPr>
              <w:t>n</w:t>
            </w:r>
            <w:r>
              <w:rPr>
                <w:rFonts w:hint="eastAsia"/>
              </w:rPr>
              <w:t>_Sub</w:t>
            </w:r>
          </w:p>
        </w:tc>
        <w:tc>
          <w:tcPr>
            <w:tcW w:w="3328" w:type="pct"/>
            <w:tcBorders>
              <w:left w:val="nil"/>
              <w:right w:val="single" w:color="auto" w:sz="4" w:space="0"/>
            </w:tcBorders>
            <w:shd w:val="clear" w:color="auto" w:fill="auto"/>
            <w:vAlign w:val="center"/>
          </w:tcPr>
          <w:p>
            <w:pPr>
              <w:jc w:val="center"/>
              <w:rPr>
                <w:lang w:val="zh-CN"/>
              </w:rPr>
            </w:pPr>
            <w:r>
              <w:rPr>
                <w:lang w:val="zh-CN"/>
              </w:rPr>
              <w:t>Non-labile metal</w:t>
            </w:r>
            <w:r>
              <w:t xml:space="preserve"> concentration in first soil layer (kg)</w:t>
            </w:r>
          </w:p>
        </w:tc>
        <w:tc>
          <w:tcPr>
            <w:tcW w:w="904" w:type="pct"/>
            <w:tcBorders>
              <w:left w:val="single" w:color="auto" w:sz="4" w:space="0"/>
              <w:right w:val="nil"/>
            </w:tcBorders>
          </w:tcPr>
          <w:p>
            <w:pPr>
              <w:jc w:val="center"/>
            </w:pPr>
            <w:r>
              <w:t>o</w:t>
            </w:r>
            <w:r>
              <w:rPr>
                <w:rFonts w:hint="eastAsia"/>
              </w:rPr>
              <w:t>uthml.</w:t>
            </w:r>
            <w:r>
              <w:t>hru</w:t>
            </w:r>
          </w:p>
        </w:tc>
      </w:tr>
    </w:tbl>
    <w:p>
      <w:pPr>
        <w:widowControl/>
        <w:jc w:val="left"/>
        <w:rPr>
          <w:lang w:val="zh-CN" w:eastAsia="zh-CN"/>
        </w:rPr>
      </w:pPr>
    </w:p>
    <w:p>
      <w:pPr>
        <w:widowControl/>
        <w:jc w:val="left"/>
      </w:pPr>
      <w:r>
        <w:br w:type="page"/>
      </w:r>
    </w:p>
    <w:p>
      <w:pPr>
        <w:pStyle w:val="3"/>
      </w:pPr>
      <w:r>
        <w:t>Main channel heavy metal output file (o</w:t>
      </w:r>
      <w:r>
        <w:rPr>
          <w:rFonts w:hint="eastAsia"/>
        </w:rPr>
        <w:t>uthml.</w:t>
      </w:r>
      <w:r>
        <w:t>rch)</w:t>
      </w:r>
    </w:p>
    <w:p>
      <w:pPr>
        <w:ind w:firstLine="420"/>
        <w:rPr>
          <w:lang w:val="zh-CN"/>
        </w:rPr>
      </w:pPr>
      <w:r>
        <w:rPr>
          <w:lang w:val="zh-CN"/>
        </w:rPr>
        <w:t>T</w:t>
      </w:r>
      <w:r>
        <w:rPr>
          <w:rFonts w:hint="eastAsia"/>
          <w:lang w:val="zh-CN"/>
        </w:rPr>
        <w:t xml:space="preserve">he </w:t>
      </w:r>
      <w:r>
        <w:rPr>
          <w:lang w:val="zh-CN"/>
        </w:rPr>
        <w:t>main channel heavy metal file contains output data about concentration</w:t>
      </w:r>
      <w:r>
        <w:rPr>
          <w:rFonts w:hint="eastAsia"/>
          <w:lang w:val="zh-CN"/>
        </w:rPr>
        <w:t xml:space="preserve"> </w:t>
      </w:r>
      <w:r>
        <w:rPr>
          <w:lang w:val="zh-CN"/>
        </w:rPr>
        <w:t xml:space="preserve">and amount </w:t>
      </w:r>
      <w:r>
        <w:rPr>
          <w:rFonts w:hint="eastAsia"/>
          <w:lang w:val="zh-CN"/>
        </w:rPr>
        <w:t xml:space="preserve">of </w:t>
      </w:r>
      <w:r>
        <w:rPr>
          <w:lang w:val="zh-CN"/>
        </w:rPr>
        <w:t>free metal ions, metal complexes, labile adsorbed metal, and</w:t>
      </w:r>
      <w:r>
        <w:rPr>
          <w:rFonts w:hint="eastAsia"/>
          <w:lang w:val="zh-CN"/>
        </w:rPr>
        <w:t xml:space="preserve"> </w:t>
      </w:r>
      <w:r>
        <w:rPr>
          <w:lang w:val="zh-CN"/>
        </w:rPr>
        <w:t>non-labile metal in three different environmental media (water, suspended sediment and bed sediment). Only one metal can be routed through the stream network at one time.</w:t>
      </w:r>
    </w:p>
    <w:p>
      <w:pPr>
        <w:rPr>
          <w:lang w:val="zh-CN"/>
        </w:rPr>
      </w:pPr>
    </w:p>
    <w:p>
      <w:pPr>
        <w:pStyle w:val="5"/>
      </w:pPr>
      <w:r>
        <w:t xml:space="preserve">Table </w:t>
      </w:r>
      <w:r>
        <w:fldChar w:fldCharType="begin"/>
      </w:r>
      <w:r>
        <w:instrText xml:space="preserve"> SEQ Table \* ARABIC </w:instrText>
      </w:r>
      <w:r>
        <w:fldChar w:fldCharType="separate"/>
      </w:r>
      <w:r>
        <w:t>13</w:t>
      </w:r>
      <w:r>
        <w:fldChar w:fldCharType="end"/>
      </w:r>
      <w:r>
        <w:t xml:space="preserve"> - Main channel heavy metal file (outhml.rch)</w:t>
      </w:r>
    </w:p>
    <w:tbl>
      <w:tblPr>
        <w:tblStyle w:val="12"/>
        <w:tblW w:w="5000" w:type="pct"/>
        <w:jc w:val="center"/>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6040"/>
        <w:gridCol w:w="1318"/>
      </w:tblGrid>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top w:val="single" w:color="auto" w:sz="12" w:space="0"/>
              <w:left w:val="nil"/>
              <w:bottom w:val="single" w:color="auto" w:sz="12" w:space="0"/>
            </w:tcBorders>
          </w:tcPr>
          <w:p>
            <w:pPr>
              <w:jc w:val="center"/>
              <w:rPr>
                <w:b/>
              </w:rPr>
            </w:pPr>
          </w:p>
        </w:tc>
        <w:tc>
          <w:tcPr>
            <w:tcW w:w="3544" w:type="pct"/>
            <w:tcBorders>
              <w:top w:val="single" w:color="auto" w:sz="12" w:space="0"/>
              <w:left w:val="nil"/>
              <w:bottom w:val="single" w:color="auto" w:sz="12" w:space="0"/>
              <w:right w:val="single" w:color="auto" w:sz="4" w:space="0"/>
            </w:tcBorders>
            <w:shd w:val="clear" w:color="auto" w:fill="auto"/>
            <w:vAlign w:val="center"/>
          </w:tcPr>
          <w:p>
            <w:pPr>
              <w:jc w:val="center"/>
              <w:rPr>
                <w:b/>
              </w:rPr>
            </w:pPr>
            <w:r>
              <w:rPr>
                <w:rFonts w:hint="eastAsia"/>
                <w:b/>
              </w:rPr>
              <w:t>Definition</w:t>
            </w:r>
          </w:p>
        </w:tc>
        <w:tc>
          <w:tcPr>
            <w:tcW w:w="773" w:type="pct"/>
            <w:tcBorders>
              <w:top w:val="single" w:color="auto" w:sz="12" w:space="0"/>
              <w:left w:val="single" w:color="auto" w:sz="4" w:space="0"/>
              <w:bottom w:val="single" w:color="auto" w:sz="12" w:space="0"/>
              <w:right w:val="nil"/>
            </w:tcBorders>
          </w:tcPr>
          <w:p>
            <w:pPr>
              <w:jc w:val="center"/>
              <w:rPr>
                <w:b/>
              </w:rPr>
            </w:pPr>
            <w:r>
              <w:rPr>
                <w:rFonts w:hint="eastAsia"/>
                <w:b/>
              </w:rPr>
              <w:t>File</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RCH</w:t>
            </w:r>
          </w:p>
        </w:tc>
        <w:tc>
          <w:tcPr>
            <w:tcW w:w="3544" w:type="pct"/>
            <w:tcBorders>
              <w:left w:val="nil"/>
              <w:right w:val="single" w:color="auto" w:sz="4" w:space="0"/>
            </w:tcBorders>
            <w:shd w:val="clear" w:color="auto" w:fill="auto"/>
            <w:vAlign w:val="center"/>
          </w:tcPr>
          <w:p>
            <w:pPr>
              <w:jc w:val="center"/>
            </w:pPr>
            <w:r>
              <w:rPr>
                <w:rFonts w:hint="eastAsia"/>
              </w:rPr>
              <w:t>Reach number</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GIS</w:t>
            </w:r>
          </w:p>
        </w:tc>
        <w:tc>
          <w:tcPr>
            <w:tcW w:w="3544" w:type="pct"/>
            <w:tcBorders>
              <w:left w:val="nil"/>
              <w:right w:val="single" w:color="auto" w:sz="4" w:space="0"/>
            </w:tcBorders>
            <w:shd w:val="clear" w:color="auto" w:fill="auto"/>
            <w:vAlign w:val="center"/>
          </w:tcPr>
          <w:p>
            <w:pPr>
              <w:jc w:val="center"/>
            </w:pPr>
            <w:r>
              <w:rPr>
                <w:rFonts w:hint="eastAsia"/>
              </w:rPr>
              <w:t>GIS number reprinted from wa</w:t>
            </w:r>
            <w:r>
              <w:t>tershed configuration file</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t>Date</w:t>
            </w:r>
          </w:p>
        </w:tc>
        <w:tc>
          <w:tcPr>
            <w:tcW w:w="3544" w:type="pct"/>
            <w:tcBorders>
              <w:left w:val="nil"/>
              <w:right w:val="single" w:color="auto" w:sz="4" w:space="0"/>
            </w:tcBorders>
            <w:shd w:val="clear" w:color="auto" w:fill="auto"/>
            <w:vAlign w:val="center"/>
          </w:tcPr>
          <w:p>
            <w:pPr>
              <w:jc w:val="center"/>
            </w:pPr>
            <w:r>
              <w:rPr>
                <w:rFonts w:hint="eastAsia"/>
              </w:rPr>
              <w:t xml:space="preserve">Daily time step : the </w:t>
            </w:r>
            <w:r>
              <w:t>Julian</w:t>
            </w:r>
            <w:r>
              <w:rPr>
                <w:rFonts w:hint="eastAsia"/>
              </w:rPr>
              <w:t xml:space="preserve"> </w:t>
            </w:r>
            <w:r>
              <w:t>date</w:t>
            </w:r>
          </w:p>
          <w:p>
            <w:pPr>
              <w:jc w:val="center"/>
            </w:pPr>
            <w:r>
              <w:t>Monthly time step : the month (1 - 12)</w:t>
            </w:r>
          </w:p>
          <w:p>
            <w:pPr>
              <w:jc w:val="center"/>
            </w:pPr>
            <w:r>
              <w:t>Annual time step : 4-digit year</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Area</w:t>
            </w:r>
          </w:p>
        </w:tc>
        <w:tc>
          <w:tcPr>
            <w:tcW w:w="3544" w:type="pct"/>
            <w:tcBorders>
              <w:left w:val="nil"/>
              <w:right w:val="single" w:color="auto" w:sz="4" w:space="0"/>
            </w:tcBorders>
            <w:shd w:val="clear" w:color="auto" w:fill="auto"/>
            <w:vAlign w:val="center"/>
          </w:tcPr>
          <w:p>
            <w:pPr>
              <w:jc w:val="center"/>
            </w:pPr>
            <w:r>
              <w:rPr>
                <w:rFonts w:hint="eastAsia"/>
              </w:rPr>
              <w:t>Area drained by reach (</w:t>
            </w:r>
            <w:r>
              <w:t>km</w:t>
            </w:r>
            <w:r>
              <w:rPr>
                <w:vertAlign w:val="superscript"/>
              </w:rPr>
              <w:t>2</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rPr>
                <w:rFonts w:hint="eastAsia"/>
              </w:rPr>
              <w:t>_IN</w:t>
            </w:r>
          </w:p>
        </w:tc>
        <w:tc>
          <w:tcPr>
            <w:tcW w:w="3544" w:type="pct"/>
            <w:tcBorders>
              <w:left w:val="nil"/>
              <w:right w:val="single" w:color="auto" w:sz="4" w:space="0"/>
            </w:tcBorders>
            <w:shd w:val="clear" w:color="auto" w:fill="auto"/>
            <w:vAlign w:val="center"/>
          </w:tcPr>
          <w:p>
            <w:pPr>
              <w:jc w:val="center"/>
            </w:pPr>
            <w:r>
              <w:t>Dissolved metal transport into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l</w:t>
            </w:r>
            <w:r>
              <w:rPr>
                <w:rFonts w:hint="eastAsia"/>
              </w:rPr>
              <w:t>_IN</w:t>
            </w:r>
          </w:p>
        </w:tc>
        <w:tc>
          <w:tcPr>
            <w:tcW w:w="3544" w:type="pct"/>
            <w:tcBorders>
              <w:left w:val="nil"/>
              <w:right w:val="single" w:color="auto" w:sz="4" w:space="0"/>
            </w:tcBorders>
            <w:shd w:val="clear" w:color="auto" w:fill="auto"/>
            <w:vAlign w:val="center"/>
          </w:tcPr>
          <w:p>
            <w:pPr>
              <w:jc w:val="center"/>
            </w:pPr>
            <w:r>
              <w:rPr>
                <w:lang w:val="zh-CN"/>
              </w:rPr>
              <w:t>Labile adsorbed</w:t>
            </w:r>
            <w:r>
              <w:t xml:space="preserve"> metal transport into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n</w:t>
            </w:r>
            <w:r>
              <w:rPr>
                <w:rFonts w:hint="eastAsia"/>
              </w:rPr>
              <w:t>_IN</w:t>
            </w:r>
          </w:p>
        </w:tc>
        <w:tc>
          <w:tcPr>
            <w:tcW w:w="3544" w:type="pct"/>
            <w:tcBorders>
              <w:left w:val="nil"/>
              <w:right w:val="single" w:color="auto" w:sz="4" w:space="0"/>
            </w:tcBorders>
            <w:shd w:val="clear" w:color="auto" w:fill="auto"/>
            <w:vAlign w:val="center"/>
          </w:tcPr>
          <w:p>
            <w:pPr>
              <w:jc w:val="center"/>
            </w:pPr>
            <w:r>
              <w:rPr>
                <w:lang w:val="zh-CN"/>
              </w:rPr>
              <w:t>Non-labile metal</w:t>
            </w:r>
            <w:r>
              <w:t xml:space="preserve"> transport into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set</w:t>
            </w:r>
          </w:p>
        </w:tc>
        <w:tc>
          <w:tcPr>
            <w:tcW w:w="3544" w:type="pct"/>
            <w:tcBorders>
              <w:left w:val="nil"/>
              <w:right w:val="single" w:color="auto" w:sz="4" w:space="0"/>
            </w:tcBorders>
            <w:shd w:val="clear" w:color="auto" w:fill="auto"/>
            <w:vAlign w:val="center"/>
          </w:tcPr>
          <w:p>
            <w:pPr>
              <w:jc w:val="center"/>
            </w:pPr>
            <w:r>
              <w:t>Amounts of settled heavy</w:t>
            </w:r>
            <w:r>
              <w:rPr>
                <w:rFonts w:hint="eastAsia"/>
              </w:rPr>
              <w:t xml:space="preserve"> </w:t>
            </w:r>
            <w:r>
              <w:t>metal (kg)</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res</w:t>
            </w:r>
          </w:p>
        </w:tc>
        <w:tc>
          <w:tcPr>
            <w:tcW w:w="3544" w:type="pct"/>
            <w:tcBorders>
              <w:left w:val="nil"/>
              <w:right w:val="single" w:color="auto" w:sz="4" w:space="0"/>
            </w:tcBorders>
            <w:shd w:val="clear" w:color="auto" w:fill="auto"/>
            <w:vAlign w:val="center"/>
          </w:tcPr>
          <w:p>
            <w:pPr>
              <w:jc w:val="center"/>
            </w:pPr>
            <w:r>
              <w:t>Amounts of resuspended heavy</w:t>
            </w:r>
            <w:r>
              <w:rPr>
                <w:rFonts w:hint="eastAsia"/>
              </w:rPr>
              <w:t xml:space="preserve"> </w:t>
            </w:r>
            <w:r>
              <w:t>metal (kg)</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bur</w:t>
            </w:r>
          </w:p>
        </w:tc>
        <w:tc>
          <w:tcPr>
            <w:tcW w:w="3544" w:type="pct"/>
            <w:tcBorders>
              <w:left w:val="nil"/>
              <w:right w:val="single" w:color="auto" w:sz="4" w:space="0"/>
            </w:tcBorders>
            <w:shd w:val="clear" w:color="auto" w:fill="auto"/>
            <w:vAlign w:val="center"/>
          </w:tcPr>
          <w:p>
            <w:pPr>
              <w:jc w:val="center"/>
            </w:pPr>
            <w:r>
              <w:t>The burial flux of heavy metal (kg m</w:t>
            </w:r>
            <w:r>
              <w:rPr>
                <w:vertAlign w:val="superscript"/>
              </w:rPr>
              <w:t>−2</w:t>
            </w:r>
            <w:r>
              <w:t xml:space="preserve"> d</w:t>
            </w:r>
            <w:r>
              <w:rPr>
                <w:vertAlign w:val="superscript"/>
              </w:rPr>
              <w:t>−1</w:t>
            </w:r>
            <w: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vertAlign w:val="subscript"/>
              </w:rPr>
              <w:t>dif</w:t>
            </w:r>
          </w:p>
        </w:tc>
        <w:tc>
          <w:tcPr>
            <w:tcW w:w="3544" w:type="pct"/>
            <w:tcBorders>
              <w:left w:val="nil"/>
              <w:right w:val="single" w:color="auto" w:sz="4" w:space="0"/>
            </w:tcBorders>
            <w:shd w:val="clear" w:color="auto" w:fill="auto"/>
            <w:vAlign w:val="center"/>
          </w:tcPr>
          <w:p>
            <w:pPr>
              <w:jc w:val="center"/>
            </w:pPr>
            <w:r>
              <w:t>The diffusion flux of heavy metal (kg m</w:t>
            </w:r>
            <w:r>
              <w:rPr>
                <w:vertAlign w:val="superscript"/>
              </w:rPr>
              <w:t>−2</w:t>
            </w:r>
            <w:r>
              <w:t xml:space="preserve"> d</w:t>
            </w:r>
            <w:r>
              <w:rPr>
                <w:vertAlign w:val="superscript"/>
              </w:rPr>
              <w:t>−1</w:t>
            </w:r>
            <w: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t>_OUT</w:t>
            </w:r>
          </w:p>
        </w:tc>
        <w:tc>
          <w:tcPr>
            <w:tcW w:w="3544" w:type="pct"/>
            <w:tcBorders>
              <w:left w:val="nil"/>
              <w:right w:val="single" w:color="auto" w:sz="4" w:space="0"/>
            </w:tcBorders>
            <w:shd w:val="clear" w:color="auto" w:fill="auto"/>
            <w:vAlign w:val="center"/>
          </w:tcPr>
          <w:p>
            <w:pPr>
              <w:jc w:val="center"/>
            </w:pPr>
            <w:r>
              <w:t>Dissolved metal transport out of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l</w:t>
            </w:r>
            <w:r>
              <w:t>_OUT</w:t>
            </w:r>
          </w:p>
        </w:tc>
        <w:tc>
          <w:tcPr>
            <w:tcW w:w="3544" w:type="pct"/>
            <w:tcBorders>
              <w:left w:val="nil"/>
              <w:right w:val="single" w:color="auto" w:sz="4" w:space="0"/>
            </w:tcBorders>
            <w:shd w:val="clear" w:color="auto" w:fill="auto"/>
            <w:vAlign w:val="center"/>
          </w:tcPr>
          <w:p>
            <w:pPr>
              <w:jc w:val="center"/>
            </w:pPr>
            <w:r>
              <w:rPr>
                <w:lang w:val="zh-CN"/>
              </w:rPr>
              <w:t>Labile adsorbed</w:t>
            </w:r>
            <w:r>
              <w:t xml:space="preserve"> metal transport out of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n</w:t>
            </w:r>
            <w:r>
              <w:t>_OUT</w:t>
            </w:r>
          </w:p>
        </w:tc>
        <w:tc>
          <w:tcPr>
            <w:tcW w:w="3544" w:type="pct"/>
            <w:tcBorders>
              <w:left w:val="nil"/>
              <w:right w:val="single" w:color="auto" w:sz="4" w:space="0"/>
            </w:tcBorders>
            <w:shd w:val="clear" w:color="auto" w:fill="auto"/>
            <w:vAlign w:val="center"/>
          </w:tcPr>
          <w:p>
            <w:pPr>
              <w:jc w:val="center"/>
            </w:pPr>
            <w:r>
              <w:rPr>
                <w:lang w:val="zh-CN"/>
              </w:rPr>
              <w:t>Non-labile metal</w:t>
            </w:r>
            <w:r>
              <w:t xml:space="preserve"> transport out of reach during time step</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i/>
              </w:rPr>
              <w:t>M</w:t>
            </w:r>
            <w:r>
              <w:rPr>
                <w:vertAlign w:val="subscript"/>
              </w:rPr>
              <w:t>d</w:t>
            </w:r>
            <w:r>
              <w:t>_Bed</w:t>
            </w:r>
          </w:p>
        </w:tc>
        <w:tc>
          <w:tcPr>
            <w:tcW w:w="3544" w:type="pct"/>
            <w:tcBorders>
              <w:left w:val="nil"/>
              <w:right w:val="single" w:color="auto" w:sz="4" w:space="0"/>
            </w:tcBorders>
            <w:shd w:val="clear" w:color="auto" w:fill="auto"/>
            <w:vAlign w:val="center"/>
          </w:tcPr>
          <w:p>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rFonts w:hint="eastAsia"/>
                <w:vertAlign w:val="subscript"/>
              </w:rPr>
              <w:t>l</w:t>
            </w:r>
            <w:r>
              <w:t>_ Bed</w:t>
            </w:r>
          </w:p>
        </w:tc>
        <w:tc>
          <w:tcPr>
            <w:tcW w:w="3544" w:type="pct"/>
            <w:tcBorders>
              <w:left w:val="nil"/>
              <w:right w:val="single" w:color="auto" w:sz="4" w:space="0"/>
            </w:tcBorders>
            <w:shd w:val="clear" w:color="auto" w:fill="auto"/>
            <w:vAlign w:val="center"/>
          </w:tcPr>
          <w:p>
            <w:pPr>
              <w:jc w:val="center"/>
            </w:pPr>
            <w:r>
              <w:rPr>
                <w:lang w:val="zh-CN"/>
              </w:rPr>
              <w:t>Labile adsorbed</w:t>
            </w:r>
            <w:r>
              <w:t xml:space="preserve"> metal concentration in bed sediment </w:t>
            </w:r>
            <w:r>
              <w:rPr>
                <w:rFonts w:hint="eastAsia"/>
              </w:rPr>
              <w:t>(</w:t>
            </w:r>
            <w:r>
              <w:t>mg kg</w:t>
            </w:r>
            <w:r>
              <w:rPr>
                <w:vertAlign w:val="superscript"/>
              </w:rPr>
              <w:t>-1</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r>
        <w:tblPrEx>
          <w:tblBorders>
            <w:top w:val="single" w:color="auto" w:sz="4"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83" w:type="pct"/>
            <w:tcBorders>
              <w:left w:val="nil"/>
            </w:tcBorders>
          </w:tcPr>
          <w:p>
            <w:pPr>
              <w:jc w:val="center"/>
            </w:pPr>
            <w:r>
              <w:rPr>
                <w:rFonts w:hint="eastAsia"/>
              </w:rPr>
              <w:t>M</w:t>
            </w:r>
            <w:r>
              <w:rPr>
                <w:rFonts w:hint="eastAsia"/>
                <w:vertAlign w:val="subscript"/>
              </w:rPr>
              <w:t>n</w:t>
            </w:r>
            <w:r>
              <w:t>_ Bed</w:t>
            </w:r>
          </w:p>
        </w:tc>
        <w:tc>
          <w:tcPr>
            <w:tcW w:w="3544" w:type="pct"/>
            <w:tcBorders>
              <w:left w:val="nil"/>
              <w:right w:val="single" w:color="auto" w:sz="4" w:space="0"/>
            </w:tcBorders>
            <w:shd w:val="clear" w:color="auto" w:fill="auto"/>
            <w:vAlign w:val="center"/>
          </w:tcPr>
          <w:p>
            <w:pPr>
              <w:jc w:val="center"/>
            </w:pPr>
            <w:r>
              <w:rPr>
                <w:lang w:val="zh-CN"/>
              </w:rPr>
              <w:t>Non-labile metal</w:t>
            </w:r>
            <w:r>
              <w:t xml:space="preserve"> concentration in bed sediment </w:t>
            </w:r>
            <w:r>
              <w:rPr>
                <w:rFonts w:hint="eastAsia"/>
              </w:rPr>
              <w:t>(</w:t>
            </w:r>
            <w:r>
              <w:t>mg kg</w:t>
            </w:r>
            <w:r>
              <w:rPr>
                <w:vertAlign w:val="superscript"/>
              </w:rPr>
              <w:t>-1</w:t>
            </w:r>
            <w:r>
              <w:rPr>
                <w:rFonts w:hint="eastAsia"/>
              </w:rPr>
              <w:t>)</w:t>
            </w:r>
          </w:p>
        </w:tc>
        <w:tc>
          <w:tcPr>
            <w:tcW w:w="773" w:type="pct"/>
            <w:tcBorders>
              <w:left w:val="single" w:color="auto" w:sz="4" w:space="0"/>
              <w:right w:val="nil"/>
            </w:tcBorders>
          </w:tcPr>
          <w:p>
            <w:pPr>
              <w:jc w:val="center"/>
            </w:pPr>
            <w:r>
              <w:t>o</w:t>
            </w:r>
            <w:r>
              <w:rPr>
                <w:rFonts w:hint="eastAsia"/>
              </w:rPr>
              <w:t>uthml.</w:t>
            </w:r>
            <w:r>
              <w:t>rch</w:t>
            </w:r>
          </w:p>
        </w:tc>
      </w:tr>
    </w:tbl>
    <w:p>
      <w:pPr>
        <w:pStyle w:val="20"/>
        <w:numPr>
          <w:ilvl w:val="0"/>
          <w:numId w:val="5"/>
        </w:numPr>
        <w:ind w:firstLineChars="0"/>
      </w:pPr>
      <w:r>
        <w:t xml:space="preserve">Free metal ions and </w:t>
      </w:r>
      <w:r>
        <w:rPr>
          <w:lang w:val="zh-CN"/>
        </w:rPr>
        <w:t>Metal complexes</w:t>
      </w:r>
    </w:p>
    <w:p>
      <w:pPr>
        <w:pStyle w:val="20"/>
        <w:numPr>
          <w:ilvl w:val="0"/>
          <w:numId w:val="5"/>
        </w:numPr>
        <w:ind w:firstLineChars="0"/>
      </w:pPr>
      <w:r>
        <w:rPr>
          <w:lang w:val="zh-CN"/>
        </w:rPr>
        <w:t>Metal complexes</w:t>
      </w:r>
    </w:p>
    <w:p>
      <w:pPr>
        <w:pStyle w:val="5"/>
      </w:pPr>
      <w:r>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val="en-US" w:eastAsia="zh-Hans"/>
        </w:rPr>
        <w:t>out</w:t>
      </w:r>
      <w:r>
        <w:rPr>
          <w:rFonts w:hint="default"/>
          <w:lang w:eastAsia="zh-Hans"/>
        </w:rPr>
        <w:t>put.</w:t>
      </w:r>
      <w:r>
        <w:rPr>
          <w:rFonts w:hint="default"/>
          <w:lang w:eastAsia="zh-Hans"/>
        </w:rPr>
        <w:t xml:space="preserve">rch </w:t>
      </w:r>
      <w:r>
        <w:t>file</w:t>
      </w:r>
    </w:p>
    <w:tbl>
      <w:tblPr>
        <w:tblStyle w:val="12"/>
        <w:tblW w:w="4873" w:type="pct"/>
        <w:jc w:val="center"/>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2123"/>
        <w:gridCol w:w="1201"/>
        <w:gridCol w:w="1589"/>
        <w:gridCol w:w="1380"/>
        <w:gridCol w:w="2013"/>
      </w:tblGrid>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tcBorders>
              <w:top w:val="single" w:color="auto" w:sz="12" w:space="0"/>
            </w:tcBorders>
            <w:shd w:val="clear" w:color="auto" w:fill="auto"/>
            <w:noWrap/>
            <w:vAlign w:val="center"/>
          </w:tcPr>
          <w:p>
            <w:pPr>
              <w:jc w:val="center"/>
              <w:rPr>
                <w:b/>
              </w:rPr>
            </w:pPr>
            <w:r>
              <w:rPr>
                <w:rFonts w:hint="eastAsia"/>
                <w:b/>
              </w:rPr>
              <w:t>Param</w:t>
            </w:r>
            <w:r>
              <w:rPr>
                <w:b/>
              </w:rPr>
              <w:t>e</w:t>
            </w:r>
            <w:r>
              <w:rPr>
                <w:rFonts w:hint="eastAsia"/>
                <w:b/>
              </w:rPr>
              <w:t>ters</w:t>
            </w:r>
          </w:p>
        </w:tc>
        <w:tc>
          <w:tcPr>
            <w:tcW w:w="747" w:type="pct"/>
            <w:tcBorders>
              <w:top w:val="single" w:color="auto" w:sz="12" w:space="0"/>
            </w:tcBorders>
          </w:tcPr>
          <w:p>
            <w:pPr>
              <w:jc w:val="center"/>
              <w:rPr>
                <w:b/>
              </w:rPr>
            </w:pPr>
            <w:r>
              <w:rPr>
                <w:rFonts w:hint="eastAsia"/>
                <w:b/>
              </w:rPr>
              <w:t>L</w:t>
            </w:r>
            <w:r>
              <w:rPr>
                <w:b/>
              </w:rPr>
              <w:t>ine #</w:t>
            </w:r>
          </w:p>
        </w:tc>
        <w:tc>
          <w:tcPr>
            <w:tcW w:w="956" w:type="pct"/>
            <w:tcBorders>
              <w:top w:val="single" w:color="auto" w:sz="12" w:space="0"/>
            </w:tcBorders>
          </w:tcPr>
          <w:p>
            <w:pPr>
              <w:jc w:val="center"/>
              <w:rPr>
                <w:b/>
              </w:rPr>
            </w:pPr>
            <w:r>
              <w:rPr>
                <w:rFonts w:hint="eastAsia"/>
                <w:b/>
              </w:rPr>
              <w:t>P</w:t>
            </w:r>
            <w:r>
              <w:rPr>
                <w:b/>
              </w:rPr>
              <w:t>osition</w:t>
            </w:r>
          </w:p>
        </w:tc>
        <w:tc>
          <w:tcPr>
            <w:tcW w:w="854" w:type="pct"/>
            <w:tcBorders>
              <w:top w:val="single" w:color="auto" w:sz="12" w:space="0"/>
            </w:tcBorders>
          </w:tcPr>
          <w:p>
            <w:pPr>
              <w:jc w:val="center"/>
              <w:rPr>
                <w:b/>
              </w:rPr>
            </w:pPr>
            <w:r>
              <w:rPr>
                <w:rFonts w:hint="eastAsia"/>
                <w:b/>
              </w:rPr>
              <w:t>F</w:t>
            </w:r>
            <w:r>
              <w:rPr>
                <w:b/>
              </w:rPr>
              <w:t>ormat</w:t>
            </w:r>
          </w:p>
        </w:tc>
        <w:tc>
          <w:tcPr>
            <w:tcW w:w="1235" w:type="pct"/>
            <w:tcBorders>
              <w:top w:val="single" w:color="auto" w:sz="12" w:space="0"/>
              <w:bottom w:val="single" w:color="auto" w:sz="12" w:space="0"/>
            </w:tcBorders>
          </w:tcPr>
          <w:p>
            <w:pPr>
              <w:jc w:val="center"/>
              <w:rPr>
                <w:b/>
              </w:rPr>
            </w:pPr>
            <w:r>
              <w:rPr>
                <w:b/>
              </w:rPr>
              <w:t>F90 Format</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tcBorders>
              <w:top w:val="single" w:color="auto" w:sz="12" w:space="0"/>
            </w:tcBorders>
            <w:shd w:val="clear" w:color="auto" w:fill="auto"/>
            <w:noWrap/>
            <w:vAlign w:val="top"/>
          </w:tcPr>
          <w:p>
            <w:pPr>
              <w:jc w:val="center"/>
              <w:rPr>
                <w:i/>
              </w:rPr>
            </w:pPr>
            <w:r>
              <w:rPr>
                <w:i/>
              </w:rPr>
              <w:t>RCH</w:t>
            </w:r>
          </w:p>
        </w:tc>
        <w:tc>
          <w:tcPr>
            <w:tcW w:w="747" w:type="pct"/>
            <w:tcBorders>
              <w:top w:val="single" w:color="auto" w:sz="12" w:space="0"/>
            </w:tcBorders>
          </w:tcPr>
          <w:p>
            <w:pPr>
              <w:jc w:val="center"/>
            </w:pPr>
          </w:p>
        </w:tc>
        <w:tc>
          <w:tcPr>
            <w:tcW w:w="956" w:type="pct"/>
            <w:tcBorders>
              <w:top w:val="single" w:color="auto" w:sz="12" w:space="0"/>
            </w:tcBorders>
          </w:tcPr>
          <w:p>
            <w:pPr>
              <w:jc w:val="center"/>
            </w:pPr>
            <w:r>
              <w:t>Space1-4</w:t>
            </w:r>
          </w:p>
        </w:tc>
        <w:tc>
          <w:tcPr>
            <w:tcW w:w="854" w:type="pct"/>
            <w:tcBorders>
              <w:top w:val="single" w:color="auto" w:sz="12" w:space="0"/>
            </w:tcBorders>
          </w:tcPr>
          <w:p>
            <w:pPr>
              <w:jc w:val="center"/>
              <w:rPr>
                <w:rFonts w:hint="eastAsia" w:eastAsia="宋体"/>
                <w:lang w:val="en-US" w:eastAsia="zh-Hans"/>
              </w:rPr>
            </w:pPr>
            <w:r>
              <w:rPr>
                <w:rFonts w:hint="eastAsia"/>
              </w:rPr>
              <w:t>i</w:t>
            </w:r>
            <w:r>
              <w:t>nteger</w:t>
            </w:r>
          </w:p>
        </w:tc>
        <w:tc>
          <w:tcPr>
            <w:tcW w:w="1235" w:type="pct"/>
            <w:tcBorders>
              <w:top w:val="single" w:color="auto" w:sz="12" w:space="0"/>
            </w:tcBorders>
          </w:tcPr>
          <w:p>
            <w:pPr>
              <w:jc w:val="center"/>
            </w:pPr>
            <w:r>
              <w:t>i4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tcBorders>
              <w:top w:val="single" w:color="auto" w:sz="12" w:space="0"/>
            </w:tcBorders>
            <w:shd w:val="clear" w:color="auto" w:fill="auto"/>
            <w:noWrap/>
            <w:vAlign w:val="top"/>
          </w:tcPr>
          <w:p>
            <w:pPr>
              <w:jc w:val="center"/>
              <w:rPr>
                <w:rFonts w:ascii="Times New Roman" w:hAnsi="Times New Roman" w:eastAsia="宋体" w:cs="Times New Roman"/>
                <w:kern w:val="2"/>
                <w:sz w:val="24"/>
                <w:szCs w:val="24"/>
                <w:lang w:val="en-US" w:eastAsia="zh-CN" w:bidi="ar-SA"/>
              </w:rPr>
            </w:pPr>
            <w:r>
              <w:rPr>
                <w:rFonts w:hint="eastAsia"/>
              </w:rPr>
              <w:t>YEAR</w:t>
            </w:r>
          </w:p>
        </w:tc>
        <w:tc>
          <w:tcPr>
            <w:tcW w:w="747" w:type="pct"/>
            <w:tcBorders>
              <w:top w:val="single" w:color="auto" w:sz="12" w:space="0"/>
            </w:tcBorders>
          </w:tcPr>
          <w:p>
            <w:pPr>
              <w:jc w:val="center"/>
            </w:pPr>
          </w:p>
        </w:tc>
        <w:tc>
          <w:tcPr>
            <w:tcW w:w="956" w:type="pct"/>
            <w:tcBorders>
              <w:top w:val="single" w:color="auto" w:sz="12" w:space="0"/>
            </w:tcBorders>
          </w:tcPr>
          <w:p>
            <w:pPr>
              <w:jc w:val="center"/>
            </w:pPr>
            <w:r>
              <w:t>Space5-12</w:t>
            </w:r>
          </w:p>
        </w:tc>
        <w:tc>
          <w:tcPr>
            <w:tcW w:w="854" w:type="pct"/>
            <w:tcBorders>
              <w:top w:val="single" w:color="auto" w:sz="12" w:space="0"/>
            </w:tcBorders>
          </w:tcPr>
          <w:p>
            <w:pPr>
              <w:jc w:val="center"/>
            </w:pPr>
            <w:r>
              <w:rPr>
                <w:rFonts w:hint="eastAsia"/>
              </w:rPr>
              <w:t>i</w:t>
            </w:r>
            <w:r>
              <w:t>nteger</w:t>
            </w:r>
          </w:p>
        </w:tc>
        <w:tc>
          <w:tcPr>
            <w:tcW w:w="1235" w:type="pct"/>
            <w:tcBorders>
              <w:top w:val="single" w:color="auto" w:sz="12" w:space="0"/>
            </w:tcBorders>
          </w:tcPr>
          <w:p>
            <w:pPr>
              <w:jc w:val="center"/>
            </w:pPr>
            <w:r>
              <w:t>i4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top"/>
          </w:tcPr>
          <w:p>
            <w:pPr>
              <w:jc w:val="center"/>
              <w:rPr>
                <w:vertAlign w:val="subscript"/>
              </w:rPr>
            </w:pPr>
            <w:r>
              <w:rPr>
                <w:rFonts w:hint="eastAsia"/>
              </w:rPr>
              <w:t>MON</w:t>
            </w:r>
          </w:p>
        </w:tc>
        <w:tc>
          <w:tcPr>
            <w:tcW w:w="747" w:type="pct"/>
          </w:tcPr>
          <w:p>
            <w:pPr>
              <w:jc w:val="center"/>
            </w:pPr>
          </w:p>
        </w:tc>
        <w:tc>
          <w:tcPr>
            <w:tcW w:w="956" w:type="pct"/>
          </w:tcPr>
          <w:p>
            <w:pPr>
              <w:jc w:val="center"/>
            </w:pPr>
            <w:r>
              <w:t>Space13-18</w:t>
            </w:r>
          </w:p>
        </w:tc>
        <w:tc>
          <w:tcPr>
            <w:tcW w:w="854" w:type="pct"/>
          </w:tcPr>
          <w:p>
            <w:pPr>
              <w:jc w:val="center"/>
            </w:pPr>
            <w:r>
              <w:rPr>
                <w:rFonts w:hint="eastAsia"/>
              </w:rPr>
              <w:t>i</w:t>
            </w:r>
            <w:r>
              <w:t>nteger</w:t>
            </w:r>
          </w:p>
        </w:tc>
        <w:tc>
          <w:tcPr>
            <w:tcW w:w="1235" w:type="pct"/>
          </w:tcPr>
          <w:p>
            <w:pPr>
              <w:jc w:val="center"/>
            </w:pPr>
            <w:r>
              <w:t>I3</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top"/>
          </w:tcPr>
          <w:p>
            <w:pPr>
              <w:jc w:val="center"/>
              <w:rPr>
                <w:vertAlign w:val="subscript"/>
              </w:rPr>
            </w:pPr>
            <w:r>
              <w:rPr>
                <w:rFonts w:hint="eastAsia"/>
              </w:rPr>
              <w:t>AREAkm2</w:t>
            </w:r>
          </w:p>
        </w:tc>
        <w:tc>
          <w:tcPr>
            <w:tcW w:w="747" w:type="pct"/>
          </w:tcPr>
          <w:p>
            <w:pPr>
              <w:jc w:val="center"/>
            </w:pPr>
          </w:p>
        </w:tc>
        <w:tc>
          <w:tcPr>
            <w:tcW w:w="956" w:type="pct"/>
          </w:tcPr>
          <w:p>
            <w:pPr>
              <w:jc w:val="center"/>
            </w:pPr>
            <w:r>
              <w:t>Space19-31</w:t>
            </w:r>
          </w:p>
        </w:tc>
        <w:tc>
          <w:tcPr>
            <w:tcW w:w="854" w:type="pct"/>
          </w:tcPr>
          <w:p>
            <w:pPr>
              <w:jc w:val="center"/>
            </w:pPr>
            <w:r>
              <w:rPr>
                <w:rFonts w:hint="eastAsia"/>
                <w:lang w:val="en-US" w:eastAsia="zh-Hans"/>
              </w:rPr>
              <w:t>float</w:t>
            </w:r>
          </w:p>
        </w:tc>
        <w:tc>
          <w:tcPr>
            <w:tcW w:w="1235" w:type="pct"/>
          </w:tcPr>
          <w:p>
            <w:pPr>
              <w:jc w:val="center"/>
            </w:pPr>
            <w:r>
              <w:rPr>
                <w:rFonts w:hint="eastAsia"/>
                <w:lang w:val="en-US" w:eastAsia="zh-Hans"/>
              </w:rPr>
              <w:t>f</w:t>
            </w:r>
            <w:r>
              <w:rPr>
                <w:rFonts w:hint="default"/>
                <w:lang w:eastAsia="zh-Hans"/>
              </w:rPr>
              <w:t>9</w:t>
            </w:r>
            <w:r>
              <w:t>.5</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top"/>
          </w:tcPr>
          <w:p>
            <w:pPr>
              <w:jc w:val="center"/>
            </w:pPr>
            <w:r>
              <w:rPr>
                <w:rFonts w:hint="eastAsia"/>
              </w:rPr>
              <w:t>DisHM_INkg</w:t>
            </w:r>
          </w:p>
        </w:tc>
        <w:tc>
          <w:tcPr>
            <w:tcW w:w="747" w:type="pct"/>
          </w:tcPr>
          <w:p>
            <w:pPr>
              <w:jc w:val="center"/>
            </w:pPr>
          </w:p>
        </w:tc>
        <w:tc>
          <w:tcPr>
            <w:tcW w:w="956" w:type="pct"/>
          </w:tcPr>
          <w:p>
            <w:pPr>
              <w:jc w:val="center"/>
            </w:pPr>
            <w:r>
              <w:t>Space32-4</w:t>
            </w:r>
            <w:r>
              <w:t>6</w:t>
            </w:r>
          </w:p>
        </w:tc>
        <w:tc>
          <w:tcPr>
            <w:tcW w:w="854" w:type="pct"/>
          </w:tcPr>
          <w:p>
            <w:pPr>
              <w:jc w:val="center"/>
            </w:pPr>
            <w:r>
              <w:rPr>
                <w:rFonts w:hint="eastAsia"/>
                <w:lang w:val="en-US" w:eastAsia="zh-Hans"/>
              </w:rPr>
              <w:t>float</w:t>
            </w:r>
          </w:p>
        </w:tc>
        <w:tc>
          <w:tcPr>
            <w:tcW w:w="1235" w:type="pct"/>
          </w:tcPr>
          <w:p>
            <w:pPr>
              <w:jc w:val="center"/>
            </w:pPr>
            <w:r>
              <w:rPr>
                <w:rFonts w:hint="eastAsia"/>
                <w:lang w:val="en-US" w:eastAsia="zh-Hans"/>
              </w:rPr>
              <w:t>f</w:t>
            </w:r>
            <w:r>
              <w:rPr>
                <w:rFonts w:hint="default"/>
                <w:lang w:eastAsia="zh-Hans"/>
              </w:rPr>
              <w:t>10</w:t>
            </w:r>
            <w:r>
              <w:t>.4</w:t>
            </w:r>
          </w:p>
        </w:tc>
      </w:tr>
      <w:tr>
        <w:trPr>
          <w:trHeight w:val="270" w:hRule="atLeast"/>
          <w:jc w:val="center"/>
        </w:trPr>
        <w:tc>
          <w:tcPr>
            <w:tcW w:w="1205" w:type="pct"/>
            <w:shd w:val="clear" w:color="auto" w:fill="auto"/>
            <w:noWrap/>
            <w:vAlign w:val="top"/>
          </w:tcPr>
          <w:p>
            <w:pPr>
              <w:jc w:val="center"/>
            </w:pPr>
            <w:r>
              <w:rPr>
                <w:rFonts w:hint="eastAsia"/>
              </w:rPr>
              <w:t>LabHM_INkg</w:t>
            </w:r>
          </w:p>
        </w:tc>
        <w:tc>
          <w:tcPr>
            <w:tcW w:w="747" w:type="pct"/>
          </w:tcPr>
          <w:p>
            <w:pPr>
              <w:jc w:val="center"/>
            </w:pPr>
          </w:p>
        </w:tc>
        <w:tc>
          <w:tcPr>
            <w:tcW w:w="956" w:type="pct"/>
          </w:tcPr>
          <w:p>
            <w:pPr>
              <w:jc w:val="center"/>
            </w:pPr>
            <w:r>
              <w:t>Space4</w:t>
            </w:r>
            <w:r>
              <w:t>7</w:t>
            </w:r>
            <w:r>
              <w:t>-</w:t>
            </w:r>
            <w:r>
              <w:t>61</w:t>
            </w:r>
          </w:p>
        </w:tc>
        <w:tc>
          <w:tcPr>
            <w:tcW w:w="854" w:type="pct"/>
          </w:tcPr>
          <w:p>
            <w:pPr>
              <w:jc w:val="center"/>
            </w:pPr>
            <w:r>
              <w:rPr>
                <w:rFonts w:hint="eastAsia"/>
                <w:lang w:val="en-US" w:eastAsia="zh-Hans"/>
              </w:rPr>
              <w:t>float</w:t>
            </w:r>
          </w:p>
        </w:tc>
        <w:tc>
          <w:tcPr>
            <w:tcW w:w="1235"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vertAlign w:val="subscript"/>
              </w:rPr>
            </w:pPr>
            <w:r>
              <w:rPr>
                <w:rFonts w:hint="eastAsia"/>
              </w:rPr>
              <w:t>NLabHM_INkg</w:t>
            </w:r>
          </w:p>
        </w:tc>
        <w:tc>
          <w:tcPr>
            <w:tcW w:w="747" w:type="pct"/>
          </w:tcPr>
          <w:p>
            <w:pPr>
              <w:jc w:val="center"/>
            </w:pPr>
          </w:p>
        </w:tc>
        <w:tc>
          <w:tcPr>
            <w:tcW w:w="956" w:type="pct"/>
          </w:tcPr>
          <w:p>
            <w:pPr>
              <w:jc w:val="center"/>
            </w:pPr>
            <w:r>
              <w:t>Space</w:t>
            </w:r>
            <w:r>
              <w:t>62</w:t>
            </w:r>
            <w:r>
              <w:t>-</w:t>
            </w:r>
            <w:r>
              <w:t>76</w:t>
            </w:r>
          </w:p>
        </w:tc>
        <w:tc>
          <w:tcPr>
            <w:tcW w:w="854" w:type="pct"/>
          </w:tcPr>
          <w:p>
            <w:pPr>
              <w:jc w:val="center"/>
            </w:pPr>
            <w:r>
              <w:rPr>
                <w:rFonts w:hint="eastAsia"/>
                <w:lang w:val="en-US" w:eastAsia="zh-Hans"/>
              </w:rPr>
              <w:t>float</w:t>
            </w:r>
          </w:p>
        </w:tc>
        <w:tc>
          <w:tcPr>
            <w:tcW w:w="1235" w:type="pct"/>
          </w:tcPr>
          <w:p>
            <w:pPr>
              <w:jc w:val="cente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DisHM_OUTkg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Space7</w:t>
            </w:r>
            <w:r>
              <w:t>7</w:t>
            </w:r>
            <w:r>
              <w:t>-</w:t>
            </w:r>
            <w:r>
              <w:t>91</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LabHM_OUTkg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w:t>
            </w:r>
            <w:r>
              <w:t>92</w:t>
            </w:r>
            <w:r>
              <w:t>-</w:t>
            </w:r>
            <w:r>
              <w:t>106</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NLabHM_OUTkg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w:t>
            </w:r>
            <w:r>
              <w:t>10</w:t>
            </w:r>
            <w:r>
              <w:t>7-1</w:t>
            </w:r>
            <w:r>
              <w:t>21</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HMSETTLkg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Space1</w:t>
            </w:r>
            <w:r>
              <w:t>22</w:t>
            </w:r>
            <w:r>
              <w:t>-1</w:t>
            </w:r>
            <w:r>
              <w:t>36</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HMRESUSPkg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Space1</w:t>
            </w:r>
            <w:r>
              <w:t>37</w:t>
            </w:r>
            <w:r>
              <w:t>-1</w:t>
            </w:r>
            <w:r>
              <w:t>51</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HMLBURYkg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Space1</w:t>
            </w:r>
            <w:r>
              <w:t>52</w:t>
            </w:r>
            <w:r>
              <w:t>-1</w:t>
            </w:r>
            <w:r>
              <w:t>66</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HMLDIFFkg</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Space1</w:t>
            </w:r>
            <w:r>
              <w:t>67</w:t>
            </w:r>
            <w:r>
              <w:t>-1</w:t>
            </w:r>
            <w:r>
              <w:t>8</w:t>
            </w:r>
            <w:r>
              <w:t>1</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SedDisHMkg/m3</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Space1</w:t>
            </w:r>
            <w:r>
              <w:t>8</w:t>
            </w:r>
            <w:r>
              <w:t>2-1</w:t>
            </w:r>
            <w:r>
              <w:t>96</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rPr>
            </w:pPr>
            <w:r>
              <w:rPr>
                <w:rFonts w:hint="eastAsia"/>
              </w:rPr>
              <w:t>SedLabHMkg/m3</w:t>
            </w:r>
          </w:p>
        </w:tc>
        <w:tc>
          <w:tcPr>
            <w:tcW w:w="747" w:type="pct"/>
          </w:tcPr>
          <w:p>
            <w:pPr>
              <w:jc w:val="center"/>
            </w:pPr>
          </w:p>
        </w:tc>
        <w:tc>
          <w:tcPr>
            <w:tcW w:w="956" w:type="pct"/>
            <w:vAlign w:val="top"/>
          </w:tcPr>
          <w:p>
            <w:pPr>
              <w:jc w:val="center"/>
              <w:rPr>
                <w:rFonts w:ascii="Times New Roman" w:hAnsi="Times New Roman" w:eastAsia="宋体" w:cs="Times New Roman"/>
                <w:kern w:val="2"/>
                <w:sz w:val="24"/>
                <w:szCs w:val="24"/>
                <w:lang w:val="en-US" w:eastAsia="zh-CN" w:bidi="ar-SA"/>
              </w:rPr>
            </w:pPr>
            <w:r>
              <w:t>Space1</w:t>
            </w:r>
            <w:r>
              <w:t>97</w:t>
            </w:r>
            <w:r>
              <w:t>-</w:t>
            </w:r>
            <w:r>
              <w:t>211</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r>
        <w:tblPrEx>
          <w:tblBorders>
            <w:top w:val="single" w:color="auto" w:sz="12" w:space="0"/>
            <w:left w:val="none" w:color="auto" w:sz="0" w:space="0"/>
            <w:bottom w:val="single" w:color="auto" w:sz="4" w:space="0"/>
            <w:right w:val="none" w:color="auto" w:sz="0" w:space="0"/>
            <w:insideH w:val="single" w:color="auto" w:sz="6" w:space="0"/>
            <w:insideV w:val="single" w:color="auto" w:sz="6" w:space="0"/>
          </w:tblBorders>
        </w:tblPrEx>
        <w:trPr>
          <w:trHeight w:val="270" w:hRule="atLeast"/>
          <w:jc w:val="center"/>
        </w:trPr>
        <w:tc>
          <w:tcPr>
            <w:tcW w:w="1205" w:type="pct"/>
            <w:shd w:val="clear" w:color="auto" w:fill="auto"/>
            <w:noWrap/>
            <w:vAlign w:val="center"/>
          </w:tcPr>
          <w:p>
            <w:pPr>
              <w:jc w:val="center"/>
              <w:rPr>
                <w:rFonts w:hint="eastAsia" w:ascii="Times New Roman" w:hAnsi="Times New Roman" w:eastAsia="宋体" w:cs="Times New Roman"/>
                <w:kern w:val="2"/>
                <w:sz w:val="24"/>
                <w:szCs w:val="24"/>
                <w:lang w:val="en-US" w:eastAsia="zh-CN" w:bidi="ar-SA"/>
              </w:rPr>
            </w:pPr>
            <w:r>
              <w:rPr>
                <w:rFonts w:hint="eastAsia"/>
              </w:rPr>
              <w:t>SedNLabHMkg/m3</w:t>
            </w:r>
          </w:p>
        </w:tc>
        <w:tc>
          <w:tcPr>
            <w:tcW w:w="747" w:type="pct"/>
            <w:vAlign w:val="top"/>
          </w:tcPr>
          <w:p>
            <w:pPr>
              <w:jc w:val="center"/>
              <w:rPr>
                <w:rFonts w:ascii="Times New Roman" w:hAnsi="Times New Roman" w:eastAsia="宋体" w:cs="Times New Roman"/>
                <w:kern w:val="2"/>
                <w:sz w:val="24"/>
                <w:szCs w:val="24"/>
                <w:lang w:val="en-US" w:eastAsia="zh-CN" w:bidi="ar-SA"/>
              </w:rPr>
            </w:pPr>
          </w:p>
        </w:tc>
        <w:tc>
          <w:tcPr>
            <w:tcW w:w="956" w:type="pct"/>
            <w:vAlign w:val="top"/>
          </w:tcPr>
          <w:p>
            <w:pPr>
              <w:jc w:val="center"/>
              <w:rPr>
                <w:rFonts w:ascii="Times New Roman" w:hAnsi="Times New Roman" w:eastAsia="宋体" w:cs="Times New Roman"/>
                <w:kern w:val="2"/>
                <w:sz w:val="24"/>
                <w:szCs w:val="24"/>
                <w:lang w:val="en-US" w:eastAsia="zh-CN" w:bidi="ar-SA"/>
              </w:rPr>
            </w:pPr>
            <w:r>
              <w:t>Space</w:t>
            </w:r>
            <w:r>
              <w:t>212</w:t>
            </w:r>
            <w:r>
              <w:t>-</w:t>
            </w:r>
            <w:r>
              <w:t>226</w:t>
            </w:r>
          </w:p>
        </w:tc>
        <w:tc>
          <w:tcPr>
            <w:tcW w:w="854"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float</w:t>
            </w:r>
          </w:p>
        </w:tc>
        <w:tc>
          <w:tcPr>
            <w:tcW w:w="1235" w:type="pct"/>
            <w:vAlign w:val="top"/>
          </w:tcPr>
          <w:p>
            <w:pPr>
              <w:jc w:val="center"/>
              <w:rPr>
                <w:rFonts w:hint="eastAsia" w:ascii="Times New Roman" w:hAnsi="Times New Roman" w:eastAsia="宋体" w:cs="Times New Roman"/>
                <w:kern w:val="2"/>
                <w:sz w:val="24"/>
                <w:szCs w:val="24"/>
                <w:lang w:val="en-US" w:eastAsia="zh-Hans" w:bidi="ar-SA"/>
              </w:rPr>
            </w:pPr>
            <w:r>
              <w:rPr>
                <w:rFonts w:hint="eastAsia"/>
                <w:lang w:val="en-US" w:eastAsia="zh-Hans"/>
              </w:rPr>
              <w:t>f</w:t>
            </w:r>
            <w:r>
              <w:rPr>
                <w:rFonts w:hint="default"/>
                <w:lang w:eastAsia="zh-Hans"/>
              </w:rPr>
              <w:t>10</w:t>
            </w:r>
            <w:r>
              <w:t>.4</w:t>
            </w:r>
          </w:p>
        </w:tc>
      </w:tr>
    </w:tbl>
    <w:p/>
    <w:p>
      <w:pPr>
        <w:widowControl/>
        <w:jc w:val="left"/>
      </w:pPr>
      <w:r>
        <w:br w:type="page"/>
      </w:r>
      <w:bookmarkStart w:id="24" w:name="_GoBack"/>
      <w:bookmarkEnd w:id="24"/>
    </w:p>
    <w:p>
      <w:pPr>
        <w:widowControl/>
        <w:jc w:val="left"/>
        <w:rPr>
          <w:lang w:val="zh-CN"/>
        </w:rPr>
      </w:pPr>
    </w:p>
    <w:p>
      <w:pPr>
        <w:pStyle w:val="2"/>
      </w:pPr>
      <w:r>
        <w:t xml:space="preserve">How to prepare the </w:t>
      </w:r>
      <w:r>
        <w:rPr>
          <w:rFonts w:hint="eastAsia"/>
        </w:rPr>
        <w:t>SWAT</w:t>
      </w:r>
      <w:r>
        <w:t>-</w:t>
      </w:r>
      <w:r>
        <w:rPr>
          <w:rFonts w:hint="eastAsia"/>
        </w:rPr>
        <w:t>HM</w:t>
      </w:r>
      <w:r>
        <w:t xml:space="preserve"> </w:t>
      </w:r>
      <w:r>
        <w:rPr>
          <w:rFonts w:hint="eastAsia"/>
        </w:rPr>
        <w:t>input</w:t>
      </w:r>
      <w:r>
        <w:t xml:space="preserve"> files</w:t>
      </w:r>
    </w:p>
    <w:p>
      <w:pPr>
        <w:ind w:firstLine="420"/>
      </w:pPr>
      <w:r>
        <w:t xml:space="preserve">A </w:t>
      </w:r>
      <w:r>
        <w:rPr>
          <w:rFonts w:hint="eastAsia"/>
        </w:rPr>
        <w:t>E</w:t>
      </w:r>
      <w:r>
        <w:t>xcel SWAT-HM database plus Matlab/Octave/R scripts are provided for SWAT-HM users to create the input files required for running SWAT-HM model.</w:t>
      </w:r>
      <w:r>
        <w:rPr>
          <w:rFonts w:hint="eastAsia"/>
        </w:rPr>
        <w:t xml:space="preserve"> T</w:t>
      </w:r>
      <w:r>
        <w:t>ake Matlab scripts as an example, After assigning the values of parameters and inputs for SWAT-HM in the Excel database file. Using Matlab scripts to creating the input files.</w:t>
      </w:r>
    </w:p>
    <w:p>
      <w:pPr>
        <w:rPr>
          <w:lang w:val="zh-CN"/>
        </w:rPr>
      </w:pPr>
    </w:p>
    <w:p>
      <w:pPr>
        <w:rPr>
          <w:lang w:val="zh-CN"/>
        </w:rPr>
      </w:pPr>
      <w: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1"/>
                    <a:stretch>
                      <a:fillRect/>
                    </a:stretch>
                  </pic:blipFill>
                  <pic:spPr>
                    <a:xfrm>
                      <a:off x="0" y="0"/>
                      <a:ext cx="5040000" cy="2891962"/>
                    </a:xfrm>
                    <a:prstGeom prst="rect">
                      <a:avLst/>
                    </a:prstGeom>
                  </pic:spPr>
                </pic:pic>
              </a:graphicData>
            </a:graphic>
          </wp:inline>
        </w:drawing>
      </w:r>
    </w:p>
    <w:p>
      <w:pPr>
        <w:pStyle w:val="5"/>
      </w:pPr>
      <w:r>
        <w:t xml:space="preserve">Fig. </w:t>
      </w:r>
      <w:r>
        <w:fldChar w:fldCharType="begin"/>
      </w:r>
      <w:r>
        <w:instrText xml:space="preserve"> SEQ Fig. \* ARABIC </w:instrText>
      </w:r>
      <w:r>
        <w:fldChar w:fldCharType="separate"/>
      </w:r>
      <w:r>
        <w:t>6</w:t>
      </w:r>
      <w:r>
        <w:fldChar w:fldCharType="end"/>
      </w:r>
      <w:r>
        <w:t xml:space="preserve"> - Excel database of SWAT-HM model</w:t>
      </w:r>
    </w:p>
    <w:p/>
    <w:p>
      <w:pPr>
        <w:rPr>
          <w:lang w:val="zh-CN" w:eastAsia="zh-CN"/>
        </w:rPr>
      </w:pPr>
      <w: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2"/>
                    <a:stretch>
                      <a:fillRect/>
                    </a:stretch>
                  </pic:blipFill>
                  <pic:spPr>
                    <a:xfrm>
                      <a:off x="0" y="0"/>
                      <a:ext cx="5274310" cy="3004820"/>
                    </a:xfrm>
                    <a:prstGeom prst="rect">
                      <a:avLst/>
                    </a:prstGeom>
                  </pic:spPr>
                </pic:pic>
              </a:graphicData>
            </a:graphic>
          </wp:inline>
        </w:drawing>
      </w:r>
    </w:p>
    <w:p>
      <w:pPr>
        <w:pStyle w:val="5"/>
        <w:rPr>
          <w:lang w:val="zh-CN"/>
        </w:rPr>
      </w:pPr>
      <w:r>
        <w:t xml:space="preserve">Fig. </w:t>
      </w:r>
      <w:r>
        <w:fldChar w:fldCharType="begin"/>
      </w:r>
      <w:r>
        <w:instrText xml:space="preserve"> SEQ Fig. \* ARABIC </w:instrText>
      </w:r>
      <w:r>
        <w:fldChar w:fldCharType="separate"/>
      </w:r>
      <w:r>
        <w:t>7</w:t>
      </w:r>
      <w:r>
        <w:fldChar w:fldCharType="end"/>
      </w:r>
      <w:r>
        <w:t xml:space="preserve"> - </w:t>
      </w:r>
      <w:r>
        <w:rPr>
          <w:rFonts w:hint="eastAsia"/>
          <w:highlight w:val="yellow"/>
          <w:lang w:val="zh-CN"/>
        </w:rPr>
        <w:t>M</w:t>
      </w:r>
      <w:r>
        <w:rPr>
          <w:highlight w:val="yellow"/>
          <w:lang w:val="zh-CN"/>
        </w:rPr>
        <w:t>atlab/Octave</w:t>
      </w:r>
      <w:r>
        <w:rPr>
          <w:lang w:val="zh-CN"/>
        </w:rPr>
        <w:t xml:space="preserve"> script to create the input files of SWAT-HM model.</w:t>
      </w:r>
    </w:p>
    <w:p>
      <w:pPr>
        <w:widowControl/>
        <w:jc w:val="left"/>
        <w:rPr>
          <w:lang w:val="zh-CN" w:eastAsia="zh-CN"/>
        </w:rPr>
      </w:pPr>
      <w:r>
        <w:rPr>
          <w:lang w:val="zh-CN" w:eastAsia="zh-CN"/>
        </w:rPr>
        <w:br w:type="page"/>
      </w:r>
    </w:p>
    <w:p>
      <w:pPr>
        <w:pStyle w:val="2"/>
        <w:rPr>
          <w:highlight w:val="yellow"/>
        </w:rPr>
      </w:pPr>
      <w:r>
        <w:rPr>
          <w:highlight w:val="yellow"/>
        </w:rPr>
        <w:t>C</w:t>
      </w:r>
      <w:r>
        <w:rPr>
          <w:rFonts w:hint="eastAsia"/>
          <w:highlight w:val="yellow"/>
        </w:rPr>
        <w:t>alibration</w:t>
      </w:r>
      <w:r>
        <w:rPr>
          <w:highlight w:val="yellow"/>
        </w:rPr>
        <w:t xml:space="preserve"> </w:t>
      </w:r>
      <w:r>
        <w:rPr>
          <w:rFonts w:hint="eastAsia"/>
          <w:highlight w:val="yellow"/>
        </w:rPr>
        <w:t>SWAT</w:t>
      </w:r>
      <w:r>
        <w:rPr>
          <w:highlight w:val="yellow"/>
        </w:rPr>
        <w:t>-</w:t>
      </w:r>
      <w:r>
        <w:rPr>
          <w:rFonts w:hint="eastAsia"/>
          <w:highlight w:val="yellow"/>
        </w:rPr>
        <w:t>HM</w:t>
      </w:r>
      <w:r>
        <w:rPr>
          <w:highlight w:val="yellow"/>
        </w:rPr>
        <w:t xml:space="preserve"> </w:t>
      </w:r>
      <w:r>
        <w:rPr>
          <w:rFonts w:hint="eastAsia"/>
          <w:highlight w:val="yellow"/>
        </w:rPr>
        <w:t>using</w:t>
      </w:r>
      <w:r>
        <w:rPr>
          <w:highlight w:val="yellow"/>
        </w:rPr>
        <w:t xml:space="preserve"> </w:t>
      </w:r>
      <w:r>
        <w:rPr>
          <w:rFonts w:hint="eastAsia"/>
          <w:highlight w:val="yellow"/>
        </w:rPr>
        <w:t>SWA</w:t>
      </w:r>
      <w:r>
        <w:rPr>
          <w:highlight w:val="yellow"/>
        </w:rPr>
        <w:t>T-CUP</w:t>
      </w:r>
    </w:p>
    <w:p>
      <w:pPr>
        <w:ind w:firstLine="420"/>
        <w:rPr>
          <w:lang w:val="zh-CN"/>
        </w:rPr>
      </w:pPr>
      <w:r>
        <w:rPr>
          <w:rFonts w:hint="eastAsia"/>
          <w:highlight w:val="yellow"/>
          <w:lang w:val="zh-CN"/>
        </w:rPr>
        <w:t>T</w:t>
      </w:r>
      <w:r>
        <w:rPr>
          <w:highlight w:val="yellow"/>
          <w:lang w:val="zh-CN"/>
        </w:rPr>
        <w:t>he parameters of SWAT-HM are included in SWAT-CUP for calibration, sensitivity, and uncertainty analysis</w:t>
      </w:r>
    </w:p>
    <w:p>
      <w:pPr>
        <w:widowControl/>
        <w:jc w:val="left"/>
        <w:rPr>
          <w:lang w:val="zh-CN" w:eastAsia="zh-CN"/>
        </w:rPr>
      </w:pPr>
      <w:r>
        <w:rPr>
          <w:lang w:val="zh-CN" w:eastAsia="zh-CN"/>
        </w:rPr>
        <w:br w:type="page"/>
      </w:r>
    </w:p>
    <w:p>
      <w:pPr>
        <w:pStyle w:val="2"/>
      </w:pPr>
      <w:r>
        <w:t>Visualization</w:t>
      </w:r>
    </w:p>
    <w:p>
      <w:pPr>
        <w:rPr>
          <w:lang w:val="zh-CN"/>
        </w:rPr>
      </w:pPr>
      <w:r>
        <w:rPr>
          <w:lang w:val="zh-CN"/>
        </w:rPr>
        <w:t>Octave code</w:t>
      </w:r>
    </w:p>
    <w:p>
      <w:pPr>
        <w:rPr>
          <w:highlight w:val="yellow"/>
          <w:lang w:val="zh-CN"/>
        </w:rPr>
      </w:pPr>
    </w:p>
    <w:p>
      <w:pPr>
        <w:rPr>
          <w:lang w:val="zh-CN"/>
        </w:rPr>
      </w:pPr>
      <w:r>
        <w:rPr>
          <w:highlight w:val="yellow"/>
          <w:lang w:val="zh-CN"/>
        </w:rPr>
        <w:t>Code are posted on Github</w:t>
      </w:r>
    </w:p>
    <w:p>
      <w:pPr>
        <w:rPr>
          <w:lang w:val="zh-CN"/>
        </w:rPr>
      </w:pPr>
    </w:p>
    <w:p>
      <w:pPr>
        <w:widowControl/>
        <w:jc w:val="left"/>
        <w:rPr>
          <w:lang w:val="zh-CN"/>
        </w:rPr>
      </w:pPr>
      <w:r>
        <w:rPr>
          <w:lang w:val="zh-CN"/>
        </w:rPr>
        <w:br w:type="page"/>
      </w:r>
    </w:p>
    <w:p>
      <w:pPr>
        <w:pStyle w:val="2"/>
        <w:numPr>
          <w:ilvl w:val="0"/>
          <w:numId w:val="0"/>
        </w:numPr>
        <w:ind w:left="425" w:hanging="425"/>
      </w:pPr>
      <w:r>
        <w:t>References</w:t>
      </w:r>
    </w:p>
    <w:p>
      <w:pPr>
        <w:pStyle w:val="25"/>
      </w:pPr>
      <w:r>
        <w:rPr>
          <w:lang w:val="zh-CN" w:eastAsia="zh-CN"/>
        </w:rPr>
        <w:fldChar w:fldCharType="begin"/>
      </w:r>
      <w:r>
        <w:rPr>
          <w:lang w:val="zh-CN" w:eastAsia="zh-CN"/>
        </w:rPr>
        <w:instrText xml:space="preserve"> ADDIN EN.REFLIST </w:instrText>
      </w:r>
      <w:r>
        <w:rPr>
          <w:lang w:val="zh-CN" w:eastAsia="zh-CN"/>
        </w:rPr>
        <w:fldChar w:fldCharType="separate"/>
      </w:r>
      <w:bookmarkStart w:id="11" w:name="_ENREF_1"/>
      <w:r>
        <w:t>Bahr, J.M., Rubin, J., 1987. Direct comparison of kinetic and local equilibrium formulations for solute transport affected by surface reactions. Water Resources Research 23, 438-452.</w:t>
      </w:r>
      <w:bookmarkEnd w:id="11"/>
    </w:p>
    <w:p>
      <w:pPr>
        <w:pStyle w:val="25"/>
      </w:pPr>
      <w:bookmarkStart w:id="12" w:name="_ENREF_2"/>
      <w:r>
        <w:t>Buekers, J., Degryse, F., Maes, A., Smolders, E., 2008. Modelling the effects of ageing on Cd, Zn, Ni and Cu solubility in soils using an assemblage model. European Journal of Soil Science 59, 1160-1170.</w:t>
      </w:r>
      <w:bookmarkEnd w:id="12"/>
    </w:p>
    <w:p>
      <w:pPr>
        <w:pStyle w:val="25"/>
      </w:pPr>
      <w:bookmarkStart w:id="13" w:name="_ENREF_3"/>
      <w:r>
        <w:t>Chapra, S.C., 2008. Surface water-quality modeling. Waveland press.</w:t>
      </w:r>
      <w:bookmarkEnd w:id="13"/>
    </w:p>
    <w:p>
      <w:pPr>
        <w:pStyle w:val="25"/>
      </w:pPr>
      <w:bookmarkStart w:id="14" w:name="_ENREF_4"/>
      <w:r>
        <w:t>Crout, N.M.J., Tye, A.M., Zhang, H., McGrath, S.P., Young, S.D., 2006. Kinetics of metal fixation in soils: Measurement and modeling by isotopic dilution. Environmental Toxicology and Chemistry 25, 659-663.</w:t>
      </w:r>
      <w:bookmarkEnd w:id="14"/>
    </w:p>
    <w:p>
      <w:pPr>
        <w:pStyle w:val="25"/>
      </w:pPr>
      <w:bookmarkStart w:id="15" w:name="_ENREF_5"/>
      <w:r>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5"/>
    </w:p>
    <w:p>
      <w:pPr>
        <w:pStyle w:val="25"/>
      </w:pPr>
      <w:bookmarkStart w:id="16" w:name="_ENREF_6"/>
      <w:r>
        <w:t>Degryse, F., Smolders, E., Parker, D.R., 2009. Partitioning of metals (Cd, Co, Cu, Ni, Pb, Zn) in soils: concepts, methodologies, prediction and applications – a review. European Journal of Soil Science 60, 590-612.</w:t>
      </w:r>
      <w:bookmarkEnd w:id="16"/>
    </w:p>
    <w:p>
      <w:pPr>
        <w:pStyle w:val="25"/>
      </w:pPr>
      <w:bookmarkStart w:id="17" w:name="_ENREF_7"/>
      <w:r>
        <w:t>Ernstberger, H., Davison, W., Zhang, H., Tye, A., Young, S., 2002. Measurement and Dynamic Modeling of Trace Metal Mobilization in Soils Using DGT and DIFS. Environmental Science &amp; Technology 36, 349-354.</w:t>
      </w:r>
      <w:bookmarkEnd w:id="17"/>
    </w:p>
    <w:p>
      <w:pPr>
        <w:pStyle w:val="25"/>
      </w:pPr>
      <w:bookmarkStart w:id="18" w:name="_ENREF_8"/>
      <w:r>
        <w:t>Gualtieri, C., 1999. Sediments burial velocity estimation in Venice Lagoon, XXVIII IAHR Congress, pp. 22-27.</w:t>
      </w:r>
      <w:bookmarkEnd w:id="18"/>
    </w:p>
    <w:p>
      <w:pPr>
        <w:pStyle w:val="25"/>
      </w:pPr>
      <w:bookmarkStart w:id="19" w:name="_ENREF_9"/>
      <w:r>
        <w:t>Lick, W., 2008. Sediment and contaminant transport in surface waters. CRC press.</w:t>
      </w:r>
      <w:bookmarkEnd w:id="19"/>
    </w:p>
    <w:p>
      <w:pPr>
        <w:pStyle w:val="25"/>
      </w:pPr>
      <w:bookmarkStart w:id="20" w:name="_ENREF_10"/>
      <w:r>
        <w:t>Monteith, J.L., Moss, C.J., Cooke, G.W., Pirie, N.W., Bell, G.D.H., 1977. Climate and the efficiency of crop production in Britain. Philosophical Transactions of the Royal Society of London. B, Biological Sciences 281, 277-294.</w:t>
      </w:r>
      <w:bookmarkEnd w:id="20"/>
    </w:p>
    <w:p>
      <w:pPr>
        <w:pStyle w:val="25"/>
      </w:pPr>
      <w:bookmarkStart w:id="21" w:name="_ENREF_11"/>
      <w:r>
        <w:t>Quinton, J.N., Catt, J.A., 2007. Enrichment of Heavy Metals in Sediment Resulting from Soil Erosion on Agricultural Fields. Environmental Science &amp; Technology 41, 3495-3500.</w:t>
      </w:r>
      <w:bookmarkEnd w:id="21"/>
    </w:p>
    <w:p>
      <w:pPr>
        <w:pStyle w:val="25"/>
      </w:pPr>
      <w:bookmarkStart w:id="22" w:name="_ENREF_12"/>
      <w:r>
        <w:t>Rubin, J., 1983. Transport of reacting solutes in porous media: Relation between mathematical nature of problem formulation and chemical nature of reactions. Water Resources Research 19, 1231-1252.</w:t>
      </w:r>
      <w:bookmarkEnd w:id="22"/>
    </w:p>
    <w:p>
      <w:pPr>
        <w:pStyle w:val="25"/>
      </w:pPr>
      <w:bookmarkStart w:id="23" w:name="_ENREF_13"/>
      <w:r>
        <w:t>Williams, J.R., 1990. The Erosion-Productivity Impact Calculator (EPIC) Model: A Case History. Philosophical Transactions: Biological Sciences 329, 421-428.</w:t>
      </w:r>
      <w:bookmarkEnd w:id="23"/>
    </w:p>
    <w:p>
      <w:pPr>
        <w:rPr>
          <w:lang w:val="zh-CN" w:eastAsia="zh-CN"/>
        </w:rPr>
      </w:pPr>
      <w:r>
        <w:rPr>
          <w:lang w:val="zh-CN"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AdvTimes">
    <w:altName w:val="苹方-简"/>
    <w:panose1 w:val="00000000000000000000"/>
    <w:charset w:val="00"/>
    <w:family w:val="roman"/>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2000000"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8331A"/>
    <w:multiLevelType w:val="multilevel"/>
    <w:tmpl w:val="0908331A"/>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2532F94"/>
    <w:multiLevelType w:val="multilevel"/>
    <w:tmpl w:val="42532F9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70C5525"/>
    <w:multiLevelType w:val="multilevel"/>
    <w:tmpl w:val="470C5525"/>
    <w:lvl w:ilvl="0" w:tentative="0">
      <w:start w:val="1"/>
      <w:numFmt w:val="decimal"/>
      <w:pStyle w:val="2"/>
      <w:suff w:val="space"/>
      <w:lvlText w:val="%1."/>
      <w:lvlJc w:val="left"/>
      <w:pPr>
        <w:ind w:left="425" w:hanging="425"/>
      </w:pPr>
      <w:rPr>
        <w:rFonts w:hint="eastAsia"/>
      </w:rPr>
    </w:lvl>
    <w:lvl w:ilvl="1" w:tentative="0">
      <w:start w:val="1"/>
      <w:numFmt w:val="decimal"/>
      <w:pStyle w:val="3"/>
      <w:suff w:val="space"/>
      <w:lvlText w:val="%1.%2."/>
      <w:lvlJc w:val="left"/>
      <w:pPr>
        <w:ind w:left="425" w:hanging="425"/>
      </w:pPr>
      <w:rPr>
        <w:rFonts w:hint="eastAsia"/>
        <w:lang w:val="en-US"/>
      </w:rPr>
    </w:lvl>
    <w:lvl w:ilvl="2" w:tentative="0">
      <w:start w:val="1"/>
      <w:numFmt w:val="decimal"/>
      <w:pStyle w:val="4"/>
      <w:suff w:val="space"/>
      <w:lvlText w:val="%1.%2.%3."/>
      <w:lvlJc w:val="left"/>
      <w:pPr>
        <w:ind w:left="3970" w:hanging="425"/>
      </w:pPr>
      <w:rPr>
        <w:rFonts w:hint="eastAsia"/>
        <w:vertAlign w:val="baseline"/>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49D96157"/>
    <w:multiLevelType w:val="multilevel"/>
    <w:tmpl w:val="49D96157"/>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439028B"/>
    <w:multiLevelType w:val="multilevel"/>
    <w:tmpl w:val="7439028B"/>
    <w:lvl w:ilvl="0" w:tentative="0">
      <w:start w:val="1"/>
      <w:numFmt w:val="decimal"/>
      <w:lvlText w:val="%1."/>
      <w:lvlJc w:val="left"/>
      <w:pPr>
        <w:ind w:left="360" w:hanging="360"/>
      </w:pPr>
    </w:lvl>
    <w:lvl w:ilvl="1" w:tentative="0">
      <w:start w:val="1"/>
      <w:numFmt w:val="decimal"/>
      <w:lvlText w:val="%1.%2."/>
      <w:lvlJc w:val="left"/>
      <w:pPr>
        <w:ind w:left="644" w:hanging="360"/>
      </w:pPr>
    </w:lvl>
    <w:lvl w:ilvl="2" w:tentative="0">
      <w:start w:val="1"/>
      <w:numFmt w:val="decimal"/>
      <w:lvlText w:val="%1.%2.%3."/>
      <w:lvlJc w:val="left"/>
      <w:pPr>
        <w:ind w:left="1570" w:hanging="720"/>
      </w:pPr>
    </w:lvl>
    <w:lvl w:ilvl="3" w:tentative="0">
      <w:start w:val="1"/>
      <w:numFmt w:val="decimal"/>
      <w:lvlText w:val="%1.%2.%3.%4."/>
      <w:lvlJc w:val="left"/>
      <w:pPr>
        <w:ind w:left="1995" w:hanging="720"/>
      </w:pPr>
    </w:lvl>
    <w:lvl w:ilvl="4" w:tentative="0">
      <w:start w:val="1"/>
      <w:numFmt w:val="decimal"/>
      <w:lvlText w:val="%1.%2.%3.%4.%5."/>
      <w:lvlJc w:val="left"/>
      <w:pPr>
        <w:ind w:left="2780" w:hanging="1080"/>
      </w:pPr>
    </w:lvl>
    <w:lvl w:ilvl="5" w:tentative="0">
      <w:start w:val="1"/>
      <w:numFmt w:val="decimal"/>
      <w:lvlText w:val="%1.%2.%3.%4.%5.%6."/>
      <w:lvlJc w:val="left"/>
      <w:pPr>
        <w:ind w:left="3205" w:hanging="1080"/>
      </w:pPr>
    </w:lvl>
    <w:lvl w:ilvl="6" w:tentative="0">
      <w:start w:val="1"/>
      <w:numFmt w:val="decimal"/>
      <w:lvlText w:val="%1.%2.%3.%4.%5.%6.%7."/>
      <w:lvlJc w:val="left"/>
      <w:pPr>
        <w:ind w:left="3990" w:hanging="1440"/>
      </w:pPr>
    </w:lvl>
    <w:lvl w:ilvl="7" w:tentative="0">
      <w:start w:val="1"/>
      <w:numFmt w:val="decimal"/>
      <w:lvlText w:val="%1.%2.%3.%4.%5.%6.%7.%8."/>
      <w:lvlJc w:val="left"/>
      <w:pPr>
        <w:ind w:left="4415" w:hanging="1440"/>
      </w:pPr>
    </w:lvl>
    <w:lvl w:ilvl="8" w:tentative="0">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0&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000152F2"/>
    <w:rsid w:val="0002465D"/>
    <w:rsid w:val="00032EF2"/>
    <w:rsid w:val="000569ED"/>
    <w:rsid w:val="0008244A"/>
    <w:rsid w:val="000909FD"/>
    <w:rsid w:val="00094099"/>
    <w:rsid w:val="000A45F1"/>
    <w:rsid w:val="000C261F"/>
    <w:rsid w:val="000D454E"/>
    <w:rsid w:val="000F3D50"/>
    <w:rsid w:val="00107A4C"/>
    <w:rsid w:val="00115D2B"/>
    <w:rsid w:val="00131E77"/>
    <w:rsid w:val="0013221C"/>
    <w:rsid w:val="00136AAA"/>
    <w:rsid w:val="0016614C"/>
    <w:rsid w:val="00184686"/>
    <w:rsid w:val="001F1FB3"/>
    <w:rsid w:val="001F5C4C"/>
    <w:rsid w:val="00250698"/>
    <w:rsid w:val="00270D3D"/>
    <w:rsid w:val="0027761F"/>
    <w:rsid w:val="0028627A"/>
    <w:rsid w:val="002B2D34"/>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444BC"/>
    <w:rsid w:val="00551484"/>
    <w:rsid w:val="005540B5"/>
    <w:rsid w:val="005652C1"/>
    <w:rsid w:val="00573764"/>
    <w:rsid w:val="00587244"/>
    <w:rsid w:val="005902F1"/>
    <w:rsid w:val="005B41B5"/>
    <w:rsid w:val="005C12AF"/>
    <w:rsid w:val="005C5162"/>
    <w:rsid w:val="005E0895"/>
    <w:rsid w:val="005E1B7B"/>
    <w:rsid w:val="005E5A98"/>
    <w:rsid w:val="00610CEF"/>
    <w:rsid w:val="006201CB"/>
    <w:rsid w:val="006218F4"/>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D425B"/>
    <w:rsid w:val="007D73B0"/>
    <w:rsid w:val="007E4145"/>
    <w:rsid w:val="00806231"/>
    <w:rsid w:val="00813431"/>
    <w:rsid w:val="008203DF"/>
    <w:rsid w:val="00830BAB"/>
    <w:rsid w:val="00837A44"/>
    <w:rsid w:val="00842DF6"/>
    <w:rsid w:val="00851E7E"/>
    <w:rsid w:val="00852CB5"/>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F7605"/>
    <w:rsid w:val="00B05EE4"/>
    <w:rsid w:val="00B302CD"/>
    <w:rsid w:val="00B410FE"/>
    <w:rsid w:val="00B41DCD"/>
    <w:rsid w:val="00B676F6"/>
    <w:rsid w:val="00BA0BE8"/>
    <w:rsid w:val="00BB44DB"/>
    <w:rsid w:val="00BE13DD"/>
    <w:rsid w:val="00C0459B"/>
    <w:rsid w:val="00C06E0E"/>
    <w:rsid w:val="00C10CED"/>
    <w:rsid w:val="00C2130F"/>
    <w:rsid w:val="00C36171"/>
    <w:rsid w:val="00C60A14"/>
    <w:rsid w:val="00C81D48"/>
    <w:rsid w:val="00C92B37"/>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F023E6"/>
    <w:rsid w:val="00F04A95"/>
    <w:rsid w:val="00F05AE6"/>
    <w:rsid w:val="00F24427"/>
    <w:rsid w:val="00F2665F"/>
    <w:rsid w:val="00F4770A"/>
    <w:rsid w:val="00F545A6"/>
    <w:rsid w:val="00F5716D"/>
    <w:rsid w:val="00FA6541"/>
    <w:rsid w:val="00FB4FA1"/>
    <w:rsid w:val="00FD697C"/>
    <w:rsid w:val="00FE1E94"/>
    <w:rsid w:val="4DEE4113"/>
    <w:rsid w:val="5BEE2555"/>
    <w:rsid w:val="5FB78DEF"/>
    <w:rsid w:val="67FD0BB2"/>
    <w:rsid w:val="74D9B967"/>
    <w:rsid w:val="7B5D99D8"/>
    <w:rsid w:val="EEBF7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9"/>
    <w:pPr>
      <w:keepNext/>
      <w:keepLines/>
      <w:numPr>
        <w:ilvl w:val="0"/>
        <w:numId w:val="1"/>
      </w:numPr>
      <w:spacing w:before="60" w:after="60"/>
      <w:jc w:val="left"/>
      <w:outlineLvl w:val="0"/>
    </w:pPr>
    <w:rPr>
      <w:rFonts w:eastAsia="Times New Roman"/>
      <w:bCs/>
      <w:kern w:val="44"/>
      <w:sz w:val="36"/>
      <w:szCs w:val="44"/>
      <w:lang w:val="zh-CN" w:eastAsia="zh-CN"/>
    </w:rPr>
  </w:style>
  <w:style w:type="paragraph" w:styleId="3">
    <w:name w:val="heading 2"/>
    <w:basedOn w:val="1"/>
    <w:next w:val="1"/>
    <w:link w:val="17"/>
    <w:qFormat/>
    <w:uiPriority w:val="9"/>
    <w:pPr>
      <w:keepNext/>
      <w:keepLines/>
      <w:numPr>
        <w:ilvl w:val="1"/>
        <w:numId w:val="1"/>
      </w:numPr>
      <w:jc w:val="left"/>
      <w:outlineLvl w:val="1"/>
    </w:pPr>
    <w:rPr>
      <w:rFonts w:eastAsia="Times New Roman"/>
      <w:bCs/>
      <w:kern w:val="0"/>
      <w:sz w:val="32"/>
      <w:szCs w:val="32"/>
      <w:lang w:val="zh-CN" w:eastAsia="zh-CN"/>
    </w:rPr>
  </w:style>
  <w:style w:type="paragraph" w:styleId="4">
    <w:name w:val="heading 3"/>
    <w:basedOn w:val="1"/>
    <w:next w:val="1"/>
    <w:link w:val="18"/>
    <w:qFormat/>
    <w:uiPriority w:val="9"/>
    <w:pPr>
      <w:keepNext/>
      <w:keepLines/>
      <w:numPr>
        <w:ilvl w:val="2"/>
        <w:numId w:val="1"/>
      </w:numPr>
      <w:ind w:left="0" w:hanging="177" w:hangingChars="177"/>
      <w:outlineLvl w:val="2"/>
    </w:pPr>
    <w:rPr>
      <w:rFonts w:eastAsia="Times New Roman"/>
      <w:bCs/>
      <w:kern w:val="0"/>
      <w:sz w:val="28"/>
      <w:szCs w:val="32"/>
      <w:lang w:val="zh-CN" w:eastAsia="zh-CN"/>
    </w:rPr>
  </w:style>
  <w:style w:type="character" w:default="1" w:styleId="9">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5">
    <w:name w:val="caption"/>
    <w:basedOn w:val="1"/>
    <w:next w:val="1"/>
    <w:qFormat/>
    <w:uiPriority w:val="35"/>
    <w:rPr>
      <w:rFonts w:eastAsia="黑体"/>
      <w:szCs w:val="20"/>
    </w:rPr>
  </w:style>
  <w:style w:type="paragraph" w:styleId="6">
    <w:name w:val="Date"/>
    <w:basedOn w:val="1"/>
    <w:next w:val="1"/>
    <w:link w:val="13"/>
    <w:qFormat/>
    <w:uiPriority w:val="0"/>
    <w:pPr>
      <w:ind w:left="100" w:leftChars="2500"/>
    </w:pPr>
  </w:style>
  <w:style w:type="paragraph" w:styleId="7">
    <w:name w:val="footer"/>
    <w:basedOn w:val="1"/>
    <w:link w:val="15"/>
    <w:unhideWhenUsed/>
    <w:qFormat/>
    <w:uiPriority w:val="0"/>
    <w:pPr>
      <w:tabs>
        <w:tab w:val="center" w:pos="4153"/>
        <w:tab w:val="right" w:pos="8306"/>
      </w:tabs>
      <w:snapToGrid w:val="0"/>
      <w:jc w:val="left"/>
    </w:pPr>
    <w:rPr>
      <w:sz w:val="18"/>
      <w:szCs w:val="18"/>
    </w:rPr>
  </w:style>
  <w:style w:type="paragraph" w:styleId="8">
    <w:name w:val="header"/>
    <w:basedOn w:val="1"/>
    <w:link w:val="14"/>
    <w:unhideWhenUsed/>
    <w:qFormat/>
    <w:uiPriority w:val="0"/>
    <w:pPr>
      <w:pBdr>
        <w:bottom w:val="single" w:color="auto" w:sz="6" w:space="1"/>
      </w:pBdr>
      <w:tabs>
        <w:tab w:val="center" w:pos="4153"/>
        <w:tab w:val="right" w:pos="8306"/>
      </w:tabs>
      <w:snapToGrid w:val="0"/>
      <w:jc w:val="center"/>
    </w:pPr>
    <w:rPr>
      <w:sz w:val="18"/>
      <w:szCs w:val="18"/>
    </w:rPr>
  </w:style>
  <w:style w:type="character" w:styleId="10">
    <w:name w:val="Strong"/>
    <w:qFormat/>
    <w:uiPriority w:val="0"/>
    <w:rPr>
      <w:b/>
      <w:bCs/>
    </w:rPr>
  </w:style>
  <w:style w:type="character" w:styleId="11">
    <w:name w:val="Hyperlink"/>
    <w:basedOn w:val="9"/>
    <w:unhideWhenUsed/>
    <w:qFormat/>
    <w:uiPriority w:val="0"/>
    <w:rPr>
      <w:color w:val="0000FF" w:themeColor="hyperlink"/>
      <w:u w:val="single"/>
      <w14:textFill>
        <w14:solidFill>
          <w14:schemeClr w14:val="hlink"/>
        </w14:solidFill>
      </w14:textFill>
    </w:rPr>
  </w:style>
  <w:style w:type="character" w:customStyle="1" w:styleId="13">
    <w:name w:val="日期 字符"/>
    <w:basedOn w:val="9"/>
    <w:link w:val="6"/>
    <w:qFormat/>
    <w:uiPriority w:val="0"/>
    <w:rPr>
      <w:kern w:val="2"/>
      <w:sz w:val="21"/>
      <w:szCs w:val="24"/>
    </w:rPr>
  </w:style>
  <w:style w:type="character" w:customStyle="1" w:styleId="14">
    <w:name w:val="页眉 字符"/>
    <w:basedOn w:val="9"/>
    <w:link w:val="8"/>
    <w:qFormat/>
    <w:uiPriority w:val="0"/>
    <w:rPr>
      <w:kern w:val="2"/>
      <w:sz w:val="18"/>
      <w:szCs w:val="18"/>
    </w:rPr>
  </w:style>
  <w:style w:type="character" w:customStyle="1" w:styleId="15">
    <w:name w:val="页脚 字符"/>
    <w:basedOn w:val="9"/>
    <w:link w:val="7"/>
    <w:qFormat/>
    <w:uiPriority w:val="0"/>
    <w:rPr>
      <w:kern w:val="2"/>
      <w:sz w:val="18"/>
      <w:szCs w:val="18"/>
    </w:rPr>
  </w:style>
  <w:style w:type="character" w:customStyle="1" w:styleId="16">
    <w:name w:val="标题 1 字符"/>
    <w:basedOn w:val="9"/>
    <w:link w:val="2"/>
    <w:uiPriority w:val="9"/>
    <w:rPr>
      <w:rFonts w:eastAsia="Times New Roman"/>
      <w:bCs/>
      <w:kern w:val="44"/>
      <w:sz w:val="36"/>
      <w:szCs w:val="44"/>
      <w:lang w:val="zh-CN" w:eastAsia="zh-CN"/>
    </w:rPr>
  </w:style>
  <w:style w:type="character" w:customStyle="1" w:styleId="17">
    <w:name w:val="标题 2 字符"/>
    <w:basedOn w:val="9"/>
    <w:link w:val="3"/>
    <w:uiPriority w:val="9"/>
    <w:rPr>
      <w:rFonts w:eastAsia="Times New Roman"/>
      <w:bCs/>
      <w:sz w:val="32"/>
      <w:szCs w:val="32"/>
      <w:lang w:val="zh-CN" w:eastAsia="zh-CN"/>
    </w:rPr>
  </w:style>
  <w:style w:type="character" w:customStyle="1" w:styleId="18">
    <w:name w:val="标题 3 字符"/>
    <w:basedOn w:val="9"/>
    <w:link w:val="4"/>
    <w:uiPriority w:val="9"/>
    <w:rPr>
      <w:rFonts w:eastAsia="Times New Roman"/>
      <w:bCs/>
      <w:sz w:val="28"/>
      <w:szCs w:val="32"/>
      <w:lang w:val="zh-CN" w:eastAsia="zh-CN"/>
    </w:rPr>
  </w:style>
  <w:style w:type="character" w:customStyle="1" w:styleId="19">
    <w:name w:val="Placeholder Text"/>
    <w:basedOn w:val="9"/>
    <w:semiHidden/>
    <w:uiPriority w:val="99"/>
    <w:rPr>
      <w:color w:val="808080"/>
    </w:rPr>
  </w:style>
  <w:style w:type="paragraph" w:customStyle="1" w:styleId="20">
    <w:name w:val="List Paragraph"/>
    <w:basedOn w:val="1"/>
    <w:qFormat/>
    <w:uiPriority w:val="34"/>
    <w:pPr>
      <w:ind w:firstLine="420" w:firstLineChars="200"/>
    </w:pPr>
  </w:style>
  <w:style w:type="character" w:customStyle="1" w:styleId="21">
    <w:name w:val="MTDisplayEquation Char"/>
    <w:basedOn w:val="9"/>
    <w:link w:val="22"/>
    <w:qFormat/>
    <w:locked/>
    <w:uiPriority w:val="0"/>
  </w:style>
  <w:style w:type="paragraph" w:customStyle="1" w:styleId="22">
    <w:name w:val="MTDisplayEquation"/>
    <w:basedOn w:val="1"/>
    <w:next w:val="1"/>
    <w:link w:val="21"/>
    <w:qFormat/>
    <w:uiPriority w:val="0"/>
    <w:pPr>
      <w:tabs>
        <w:tab w:val="center" w:pos="4160"/>
        <w:tab w:val="right" w:pos="8300"/>
      </w:tabs>
    </w:pPr>
    <w:rPr>
      <w:kern w:val="0"/>
      <w:sz w:val="20"/>
      <w:szCs w:val="20"/>
    </w:rPr>
  </w:style>
  <w:style w:type="paragraph" w:customStyle="1" w:styleId="23">
    <w:name w:val="EndNote Bibliography Title"/>
    <w:basedOn w:val="1"/>
    <w:link w:val="24"/>
    <w:qFormat/>
    <w:uiPriority w:val="0"/>
    <w:pPr>
      <w:jc w:val="center"/>
    </w:pPr>
  </w:style>
  <w:style w:type="character" w:customStyle="1" w:styleId="24">
    <w:name w:val="EndNote Bibliography Title 字符"/>
    <w:basedOn w:val="9"/>
    <w:link w:val="23"/>
    <w:qFormat/>
    <w:uiPriority w:val="0"/>
    <w:rPr>
      <w:kern w:val="2"/>
      <w:sz w:val="24"/>
      <w:szCs w:val="24"/>
    </w:rPr>
  </w:style>
  <w:style w:type="paragraph" w:customStyle="1" w:styleId="25">
    <w:name w:val="EndNote Bibliography"/>
    <w:basedOn w:val="1"/>
    <w:link w:val="26"/>
    <w:qFormat/>
    <w:uiPriority w:val="0"/>
  </w:style>
  <w:style w:type="character" w:customStyle="1" w:styleId="26">
    <w:name w:val="EndNote Bibliography 字符"/>
    <w:basedOn w:val="9"/>
    <w:link w:val="25"/>
    <w:qFormat/>
    <w:uiPriority w:val="0"/>
    <w:rPr>
      <w:kern w:val="2"/>
      <w:sz w:val="24"/>
      <w:szCs w:val="24"/>
    </w:rPr>
  </w:style>
  <w:style w:type="character" w:customStyle="1" w:styleId="27">
    <w:name w:val="fontstyle01"/>
    <w:basedOn w:val="9"/>
    <w:qFormat/>
    <w:uiPriority w:val="0"/>
    <w:rPr>
      <w:rFonts w:hint="default" w:ascii="AdvTimes" w:hAnsi="AdvTimes"/>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29.wmf"/><Relationship Id="rId57" Type="http://schemas.openxmlformats.org/officeDocument/2006/relationships/oleObject" Target="embeddings/oleObject25.bin"/><Relationship Id="rId56" Type="http://schemas.openxmlformats.org/officeDocument/2006/relationships/image" Target="media/image28.wmf"/><Relationship Id="rId55" Type="http://schemas.openxmlformats.org/officeDocument/2006/relationships/oleObject" Target="embeddings/oleObject24.bin"/><Relationship Id="rId54" Type="http://schemas.openxmlformats.org/officeDocument/2006/relationships/image" Target="media/image27.wmf"/><Relationship Id="rId53" Type="http://schemas.openxmlformats.org/officeDocument/2006/relationships/oleObject" Target="embeddings/oleObject23.bin"/><Relationship Id="rId52" Type="http://schemas.openxmlformats.org/officeDocument/2006/relationships/image" Target="media/image26.png"/><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image" Target="media/image2.pn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wmf"/><Relationship Id="rId44" Type="http://schemas.openxmlformats.org/officeDocument/2006/relationships/oleObject" Target="embeddings/oleObject19.bin"/><Relationship Id="rId43" Type="http://schemas.openxmlformats.org/officeDocument/2006/relationships/image" Target="media/image21.wmf"/><Relationship Id="rId42" Type="http://schemas.openxmlformats.org/officeDocument/2006/relationships/oleObject" Target="embeddings/oleObject18.bin"/><Relationship Id="rId41" Type="http://schemas.openxmlformats.org/officeDocument/2006/relationships/image" Target="media/image20.png"/><Relationship Id="rId40" Type="http://schemas.openxmlformats.org/officeDocument/2006/relationships/image" Target="media/image19.wmf"/><Relationship Id="rId4" Type="http://schemas.openxmlformats.org/officeDocument/2006/relationships/image" Target="media/image1.jpeg"/><Relationship Id="rId39" Type="http://schemas.openxmlformats.org/officeDocument/2006/relationships/oleObject" Target="embeddings/oleObject17.bin"/><Relationship Id="rId38" Type="http://schemas.openxmlformats.org/officeDocument/2006/relationships/image" Target="media/image18.wmf"/><Relationship Id="rId37" Type="http://schemas.openxmlformats.org/officeDocument/2006/relationships/oleObject" Target="embeddings/oleObject16.bin"/><Relationship Id="rId36" Type="http://schemas.openxmlformats.org/officeDocument/2006/relationships/image" Target="media/image17.wmf"/><Relationship Id="rId35" Type="http://schemas.openxmlformats.org/officeDocument/2006/relationships/oleObject" Target="embeddings/oleObject15.bin"/><Relationship Id="rId34" Type="http://schemas.openxmlformats.org/officeDocument/2006/relationships/image" Target="media/image16.wmf"/><Relationship Id="rId33" Type="http://schemas.openxmlformats.org/officeDocument/2006/relationships/oleObject" Target="embeddings/oleObject14.bin"/><Relationship Id="rId32" Type="http://schemas.openxmlformats.org/officeDocument/2006/relationships/image" Target="media/image15.wmf"/><Relationship Id="rId31" Type="http://schemas.openxmlformats.org/officeDocument/2006/relationships/oleObject" Target="embeddings/oleObject13.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3.wmf"/><Relationship Id="rId27" Type="http://schemas.openxmlformats.org/officeDocument/2006/relationships/oleObject" Target="embeddings/oleObject11.bin"/><Relationship Id="rId26" Type="http://schemas.openxmlformats.org/officeDocument/2006/relationships/image" Target="media/image12.wmf"/><Relationship Id="rId25" Type="http://schemas.openxmlformats.org/officeDocument/2006/relationships/oleObject" Target="embeddings/oleObject10.bin"/><Relationship Id="rId24" Type="http://schemas.openxmlformats.org/officeDocument/2006/relationships/image" Target="media/image11.wmf"/><Relationship Id="rId23" Type="http://schemas.openxmlformats.org/officeDocument/2006/relationships/oleObject" Target="embeddings/oleObject9.bin"/><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1.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BNU</Company>
  <Pages>24</Pages>
  <Words>6125</Words>
  <Characters>34917</Characters>
  <Lines>290</Lines>
  <Paragraphs>81</Paragraphs>
  <TotalTime>0</TotalTime>
  <ScaleCrop>false</ScaleCrop>
  <LinksUpToDate>false</LinksUpToDate>
  <CharactersWithSpaces>40961</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2017-12-14T15:03:00Z</dcterms:created>
  <dc:creator>lenovo</dc:creator>
  <cp:lastModifiedBy>wangzhenqiang</cp:lastModifiedBy>
  <cp:lastPrinted>2017-12-29T14:34:00Z</cp:lastPrinted>
  <dcterms:modified xsi:type="dcterms:W3CDTF">2022-08-06T08:44:51Z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