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</w:rPr>
        <w:t xml:space="preserve">Finance summary — Q3</w:t>
      </w:r>
    </w:p>
    <w:p>
      <w:r>
        <w:t xml:space="preserve">Revenue grew 18% quarter over quarter, driven by renewals rather than new logos.</w:t>
      </w:r>
    </w:p>
    <w:p>
      <w:r>
        <w:t xml:space="preserve">Gross margin held at 74% despite the added conversion infrastructure cost.</w:t>
      </w:r>
    </w:p>
    <w:p>
      <w:pPr>
        <w:spacing w:before="240" w:after="120"/>
      </w:pPr>
      <w:r>
        <w:rPr>
          <w:b/>
          <w:sz w:val="32"/>
        </w:rPr>
        <w:t xml:space="preserve">Outlook</w:t>
      </w:r>
    </w:p>
    <w:p>
      <w:r>
        <w:t xml:space="preserve">Q4 guidance assumes flat headcount and no change to the pricing model.</w:t>
      </w:r>
    </w:p>
    <w:sectPr/>
  </w:body>
</w:document>
</file>

<file path=word/_rels/document.xml.rels><?xml version="1.0" encoding="UTF-8" standalone="yes"?>
<Relationships xmlns="http://schemas.openxmlformats.org/package/2006/relationships"/>
</file>