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黑体" w:hAnsi="黑体" w:eastAsia="黑体"/>
          <w:b/>
          <w:sz w:val="44"/>
        </w:rPr>
        <w:t>外规内化服务接口文档</w:t>
      </w:r>
    </w:p>
    <w:p>
      <w:pPr>
        <w:spacing w:after="320"/>
        <w:jc w:val="center"/>
      </w:pPr>
      <w:r>
        <w:rPr>
          <w:rFonts w:ascii="宋体" w:hAnsi="宋体" w:eastAsia="宋体"/>
          <w:b w:val="0"/>
          <w:color w:val="666666"/>
          <w:sz w:val="20"/>
        </w:rPr>
        <w:t>Clause_Splitter · v0.5.0 · 2026-10-26</w:t>
      </w:r>
    </w:p>
    <w:p>
      <w:pPr>
        <w:pStyle w:val="Heading1"/>
      </w:pPr>
      <w:r>
        <w:t>一、接口概述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系统后端将外部监管法规文档推送至本服务,服务依次完成适用性判定、条款拆分、内化判定与差异分析,结果通过 ESG 网关回调返回;后端也可按 docId 主动查询结果。推送为异步受理,不会阻塞后端流程。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907"/>
        <w:gridCol w:w="4195"/>
        <w:gridCol w:w="2041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接口名称</w:t>
            </w:r>
          </w:p>
        </w:tc>
        <w:tc>
          <w:tcPr>
            <w:tcW w:type="dxa" w:w="90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方法</w:t>
            </w:r>
          </w:p>
        </w:tc>
        <w:tc>
          <w:tcPr>
            <w:tcW w:type="dxa" w:w="4195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路径</w:t>
            </w:r>
          </w:p>
        </w:tc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调用方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法规推送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/api/v1/clause_splitter/regulations/push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GET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/api/v1/clause_splitter/regulations/{docId}/result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系统后端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结果回调</w:t>
            </w:r>
          </w:p>
        </w:tc>
        <w:tc>
          <w:tcPr>
            <w:tcW w:type="dxa" w:w="9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{ESG_OPEN_END_POINT}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/paerm/paermModelReturn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本服务 → ESG 网关</w:t>
            </w:r>
          </w:p>
        </w:tc>
      </w:tr>
    </w:tbl>
    <w:p>
      <w:pPr>
        <w:pStyle w:val="Heading1"/>
      </w:pPr>
      <w:r>
        <w:t>二、基本参数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</w:t>
            </w:r>
          </w:p>
        </w:tc>
        <w:tc>
          <w:tcPr>
            <w:tcW w:type="dxa" w:w="680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接口类型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请求方法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POST(推送)、GET(结果查询)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http://&lt;测试环境服务地址&gt;:18998(域名待运维分配)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生产环境地址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http://&lt;生产环境服务地址&gt;:18998(域名待运维分配)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调用方式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异步推送,结果经 ESG 网关回调;支持按 docId 查询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字符编码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UTF-8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请求/响应格式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鉴权方式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请求头 X-API-Key(服务端启用鉴权时必填)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超时建议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 90 秒(含文档下载),查询 30 秒</w:t>
            </w:r>
          </w:p>
        </w:tc>
      </w:tr>
    </w:tbl>
    <w:p>
      <w:pPr>
        <w:pStyle w:val="Heading1"/>
      </w:pPr>
      <w:r>
        <w:t>三、请求信息</w:t>
      </w:r>
    </w:p>
    <w:p>
      <w:pPr>
        <w:pStyle w:val="Heading2"/>
      </w:pPr>
      <w:r>
        <w:t>3.1 请求头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41"/>
        <w:gridCol w:w="1134"/>
        <w:gridCol w:w="1247"/>
        <w:gridCol w:w="4649"/>
      </w:tblGrid>
      <w:tr>
        <w:trPr>
          <w:tblHeader w:val="true"/>
        </w:trPr>
        <w:tc>
          <w:tcPr>
            <w:tcW w:type="dxa" w:w="204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247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464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Content-Type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application/json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服务端启用鉴权(API_KEY 非空)时必填</w:t>
            </w:r>
          </w:p>
        </w:tc>
      </w:tr>
    </w:tbl>
    <w:p>
      <w:pPr>
        <w:pStyle w:val="Heading2"/>
      </w:pPr>
      <w:r>
        <w:t>3.2 请求体(POST /api/v1/clause_splitter/regulations/push)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"docId": "REG20261023001", "taskId": "TASK20261023001",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"docType": "2",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t>3.3 请求参数说明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1020"/>
        <w:gridCol w:w="1020"/>
        <w:gridCol w:w="5103"/>
      </w:tblGrid>
      <w:tr>
        <w:trPr>
          <w:tblHeader w:val="true"/>
        </w:trPr>
        <w:tc>
          <w:tcPr>
            <w:tcW w:type="dxa" w:w="192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510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args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推送参数体(也支持去掉该层的平铺写法)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法规唯一标识;结果查询与回调回显均以它为准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taskId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任务标识,回调原样回显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uid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推送用户标识,回调原样回显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文档类型,由后端枚举定义;本服务仅记录并回显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OptType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Integer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否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0=手动推送(跳过适用性判定,立即执行);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1=自动推送(默认,按调度执行)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doclobsUrl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文档下载地址,优先使用;支持 http(s) 与本地挂载路径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└─ docContent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条件必填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文档内容字符串;URL 为空或下载失败时兜底,</w:t>
            </w:r>
          </w:p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&lt;br/&gt; 视为换行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└─ extraParams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Object</w:t>
            </w:r>
          </w:p>
        </w:tc>
        <w:tc>
          <w:tcPr>
            <w:tcW w:type="dxa" w:w="1020"/>
          </w:tcPr>
          <w:p>
            <w:r>
              <w:t>否</w:t>
            </w:r>
          </w:p>
        </w:tc>
        <w:tc>
          <w:tcPr>
            <w:tcW w:type="dxa" w:w="5102"/>
          </w:tcPr>
          <w:p>
            <w:r>
              <w:t>扩展参数(JSON 对象);原样落库以兼容旧调用,不参与流程判定,也不在回调/查询报文中回显;未传时为 {}。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说明:doclobsUrl 与 docContent 至少提供一个,两者同时存在时以 doclobsUrl 为准。支持 PDF、DOCX、DOC 与 UTF-8 纯文本,其他格式返回 415;URL 下载失败且无 docContent 兜底时返回 502。</w:t>
      </w:r>
    </w:p>
    <w:p>
      <w:pPr>
        <w:pStyle w:val="Heading2"/>
      </w:pPr>
      <w:r>
        <w:t>3.4 结果查询请求参数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4"/>
        <w:gridCol w:w="1701"/>
        <w:gridCol w:w="1134"/>
        <w:gridCol w:w="1020"/>
        <w:gridCol w:w="3742"/>
      </w:tblGrid>
      <w:tr>
        <w:trPr>
          <w:tblHeader w:val="true"/>
        </w:trPr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参数位置</w:t>
            </w:r>
          </w:p>
        </w:tc>
        <w:tc>
          <w:tcPr>
            <w:tcW w:type="dxa" w:w="1701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参数名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1020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必填</w:t>
            </w:r>
          </w:p>
        </w:tc>
        <w:tc>
          <w:tcPr>
            <w:tcW w:type="dxa" w:w="3742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Path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docId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推送时传入的 docId</w:t>
            </w:r>
          </w:p>
        </w:tc>
      </w:tr>
    </w:tbl>
    <w:p>
      <w:pPr>
        <w:pStyle w:val="Heading1"/>
        <w:pageBreakBefore/>
      </w:pPr>
      <w:r>
        <w:t>四、响应信息</w:t>
      </w:r>
    </w:p>
    <w:p>
      <w:pPr>
        <w:pStyle w:val="Heading2"/>
      </w:pPr>
      <w:r>
        <w:t>4.1 响应状态码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1814"/>
        <w:gridCol w:w="6123"/>
      </w:tblGrid>
      <w:tr>
        <w:trPr>
          <w:tblHeader w:val="true"/>
        </w:trPr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状态码</w:t>
            </w:r>
          </w:p>
        </w:tc>
        <w:tc>
          <w:tcPr>
            <w:tcW w:type="dxa" w:w="181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含义</w:t>
            </w:r>
          </w:p>
        </w:tc>
        <w:tc>
          <w:tcPr>
            <w:tcW w:type="dxa" w:w="612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成功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结果查询成功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已受理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推送成功入队,结果稍后回调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参数错误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缺少 docId,或 doclobsUrl 与 docContent 均为空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401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鉴权失败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X-API-Key 缺失或不匹配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404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未找到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该 docId 无推送记录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格式不支持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下载内容无法识别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服务内部错误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未预期的服务异常</w:t>
            </w:r>
          </w:p>
        </w:tc>
      </w:tr>
      <w:tr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502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下载失败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URL 下载失败且无 docContent 兜底</w:t>
            </w:r>
          </w:p>
        </w:tc>
      </w:tr>
    </w:tbl>
    <w:p>
      <w:pPr>
        <w:pStyle w:val="Heading2"/>
      </w:pPr>
      <w:r>
        <w:t>4.2 推送响应体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1474"/>
        <w:gridCol w:w="5329"/>
      </w:tblGrid>
      <w:tr>
        <w:trPr>
          <w:tblHeader w:val="true"/>
        </w:trPr>
        <w:tc>
          <w:tcPr>
            <w:tcW w:type="dxa" w:w="2268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47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329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regulation_id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法规在服务内部的记录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job_id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本次处理任务 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task_id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回显推送入参 taskId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manual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是否按手动推送处理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dispatch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immediate=立即执行;scheduled=等待定时批处理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duplicate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是否重复推送(内容 sha256 命中已有法规)</w:t>
            </w:r>
          </w:p>
        </w:tc>
      </w:tr>
    </w:tbl>
    <w:p>
      <w:pPr>
        <w:spacing w:before="40" w:after="120"/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说明：推送响应外层 code=200 表示请求被正确处理;业务结果以回调或查询报文中的 code 为准。</w:t>
      </w:r>
    </w:p>
    <w:p>
      <w:pPr>
        <w:pStyle w:val="Heading1"/>
        <w:pageBreakBefore/>
      </w:pPr>
      <w:r>
        <w:t>五、结果回调与查询</w:t>
      </w:r>
    </w:p>
    <w:p>
      <w:pPr>
        <w:pStyle w:val="Heading2"/>
      </w:pPr>
      <w:r>
        <w:t>5.1 结果报文示例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结果查询直接返回与 ESG 回调 body 完全一致的扁平报文(不再套外层信封):文档级字段在顶层,条款级结果全部放在 data 数组中,结构如下: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"成功",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"docId": "REG20261023001",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"docKeyword": "数据安全, 风险管理, 信息披露",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"docType": "2",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"docAbstract": "本规范明确数据处理活动的合法、正当、必要原则,要求建立数据安全管理制度并开展风险评估。",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"applicable":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"applicableReason": "适用于平安科技。",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"chapter": "一、总体要求",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"orderNum": "0",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"relationTerms": 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"internalClauseId": "数据安全管理办法#3",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"docName": "数据安全管理办法",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"clauseName": "第三条",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  "clauseContent": "数据处理应遵循合法、正当、必要原则。"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"termContent": "数据处理活动应当遵循合法、正当、必要和诚信原则。",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"termId": "REG20261023001-0",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"termKeyword": "数据处理, 诚信原则, 合规义务",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"termName": "第一条",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"internalize": "需要内化",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"internalizeReason": "提出明确的数据处理合规义务。",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"coverageStatus": "完全覆盖",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"analysis": "内部制度已覆盖该原则。",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"differenceAnalysis": "",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"coreRequirements": "1)、遵循合法、正当、必要和诚信原则。",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"remedySuggestion": "无需整改。"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  <w:pageBreakBefore/>
      </w:pPr>
      <w:r>
        <w:t>5.2 结果字段说明</w:t>
      </w:r>
    </w:p>
    <w:tbl>
      <w:tblPr>
        <w:tblStyle w:val="TableGrid"/>
        <w:tblW w:type="dxa" w:w="9072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1134"/>
        <w:gridCol w:w="5783"/>
      </w:tblGrid>
      <w:tr>
        <w:trPr>
          <w:tblHeader w:val="true"/>
        </w:trPr>
        <w:tc>
          <w:tcPr>
            <w:tcW w:type="dxa" w:w="215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字段名</w:t>
            </w:r>
          </w:p>
        </w:tc>
        <w:tc>
          <w:tcPr>
            <w:tcW w:type="dxa" w:w="1134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类型</w:t>
            </w:r>
          </w:p>
        </w:tc>
        <w:tc>
          <w:tcPr>
            <w:tcW w:type="dxa" w:w="5783"/>
            <w:shd w:val="clear" w:color="auto" w:fill="DEEAF6"/>
          </w:tcPr>
          <w:p>
            <w:pPr>
              <w:spacing w:after="0" w:line="276" w:lineRule="auto"/>
            </w:pPr>
            <w:r/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code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1=完成(含"不适用"的正常终止);0=失败;2=处理中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msg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code=1 时为"成功"或终止原因;code=0 为错误摘要;code=2 为"处理中"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docId;结果查询与回调的唯一定位依据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docKeyword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文档级关键词,逗号分隔;一次文档级 LLM 调用生成,失败时本地提词兜底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docType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docType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docAbstract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文档级摘要(100–250 字);与 docKeyword 同一次 LLM 调用生成,失败时正文截取兜底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taskId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推送入参 taskId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applicable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Boolean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是否适用于平安科技:true / false / null(需人工复核)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applicableReason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适用性判定依据;无原因时为空串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Array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条款数组,每个元素见下方 data[] 字段;永远不为 null,无条款时为 []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data[].chapter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所属章节路径(末级为条款号时已剔除),无章节为空串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data[].orderNum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条款顺序,字符串,从 "0" 开始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data[].relationTerms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Array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被采纳的内规条款数组,无关联内规时为 []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data[].termContent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条款正文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{docId}-{orderNum}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data[].termKeyword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条款关键词,本地 jieba 提取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data[].termName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条款号(第一条 / Article 1)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data[].internalize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需要内化 / 无需内化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data[].internalizeReason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内化判定依据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data[].coverageStatus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完全覆盖 / 部分覆盖 / 缺失;未执行分析时为空串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data[].analysis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覆盖分析;未执行时为空串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data[].differenceAnalysis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差异说明;无差异或未执行时为空串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data[].coreRequirements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核心监管要求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data[].remedySuggestion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整改建议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relationTerms[].internalClauseId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内规条款 id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relationTerms[].docName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内规制度名称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relationTerms[].clauseName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内规条款号</w:t>
            </w:r>
          </w:p>
        </w:tc>
      </w:tr>
      <w:tr>
        <w:tc>
          <w:tcPr>
            <w:tcW w:type="dxa" w:w="215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relationTerms[].clauseContent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String</w:t>
            </w:r>
          </w:p>
        </w:tc>
        <w:tc>
          <w:tcPr>
            <w:tcW w:type="dxa" w:w="5783"/>
          </w:tcPr>
          <w:p>
            <w:pPr>
              <w:spacing w:after="0" w:line="276" w:lineRule="auto"/>
            </w:pPr>
            <w:r>
              <w:rPr>
                <w:rFonts w:ascii="宋体" w:hAnsi="宋体" w:eastAsia="宋体"/>
                <w:b w:val="0"/>
                <w:sz w:val="19"/>
              </w:rPr>
              <w:t>内规条款内容</w:t>
            </w:r>
          </w:p>
        </w:tc>
      </w:tr>
    </w:tbl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data 永远为数组:每个条款一个 dict;不适用、拆条未执行或无条款时为 []，不会为 null。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orderNum 为字符串,从 "0" 开始;termId 为 {docId}-{orderNum}，如 REG20261023001-0。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applicable 取值 true / false / null(需人工复核);applicableReason 无原因时为空串。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relationTerms 只包含被采纳为覆盖依据的内规条款,无关联内规时为 [];条款类型 clauseType 本次暂不下发。</w:t>
      </w:r>
    </w:p>
    <w:p>
      <w:pPr>
        <w:pStyle w:val="Heading2"/>
      </w:pPr>
      <w:r>
        <w:t>5.3 结果回调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链条处理完成后,服务向 ESG 开放平台网关发起回调,body 与 5.1 的结果报文完全一致: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POST {ESG_OPEN_END_POINT}{ESG_CALLBACK_PATH}?access_token={token}&amp;request_id={request_id}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Content-Type: application/json</w:t>
            </w:r>
          </w:p>
        </w:tc>
      </w:tr>
    </w:tbl>
    <w:p>
      <w:pPr>
        <w:spacing w:after="40"/>
      </w:pP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ESG_CALLBACK_PATH 默认 /paerm/paermModelReturn。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网关返回 13012 时刷新 token 重试;返回 13016 或网络异常时等待 60 秒重试,最多 5 次。</w:t>
      </w:r>
    </w:p>
    <w:p>
      <w:pPr>
        <w:pStyle w:val="ListBullet"/>
        <w:spacing w:after="40" w:line="312" w:lineRule="auto"/>
      </w:pPr>
      <w:r>
        <w:rPr>
          <w:rFonts w:ascii="宋体" w:hAnsi="宋体" w:eastAsia="宋体"/>
          <w:b w:val="0"/>
          <w:sz w:val="21"/>
        </w:rPr>
        <w:t>回调为尽力而为,长时间未收到可调用结果查询接口补偿。</w:t>
      </w:r>
    </w:p>
    <w:p>
      <w:pPr>
        <w:pStyle w:val="Heading2"/>
      </w:pPr>
      <w:r>
        <w:t>5.4 结果查询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GET /api/v1/clause_splitter/regulations/{docId}/result,直接返回 5.1 的扁平报文,不再套 {code, status, data, msg} 外层信封;404/500 等错误仍返回统一错误信封(带非 2xx HTTP 状态),请以 HTTP 状态码区分成功与失败。</w:t>
      </w:r>
    </w:p>
    <w:p>
      <w:pPr>
        <w:pStyle w:val="Heading1"/>
      </w:pPr>
      <w:r>
        <w:t>六、请求/响应示例</w:t>
      </w:r>
    </w:p>
    <w:p>
      <w:pPr>
        <w:pStyle w:val="Heading2"/>
      </w:pPr>
      <w:r>
        <w:t>6.1 推送请求示例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curl -X POST 'http://&lt;服务地址&gt;:18998/api/v1/clause_splitter/regulations/push'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-H 'X-API-Key: &lt;API_KEY&gt;'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"args":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"docId": "REG20261023001",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"taskId":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"uid": "U10086",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"docType": "2",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"OptType": 1,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"extraParams": { "source": "iobs", "batch": "2026-10"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  "doclobsUrl": "https://iobs.paic.com.cn/download?fileId=8a9f"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pStyle w:val="Heading2"/>
      </w:pPr>
      <w:r>
        <w:t>6.2 推送响应示例</w:t>
      </w:r>
    </w:p>
    <w:tbl>
      <w:tblPr>
        <w:tblStyle w:val="TableGrid"/>
        <w:tblW w:type="dxa" w:w="9072"/>
        <w:tblLayout w:type="fixed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072"/>
      </w:tblGrid>
      <w:tr>
        <w:tc>
          <w:tcPr>
            <w:tcW w:type="dxa" w:w="9071"/>
            <w:shd w:val="clear" w:color="auto" w:fill="F4F6F8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HTTP/1.1 202 Accepted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"code": "200",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"status": "success",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"data":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"regulation_id": "66f1c2a1e4b0a1b2c3d4e5f6",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"job_id": "66f1c2a1e4b0a1b2c3d4e5f7",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"task_id": "TASK20261023001",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"manual":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"dispatch": "scheduled",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  "duplicate":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 xml:space="preserve">  "msg": "accepted"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}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rPr>
        <w:rFonts w:ascii="宋体" w:hAnsi="宋体" w:eastAsia="宋体"/>
        <w:b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