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黑体" w:hAnsi="黑体" w:eastAsia="黑体"/>
          <w:b/>
          <w:sz w:val="44"/>
        </w:rPr>
        <w:t>外规内化服务接口文档</w:t>
      </w:r>
    </w:p>
    <w:p>
      <w:pPr>
        <w:spacing w:after="320"/>
        <w:jc w:val="center"/>
      </w:pPr>
      <w:r>
        <w:rPr>
          <w:rFonts w:ascii="宋体" w:hAnsi="宋体" w:eastAsia="宋体"/>
          <w:b w:val="0"/>
          <w:color w:val="666666"/>
          <w:sz w:val="20"/>
        </w:rPr>
        <w:t>Clause_Splitter · v0.4.0 · 2026-10-23</w:t>
      </w:r>
    </w:p>
    <w:p>
      <w:pPr>
        <w:pStyle w:val="Heading1"/>
      </w:pPr>
      <w:r>
        <w:t>一、接口概述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系统后端将外部监管法规文档推送至本服务,服务依次完成适用性判定、条款拆分、内化判定与差异分析,结果通过 ESG 网关回调返回;后端也可按 docId 主动查询结果。推送为异步受理,不会阻塞后端流程。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907"/>
        <w:gridCol w:w="4195"/>
        <w:gridCol w:w="2041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接口名称</w:t>
            </w:r>
          </w:p>
        </w:tc>
        <w:tc>
          <w:tcPr>
            <w:tcW w:type="dxa" w:w="90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方法</w:t>
            </w:r>
          </w:p>
        </w:tc>
        <w:tc>
          <w:tcPr>
            <w:tcW w:type="dxa" w:w="4195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路径</w:t>
            </w:r>
          </w:p>
        </w:tc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调用方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法规推送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/api/v1/regulations/push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/api/v1/regulations/{docId}/result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结果回调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{ESG_OPEN_END_POINT}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/paerm/paermModelReturn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本服务 → ESG 网关</w:t>
            </w:r>
          </w:p>
        </w:tc>
      </w:tr>
    </w:tbl>
    <w:p>
      <w:pPr>
        <w:pStyle w:val="Heading1"/>
      </w:pPr>
      <w:r>
        <w:t>二、基本参数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</w:t>
            </w:r>
          </w:p>
        </w:tc>
        <w:tc>
          <w:tcPr>
            <w:tcW w:type="dxa" w:w="680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接口类型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请求方法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POST(推送)、GET(结果查询)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http://&lt;测试环境服务地址&gt;:18998(域名待运维分配)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生产环境地址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http://&lt;生产环境服务地址&gt;:18998(域名待运维分配)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调用方式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异步推送,结果经 ESG 网关回调;支持按 docId 查询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字符编码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UTF-8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请求/响应格式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请求头 X-API-Key(服务端启用鉴权时必填)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超时建议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 90 秒(含文档下载),查询 30 秒</w:t>
            </w:r>
          </w:p>
        </w:tc>
      </w:tr>
    </w:tbl>
    <w:p>
      <w:pPr>
        <w:pStyle w:val="Heading1"/>
      </w:pPr>
      <w:r>
        <w:t>三、请求信息</w:t>
      </w:r>
    </w:p>
    <w:p>
      <w:pPr>
        <w:pStyle w:val="Heading2"/>
      </w:pPr>
      <w:r>
        <w:t>3.1 请求头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1"/>
        <w:gridCol w:w="1134"/>
        <w:gridCol w:w="1247"/>
        <w:gridCol w:w="4649"/>
      </w:tblGrid>
      <w:tr>
        <w:trPr>
          <w:tblHeader w:val="true"/>
        </w:trPr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24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464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Content-Type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服务端启用鉴权(API_KEY 非空)时必填</w:t>
            </w:r>
          </w:p>
        </w:tc>
      </w:tr>
    </w:tbl>
    <w:p>
      <w:pPr>
        <w:pStyle w:val="Heading2"/>
      </w:pPr>
      <w:r>
        <w:t>3.2 请求体(POST /api/v1/regulations/push)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"docId": "REG20261023001", "taskId": "TASK20261023001",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"docType": "2",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3.3 请求参数说明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1020"/>
        <w:gridCol w:w="1020"/>
        <w:gridCol w:w="5103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510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args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推送参数体(也支持去掉该层的平铺写法)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法规唯一标识;结果查询与回调回显均以它为准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taskId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任务标识,回调原样回显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uid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推送用户标识,回调原样回显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文档类型,由后端枚举定义;本服务仅记录并回显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OptType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Integer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0=手动推送(跳过适用性判定,立即执行);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1=自动推送(默认,按调度执行)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doclobsUrl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文档下载地址,优先使用;支持 http(s) 与本地挂载路径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docContent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文档内容字符串;URL 为空或下载失败时兜底,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&lt;br/&gt; 视为换行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说明:doclobsUrl 与 docContent 至少提供一个,两者同时存在时以 doclobsUrl 为准。支持 PDF、DOCX、DOC 与 UTF-8 纯文本,其他格式返回 415;URL 下载失败且无 docContent 兜底时返回 502。</w:t>
      </w:r>
    </w:p>
    <w:p>
      <w:pPr>
        <w:pStyle w:val="Heading2"/>
      </w:pPr>
      <w:r>
        <w:t>3.4 结果查询请求参数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4"/>
        <w:gridCol w:w="1701"/>
        <w:gridCol w:w="1134"/>
        <w:gridCol w:w="1020"/>
        <w:gridCol w:w="3742"/>
      </w:tblGrid>
      <w:tr>
        <w:trPr>
          <w:tblHeader w:val="true"/>
        </w:trPr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参数位置</w:t>
            </w:r>
          </w:p>
        </w:tc>
        <w:tc>
          <w:tcPr>
            <w:tcW w:type="dxa" w:w="170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374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Path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docId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推送时传入的 docId</w:t>
            </w:r>
          </w:p>
        </w:tc>
      </w:tr>
    </w:tbl>
    <w:p>
      <w:pPr>
        <w:pStyle w:val="Heading1"/>
        <w:pageBreakBefore/>
      </w:pPr>
      <w:r>
        <w:t>四、响应信息</w:t>
      </w:r>
    </w:p>
    <w:p>
      <w:pPr>
        <w:pStyle w:val="Heading2"/>
      </w:pPr>
      <w:r>
        <w:t>4.1 响应状态码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1814"/>
        <w:gridCol w:w="6123"/>
      </w:tblGrid>
      <w:tr>
        <w:trPr>
          <w:tblHeader w:val="true"/>
        </w:trPr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状态码</w:t>
            </w:r>
          </w:p>
        </w:tc>
        <w:tc>
          <w:tcPr>
            <w:tcW w:type="dxa" w:w="181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含义</w:t>
            </w:r>
          </w:p>
        </w:tc>
        <w:tc>
          <w:tcPr>
            <w:tcW w:type="dxa" w:w="612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成功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结果查询成功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已受理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推送成功入队,结果稍后回调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参数错误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缺少 docId,或 doclobsUrl 与 docContent 均为空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401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 缺失或不匹配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404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未找到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该 docId 无推送记录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格式不支持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下载内容无法识别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服务内部错误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未预期的服务异常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URL 下载失败且无 docContent 兜底</w:t>
            </w:r>
          </w:p>
        </w:tc>
      </w:tr>
    </w:tbl>
    <w:p>
      <w:pPr>
        <w:pStyle w:val="Heading2"/>
      </w:pPr>
      <w:r>
        <w:t>4.2 推送响应体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1474"/>
        <w:gridCol w:w="5329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32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regulation_id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法规在服务内部的记录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job_id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本次处理任务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回显推送入参 taskId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manual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是否按手动推送处理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immediate=立即执行;scheduled=等待定时批处理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duplicate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是否重复推送(内容 sha256 命中已有法规)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说明:外层 code=200 表示请求被正确处理;业务结果以回调或查询报文中的 code 为准。</w:t>
      </w:r>
    </w:p>
    <w:p>
      <w:pPr>
        <w:pStyle w:val="Heading1"/>
        <w:pageBreakBefore/>
      </w:pPr>
      <w:r>
        <w:t>五、结果回调与查询</w:t>
      </w:r>
    </w:p>
    <w:p>
      <w:pPr>
        <w:pStyle w:val="Heading2"/>
      </w:pPr>
      <w:r>
        <w:t>5.1 结果报文示例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结果查询返回的 data 与 ESG 回调的 body 为同一份报文,结构如下: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"成功",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"metadata": { "docId": "REG20261023001",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  "uid": "U10086", "docType": "2", "optType": 1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"stages": { "applicability": "done", "split": "done",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"internalization": "done", "analysis": "done"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"applicability": { "applicable": true, "reason": "适用于平安科技。"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"split":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 "clauseId": "REG20261023001_1", "orderNum": 1, "chapter": "一、总体要求",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"clauseName": "第一条",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"clauseContent": "数据处理活动应当遵循合法、正当、必要和诚信原则。"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"internalization":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 "clauseId": "REG20261023001_1", "clauseType": "义务性条款",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"internalize": "需要内化",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"internalizeReason": "提出明确的数据处理合规义务。"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"analysis":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"coverageRate": "1/1", "fullyCoveredCount": 1, "partiallyCoveredCount":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"missingCount": 0, "internalizableCount": 1, "noInternalizationCount":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 "clauseId": "REG20261023001_1", "coverageStatus": "完全覆盖",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"analysis": "内部制度已覆盖该原则。", "differenceAnalysis": "",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"coreRequirements": "1)、遵循合法、正当、必要和诚信原则。",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"remedySuggestion": "无需整改。",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"relationClauses":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{ "internalClauseId": "数据安全管理办法#3", "docName": "数据安全管理办法",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"clauseName": "第三条",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    "clauseContent": "数据处理应遵循合法、正当、必要原则。"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]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pageBreakBefore/>
      </w:pPr>
      <w:r>
        <w:t>5.2 结果字段说明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1134"/>
        <w:gridCol w:w="5783"/>
      </w:tblGrid>
      <w:tr>
        <w:trPr>
          <w:tblHeader w:val="true"/>
        </w:trPr>
        <w:tc>
          <w:tcPr>
            <w:tcW w:type="dxa" w:w="215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78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1=完成(含"不适用"的正常终止);0=失败;2=处理中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msg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结果说明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metadata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推送入参回显:docId、taskId、uid、docType、optType;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doclobsUrl 不回显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stages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四阶段状态:applicability/split/internalization/analysis,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取值 done / failed / pending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data.applicability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{"applicable": true|false|null, "reason": "判定依据"}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data.split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{"clauseCount": 条款数, "clauses": [{"clauseId", "orderNum",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"chapter", "clauseName", "clauseContent"}]}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data.internalization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{"clauses": [{"clauseId", "clauseType",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"internalize": "需要内化/无需内化", "internalizeReason"}]}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data.analysis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{"coverageRate": "12/32", 各覆盖计数, "clauses":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[{"clauseId", "coverageStatus", "analysis", "differenceAnalysis",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"coreRequirements", "remedySuggestion", "relationClauses":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[{"internalClauseId", "docName", "clauseName", "clauseContent"}]}]}</w:t>
            </w:r>
          </w:p>
        </w:tc>
      </w:tr>
    </w:tbl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stages 取值:done=已了结(含上游判定无需执行);failed=执行出错;pending=尚未了结。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某阶段无结果时,data 下对应字段为 null;不适用时后三阶段为 done 且 data 为 null。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coverageRate = (完全覆盖 + 部分覆盖) / 需内化条款数;无需内化条款不计入分母。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relationClauses 只包含被采纳为覆盖依据的内规条款;clauseId 格式为 {docId}_{序号}。</w:t>
      </w:r>
    </w:p>
    <w:p>
      <w:pPr>
        <w:pStyle w:val="Heading2"/>
      </w:pPr>
      <w:r>
        <w:t>5.3 结果回调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链条处理完成后,服务向 ESG 开放平台网关发起回调,body 与 5.1 的结果报文完全一致: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POST {ESG_OPEN_END_POINT}{ESG_CALLBACK_PATH}?access_token={token}&amp;request_id={request_id}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Content-Type: application/json</w:t>
            </w:r>
          </w:p>
        </w:tc>
      </w:tr>
    </w:tbl>
    <w:p>
      <w:pPr>
        <w:spacing w:after="40"/>
      </w:pP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ESG_CALLBACK_PATH 默认 /paerm/paermModelReturn。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网关返回 13012 时刷新 token 重试;返回 13016 或网络异常时等待 60 秒重试,最多 5 次。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回调为尽力而为,长时间未收到可调用结果查询接口补偿。</w:t>
      </w:r>
    </w:p>
    <w:p>
      <w:pPr>
        <w:pStyle w:val="Heading2"/>
      </w:pPr>
      <w:r>
        <w:t>5.4 结果查询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GET /api/v1/regulations/{docId}/result,响应为统一外层信封 {code, status, data, msg},其中 data 为 5.1 的结果报文;外层 code 为 "200" 表示查询成功,业务结果以报文内的 code 为准。</w:t>
      </w:r>
    </w:p>
    <w:p>
      <w:pPr>
        <w:pStyle w:val="Heading1"/>
      </w:pPr>
      <w:r>
        <w:t>六、请求/响应示例</w:t>
      </w:r>
    </w:p>
    <w:p>
      <w:pPr>
        <w:pStyle w:val="Heading2"/>
      </w:pPr>
      <w:r>
        <w:t>6.1 推送请求示例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curl -X POST 'http://&lt;服务地址&gt;:18998/api/v1/regulations/push'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'X-API-Key: &lt;API_KEY&gt;'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"docId": "REG20261023001",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"docType": "2",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pStyle w:val="Heading2"/>
      </w:pPr>
      <w:r>
        <w:t>6.2 推送响应示例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HTTP/1.1 202 Accepted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rPr>
        <w:rFonts w:ascii="宋体" w:hAnsi="宋体" w:eastAsia="宋体"/>
        <w:b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