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黑体" w:hAnsi="黑体" w:eastAsia="黑体"/>
          <w:b/>
          <w:sz w:val="44"/>
        </w:rPr>
        <w:t>外规内化服务接口文档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color w:val="666666"/>
          <w:sz w:val="20"/>
        </w:rPr>
        <w:t>Clause_Splitter · v0.4.0 · 2026-10-25</w:t>
      </w:r>
    </w:p>
    <w:p>
      <w:pPr>
        <w:pStyle w:val="Heading1"/>
      </w:pPr>
      <w:r>
        <w:t>一、接口概述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系统后端将外部监管法规文档推送至本服务,服务依次完成适用性判定、条款拆分、内化判定与差异分析,结果通过 ESG 网关回调返回;后端也可按 docId 主动查询结果。推送为异步受理,不会阻塞后端流程。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907"/>
        <w:gridCol w:w="4195"/>
        <w:gridCol w:w="2041"/>
      </w:tblGrid>
      <w:tr>
        <w:trPr>
          <w:tblHeader w:val="true"/>
        </w:trPr>
        <w:tc>
          <w:tcPr>
            <w:tcW w:type="dxa" w:w="1928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接口名称</w:t>
            </w:r>
          </w:p>
        </w:tc>
        <w:tc>
          <w:tcPr>
            <w:tcW w:type="dxa" w:w="907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方法</w:t>
            </w:r>
          </w:p>
        </w:tc>
        <w:tc>
          <w:tcPr>
            <w:tcW w:type="dxa" w:w="4195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路径</w:t>
            </w:r>
          </w:p>
        </w:tc>
        <w:tc>
          <w:tcPr>
            <w:tcW w:type="dxa" w:w="2041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调用方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法规推送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/api/v1/clause_splitter/regulations/push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系统后端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结果查询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/api/v1/clause_splitter/regulations/{docId}/result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系统后端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结果回调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{ESG_OPEN_END_POINT}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/paerm/paermModelReturn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本服务 → ESG 网关</w:t>
            </w:r>
          </w:p>
        </w:tc>
      </w:tr>
    </w:tbl>
    <w:p>
      <w:pPr>
        <w:pStyle w:val="Heading1"/>
      </w:pPr>
      <w:r>
        <w:t>二、基本参数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参数</w:t>
            </w:r>
          </w:p>
        </w:tc>
        <w:tc>
          <w:tcPr>
            <w:tcW w:type="dxa" w:w="6803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接口类型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HTTP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请求方法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POST(推送)、GET(结果查询)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测试环境地址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http://&lt;测试环境服务地址&gt;:18998(域名待运维分配)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生产环境地址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http://&lt;生产环境服务地址&gt;:18998(域名待运维分配)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调用方式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异步推送,结果经 ESG 网关回调;支持按 docId 查询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字符编码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UTF-8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请求/响应格式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application/json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鉴权方式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请求头 X-API-Key(服务端启用鉴权时必填)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超时建议</w:t>
            </w:r>
          </w:p>
        </w:tc>
        <w:tc>
          <w:tcPr>
            <w:tcW w:type="dxa" w:w="680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推送 90 秒(含文档下载),查询 30 秒</w:t>
            </w:r>
          </w:p>
        </w:tc>
      </w:tr>
    </w:tbl>
    <w:p>
      <w:pPr>
        <w:pStyle w:val="Heading1"/>
      </w:pPr>
      <w:r>
        <w:t>三、请求信息</w:t>
      </w:r>
    </w:p>
    <w:p>
      <w:pPr>
        <w:pStyle w:val="Heading2"/>
      </w:pPr>
      <w:r>
        <w:t>3.1 请求头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1134"/>
        <w:gridCol w:w="1247"/>
        <w:gridCol w:w="4649"/>
      </w:tblGrid>
      <w:tr>
        <w:trPr>
          <w:tblHeader w:val="true"/>
        </w:trPr>
        <w:tc>
          <w:tcPr>
            <w:tcW w:type="dxa" w:w="2041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参数名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1247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Content-Type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application/json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X-API-Key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条件必填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服务端启用鉴权(API_KEY 非空)时必填</w:t>
            </w:r>
          </w:p>
        </w:tc>
      </w:tr>
    </w:tbl>
    <w:p>
      <w:pPr>
        <w:pStyle w:val="Heading2"/>
      </w:pPr>
      <w:r>
        <w:t>3.2 请求体(POST /api/v1/clause_splitter/regulations/push)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2"/>
      </w:tblGrid>
      <w:tr>
        <w:tc>
          <w:tcPr>
            <w:tcW w:type="dxa" w:w="9071"/>
            <w:shd w:val="clear" w:color="auto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"args":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"docId": "REG20261023001", "taskId": "TASK20261023001", "uid": "U10086",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"docType": "2", "OptType": 1,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"extraParams": { "source": "iobs", "batch": "2026-10"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"doclobsUrl": "https://iobs.paic.com.cn/download?fileId=8a9f"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3.3 请求参数说明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1020"/>
        <w:gridCol w:w="1020"/>
        <w:gridCol w:w="5103"/>
      </w:tblGrid>
      <w:tr>
        <w:trPr>
          <w:tblHeader w:val="true"/>
        </w:trPr>
        <w:tc>
          <w:tcPr>
            <w:tcW w:type="dxa" w:w="1928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字段名</w:t>
            </w:r>
          </w:p>
        </w:tc>
        <w:tc>
          <w:tcPr>
            <w:tcW w:type="dxa" w:w="1020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1020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必填</w:t>
            </w:r>
          </w:p>
        </w:tc>
        <w:tc>
          <w:tcPr>
            <w:tcW w:type="dxa" w:w="5102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args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推送参数体(也支持去掉该层的平铺写法)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docId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法规唯一标识;结果查询与回调回显均以它为准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taskId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任务标识,回调原样回显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uid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推送用户标识,回调原样回显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docType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文档类型,由后端枚举定义;本服务仅记录并回显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OptType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Integer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0=手动推送(跳过适用性判定,立即执行);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1=自动推送(默认,按调度执行)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doclobsUrl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条件必填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文档下载地址,优先使用;支持 http(s) 与本地挂载路径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└─ docContent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条件必填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文档内容字符串;URL 为空或下载失败时兜底,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&lt;br/&gt; 视为换行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└─ extraParams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扩展参数(JSON 对象);原样保存,并在回调/查询报文的顶层 extraParams 字段回显。不参与流程判定,未传时为 {}。请勿放入 token、密钥等敏感信息。</w:t>
            </w:r>
          </w:p>
        </w:tc>
      </w:tr>
    </w:tbl>
    <w:p>
      <w:pPr>
        <w:spacing w:before="40" w:after="120"/>
        <w:ind w:left="227"/>
      </w:pPr>
      <w:r>
        <w:rPr>
          <w:rFonts w:ascii="宋体" w:hAnsi="宋体" w:eastAsia="宋体"/>
          <w:b w:val="0"/>
          <w:color w:val="555555"/>
          <w:sz w:val="19"/>
        </w:rPr>
        <w:t>说明:doclobsUrl 与 docContent 至少提供一个,两者同时存在时以 doclobsUrl 为准。支持 PDF、DOCX、DOC 与 UTF-8 纯文本,其他格式返回 415;URL 下载失败且无 docContent 兜底时返回 502。</w:t>
      </w:r>
    </w:p>
    <w:p>
      <w:pPr>
        <w:pStyle w:val="Heading2"/>
      </w:pPr>
      <w:r>
        <w:t>3.4 结果查询请求参数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74"/>
        <w:gridCol w:w="1701"/>
        <w:gridCol w:w="1134"/>
        <w:gridCol w:w="1020"/>
        <w:gridCol w:w="3742"/>
      </w:tblGrid>
      <w:tr>
        <w:trPr>
          <w:tblHeader w:val="true"/>
        </w:trPr>
        <w:tc>
          <w:tcPr>
            <w:tcW w:type="dxa" w:w="147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参数位置</w:t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参数名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1020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必填</w:t>
            </w:r>
          </w:p>
        </w:tc>
        <w:tc>
          <w:tcPr>
            <w:tcW w:type="dxa" w:w="3742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Path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docId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推送时传入的 docId</w:t>
            </w:r>
          </w:p>
        </w:tc>
      </w:tr>
    </w:tbl>
    <w:p>
      <w:pPr>
        <w:pStyle w:val="Heading1"/>
        <w:pageBreakBefore/>
      </w:pPr>
      <w:r>
        <w:t>四、响应信息</w:t>
      </w:r>
    </w:p>
    <w:p>
      <w:pPr>
        <w:pStyle w:val="Heading2"/>
      </w:pPr>
      <w:r>
        <w:t>4.1 响应状态码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34"/>
        <w:gridCol w:w="1814"/>
        <w:gridCol w:w="6123"/>
      </w:tblGrid>
      <w:tr>
        <w:trPr>
          <w:tblHeader w:val="true"/>
        </w:trPr>
        <w:tc>
          <w:tcPr>
            <w:tcW w:type="dxa" w:w="113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状态码</w:t>
            </w:r>
          </w:p>
        </w:tc>
        <w:tc>
          <w:tcPr>
            <w:tcW w:type="dxa" w:w="181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含义</w:t>
            </w:r>
          </w:p>
        </w:tc>
        <w:tc>
          <w:tcPr>
            <w:tcW w:type="dxa" w:w="6123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200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成功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结果查询成功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已受理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推送成功入队,结果稍后回调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400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参数错误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缺少 docId,或 doclobsUrl 与 docContent 均为空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401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鉴权失败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X-API-Key 缺失或不匹配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404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未找到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该 docId 无推送记录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415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格式不支持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下载内容无法识别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500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服务内部错误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未预期的服务异常</w:t>
            </w:r>
          </w:p>
        </w:tc>
      </w:tr>
      <w:tr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502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下载失败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URL 下载失败且无 docContent 兜底</w:t>
            </w:r>
          </w:p>
        </w:tc>
      </w:tr>
    </w:tbl>
    <w:p>
      <w:pPr>
        <w:pStyle w:val="Heading2"/>
      </w:pPr>
      <w:r>
        <w:t>4.2 推送响应体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2"/>
      </w:tblGrid>
      <w:tr>
        <w:tc>
          <w:tcPr>
            <w:tcW w:type="dxa" w:w="9071"/>
            <w:shd w:val="clear" w:color="auto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"code": "200",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"status": "success",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"data":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"regulation_id": "66f1c2a1e4b0a1b2c3d4e5f6",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"job_id": "66f1c2a1e4b0a1b2c3d4e5f7",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"task_id": "TASK20261023001",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"manual":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"dispatch": "scheduled",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"duplicate":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"msg":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1474"/>
        <w:gridCol w:w="5329"/>
      </w:tblGrid>
      <w:tr>
        <w:trPr>
          <w:tblHeader w:val="true"/>
        </w:trPr>
        <w:tc>
          <w:tcPr>
            <w:tcW w:type="dxa" w:w="2268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字段名</w:t>
            </w:r>
          </w:p>
        </w:tc>
        <w:tc>
          <w:tcPr>
            <w:tcW w:type="dxa" w:w="147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5329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regulation_id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法规在服务内部的记录 ID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job_id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本次处理任务 ID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task_id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回显推送入参 taskId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manual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Boolean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是否按手动推送处理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dispatch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immediate=立即执行;scheduled=等待定时批处理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duplicate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Boolean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是否重复推送(内容 sha256 命中已有法规)</w:t>
            </w:r>
          </w:p>
        </w:tc>
      </w:tr>
    </w:tbl>
    <w:p>
      <w:pPr>
        <w:spacing w:before="40" w:after="120"/>
        <w:ind w:left="227"/>
      </w:pPr>
      <w:r>
        <w:rPr>
          <w:rFonts w:ascii="宋体" w:hAnsi="宋体" w:eastAsia="宋体"/>
          <w:b w:val="0"/>
          <w:color w:val="555555"/>
          <w:sz w:val="19"/>
        </w:rPr>
        <w:t>说明:外层 code=200 表示请求被正确处理;业务结果以回调或查询报文中的 code 为准。</w:t>
      </w:r>
    </w:p>
    <w:p>
      <w:pPr>
        <w:pStyle w:val="Heading1"/>
        <w:pageBreakBefore/>
      </w:pPr>
      <w:r>
        <w:t>五、结果回调与查询</w:t>
      </w:r>
    </w:p>
    <w:p>
      <w:pPr>
        <w:pStyle w:val="Heading2"/>
      </w:pPr>
      <w:r>
        <w:t>5.1 结果报文示例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结果查询返回的 data 与 ESG 回调的 body 为同一份报文,结构如下: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2"/>
      </w:tblGrid>
      <w:tr>
        <w:tc>
          <w:tcPr>
            <w:tcW w:type="dxa" w:w="9071"/>
            <w:shd w:val="clear" w:color="auto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"code": "1",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"msg": "成功",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"extraParams": { "source": "iobs", "batch": "2026-10"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"metadata": { "docId": "REG20261023001", "taskId": "TASK20261023001",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      "uid": "U10086", "docType": "2", "optType": 1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"stages": { "applicability": "done", "split": "done",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    "internalization": "done", "analysis": "done"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"data":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"applicability": { "applicable": true, "reason": "适用于平安科技。"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"split":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"clauseCount":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"clauses":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{ "clauseId": "REG20261023001_1", "orderNum": 1, "chapter": "一、总体要求",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"clauseName": "第一条",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"clauseContent": "数据处理活动应当遵循合法、正当、必要和诚信原则。"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"internalization":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"clauses":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{ "clauseId": "REG20261023001_1", "clauseType": "义务性条款",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"internalize": "需要内化",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"internalizeReason": "提出明确的数据处理合规义务。"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"analysis":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"coverageRate": "1/1", "fullyCoveredCount": 1, "partiallyCoveredCount":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"missingCount": 0, "internalizableCount": 1, "noInternalizationCount": 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"clauses":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{ "clauseId": "REG20261023001_1", "coverageStatus": "完全覆盖",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"analysis": "内部制度已覆盖该原则。", "differenceAnalysis": "",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"coreRequirements": "1)、遵循合法、正当、必要和诚信原则。",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"remedySuggestion": "无需整改。",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"relationClauses":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  { "internalClauseId": "数据安全管理办法#3", "docName": "数据安全管理办法",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    "clauseName": "第三条",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    "clauseContent": "数据处理应遵循合法、正当、必要原则。"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    ]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t>5.2 结果字段说明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54"/>
        <w:gridCol w:w="1134"/>
        <w:gridCol w:w="5783"/>
      </w:tblGrid>
      <w:tr>
        <w:trPr>
          <w:tblHeader w:val="true"/>
        </w:trPr>
        <w:tc>
          <w:tcPr>
            <w:tcW w:type="dxa" w:w="215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字段名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5783"/>
            <w:shd w:val="clear" w:color="auto" w:fill="DEEAF6"/>
          </w:tcPr>
          <w:p>
            <w:pPr>
              <w:spacing w:after="0" w:line="276" w:lineRule="auto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code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1=完成(含"不适用"的正常终止);0=失败;2=处理中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msg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String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结果说明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extraParams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推送入参 extraParams 原样回显(JSON 对象,顶层字段);未传时为 {}。请勿放入 token、密钥等敏感信息。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metadata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推送入参回显:docId、taskId、uid、docType、optType;</w:t>
              <w:br/>
              <w:t>doclobsUrl 不回显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stages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四阶段状态:applicability/split/internalization/analysis,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取值 done / failed / pending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data.applicability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{"applicable": true|false|null, "reason": "判定依据"}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data.split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{"clauseCount": 条款数, "clauses": [{"clauseId", "orderNum",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"chapter", "clauseName", "clauseContent"}]}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data.internalization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{"clauses": [{"clauseId", "clauseType",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"internalize": "需要内化/无需内化", "internalizeReason"}]}</w:t>
            </w:r>
          </w:p>
        </w:tc>
      </w:tr>
      <w:tr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data.analysis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Object</w:t>
            </w:r>
          </w:p>
        </w:tc>
        <w:tc>
          <w:tcPr>
            <w:tcW w:type="dxa" w:w="578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{"coverageRate": "12/32", 各覆盖计数, "clauses":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[{"clauseId", "coverageStatus", "analysis", "differenceAnalysis",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"coreRequirements", "remedySuggestion", "relationClauses":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[{"internalClauseId", "docName", "clauseName", "clauseContent"}]}]}</w:t>
            </w:r>
          </w:p>
        </w:tc>
      </w:tr>
    </w:tbl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stages 取值:done=已了结(含上游判定无需执行);failed=执行出错;pending=尚未了结。</w:t>
      </w:r>
    </w:p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某阶段无结果时,data 下对应字段为 null;不适用时后三阶段为 done 且 data 为 null。</w:t>
      </w:r>
    </w:p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coverageRate = (完全覆盖 + 部分覆盖) / 需内化条款数;无需内化条款不计入分母。</w:t>
      </w:r>
    </w:p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relationClauses 只包含被采纳为覆盖依据的内规条款;clauseId 格式为 {docId}_{序号}。</w:t>
      </w:r>
    </w:p>
    <w:p>
      <w:pPr>
        <w:pStyle w:val="Heading2"/>
      </w:pPr>
      <w:r>
        <w:t>5.3 结果回调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链条处理完成后,服务向 ESG 开放平台网关发起回调,body 与 5.1 的结果报文完全一致: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2"/>
      </w:tblGrid>
      <w:tr>
        <w:tc>
          <w:tcPr>
            <w:tcW w:type="dxa" w:w="9071"/>
            <w:shd w:val="clear" w:color="auto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POST {ESG_OPEN_END_POINT}{ESG_CALLBACK_PATH}?access_token={token}&amp;request_id={request_id}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8"/>
              </w:rPr>
              <w:t>Content-Type: application/json</w:t>
            </w:r>
          </w:p>
        </w:tc>
      </w:tr>
    </w:tbl>
    <w:p>
      <w:pPr>
        <w:spacing w:after="40"/>
      </w:pPr>
    </w:p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ESG_CALLBACK_PATH 默认 /paerm/paermModelReturn。</w:t>
      </w:r>
    </w:p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网关返回 13012 时刷新 token 重试;返回 13016 或网络异常时等待 60 秒重试,最多 5 次。</w:t>
      </w:r>
    </w:p>
    <w:p>
      <w:pPr>
        <w:pStyle w:val="ListBullet"/>
        <w:spacing w:after="40" w:line="312" w:lineRule="auto"/>
      </w:pPr>
      <w:r>
        <w:rPr>
          <w:rFonts w:ascii="宋体" w:hAnsi="宋体" w:eastAsia="宋体"/>
          <w:b w:val="0"/>
          <w:sz w:val="21"/>
        </w:rPr>
        <w:t>回调为尽力而为,长时间未收到可调用结果查询接口补偿。</w:t>
      </w:r>
    </w:p>
    <w:p>
      <w:pPr>
        <w:pStyle w:val="Heading2"/>
      </w:pPr>
      <w:r>
        <w:t>5.4 结果查询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GET /api/v1/clause_splitter/regulations/{docId}/result,响应为统一外层信封 {code, status, data, msg},其中 data 为 5.1 的结果报文;外层 code 为 "200" 表示查询成功,业务结果以报文内的 code 为准。</w:t>
      </w:r>
    </w:p>
    <w:p>
      <w:pPr>
        <w:pStyle w:val="Heading1"/>
      </w:pPr>
      <w:r>
        <w:t>六、请求/响应示例</w:t>
      </w:r>
    </w:p>
    <w:p>
      <w:pPr>
        <w:pStyle w:val="Heading2"/>
      </w:pPr>
      <w:r>
        <w:t>6.1 推送请求示例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2"/>
      </w:tblGrid>
      <w:tr>
        <w:tc>
          <w:tcPr>
            <w:tcW w:type="dxa" w:w="9071"/>
            <w:shd w:val="clear" w:color="auto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curl -X POST 'http://&lt;服务地址&gt;:18998/api/v1/clause_splitter/regulations/push'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-H 'Content-Type: application/json'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-H 'X-API-Key: &lt;API_KEY&gt;'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"args":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"docId": "REG20261023001",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"taskId": "TASK20261023001",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"uid": "U10086",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"docType": "2",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"OptType": 1,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"extraParams": { "source": "iobs", "batch": "2026-10"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  "doclobsUrl": "https://iobs.paic.com.cn/download?fileId=8a9f"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}'</w:t>
            </w:r>
          </w:p>
        </w:tc>
      </w:tr>
    </w:tbl>
    <w:p>
      <w:pPr>
        <w:spacing w:after="40"/>
      </w:pPr>
    </w:p>
    <w:p>
      <w:pPr>
        <w:pStyle w:val="Heading2"/>
      </w:pPr>
      <w:r>
        <w:t>6.2 推送响应示例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072"/>
      </w:tblGrid>
      <w:tr>
        <w:tc>
          <w:tcPr>
            <w:tcW w:type="dxa" w:w="9071"/>
            <w:shd w:val="clear" w:color="auto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宋体"/>
                <w:b w:val="0"/>
                <w:sz w:val="17"/>
              </w:rPr>
              <w:t>HTTP/1.1 202 Accepted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"code": "200",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"status": "success",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"data":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"regulation_id": "66f1c2a1e4b0a1b2c3d4e5f6",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"job_id": "66f1c2a1e4b0a1b2c3d4e5f7",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"task_id": "TASK20261023001",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"manual":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"dispatch": "scheduled",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  "duplicate":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 xml:space="preserve">  "msg": "accepted"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宋体"/>
                <w:b w:val="0"/>
                <w:sz w:val="17"/>
              </w:rPr>
              <w:t>}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