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00CA" w14:textId="337F01ED" w:rsidR="004F2594" w:rsidRPr="006639EF" w:rsidRDefault="006639EF" w:rsidP="006639EF">
      <w:r>
        <w:t xml:space="preserve">The proposed project at OSU addresses the critical issue of excessive energy consumption, particularly the unnecessary overnight operation of lighting systems in key buildings such as Austin Hall and older residential halls. The urgency stems from the evident contradiction between the current energy inefficiency of OSU's commitment to achieving carbon neutrality by 2025, necessitating a practical and cost-effective solution to reduce energy waste and align with sustainability goals. There is a clear infrastructure need for the project due to the lack of regular updates and renovations to existing buildings, contributing to the energy consumption issue. The proposed installation of automatic light switches addresses this need, providing modernized technology to curb wasted energy in </w:t>
      </w:r>
      <w:r>
        <w:t>low</w:t>
      </w:r>
      <w:r>
        <w:t>-traffic areas within specific buildings</w:t>
      </w:r>
      <w:r>
        <w:t xml:space="preserve"> of specific </w:t>
      </w:r>
      <w:proofErr w:type="gramStart"/>
      <w:r>
        <w:t>time</w:t>
      </w:r>
      <w:proofErr w:type="gramEnd"/>
      <w:r>
        <w:t xml:space="preserve"> of day</w:t>
      </w:r>
      <w:r>
        <w:t>. OSU students expect such a solution, as it aligns with their desire for a sustainable and environmentally conscious campus. The project offers a tangible and practical way for students to actively participate in energy conservation efforts, demonstrating that even minor adjustments to energy usage habits can contribute substantially to environmental benefits. OSU's current environment lacks a solution like the proposed project due to budgetary constraints and the financial unfeasibility of many available solutions. The installation of automatic light switches offers a cost-effective approach, filling a crucial gap in available solutions and presenting a practical, achievable measure within OSU's current financial and environmental context. As the university actively pursues carbon neutrality, the proposed project not only aligns with OSU's sustainability goals but also stands as a testament to the institution's commitment to fostering an environmentally responsible and energy-efficient campus community.</w:t>
      </w:r>
    </w:p>
    <w:sectPr w:rsidR="004F2594" w:rsidRPr="00663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EF"/>
    <w:rsid w:val="004F2594"/>
    <w:rsid w:val="006639EF"/>
    <w:rsid w:val="00EA76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5D0D"/>
  <w15:chartTrackingRefBased/>
  <w15:docId w15:val="{9CB89CA8-FB94-473C-B41B-64A309828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0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 Lyon</dc:creator>
  <cp:keywords/>
  <dc:description/>
  <cp:lastModifiedBy>Kee, Lyon</cp:lastModifiedBy>
  <cp:revision>1</cp:revision>
  <dcterms:created xsi:type="dcterms:W3CDTF">2023-11-21T10:27:00Z</dcterms:created>
  <dcterms:modified xsi:type="dcterms:W3CDTF">2023-11-21T10:37:00Z</dcterms:modified>
</cp:coreProperties>
</file>