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42060" w14:textId="77777777" w:rsidR="00044505" w:rsidRPr="00044505" w:rsidRDefault="00044505" w:rsidP="00044505">
      <w:r w:rsidRPr="00044505">
        <w:t>For Amazon EBS gp3 volumes with IOPS of 3000 and throughput configurations of 125 MiB/s or 250 MiB/s, here are some typical performance benchmarks and guidance on interpreting the values for the specified metrics:</w:t>
      </w:r>
    </w:p>
    <w:p w14:paraId="114AE795" w14:textId="77777777" w:rsidR="00044505" w:rsidRPr="00044505" w:rsidRDefault="00044505" w:rsidP="00044505">
      <w:r w:rsidRPr="00044505">
        <w:t xml:space="preserve">1. </w:t>
      </w:r>
      <w:proofErr w:type="spellStart"/>
      <w:r w:rsidRPr="00044505">
        <w:t>VolumeQueueLength</w:t>
      </w:r>
      <w:proofErr w:type="spellEnd"/>
    </w:p>
    <w:p w14:paraId="01A2F767" w14:textId="77777777" w:rsidR="00044505" w:rsidRPr="00044505" w:rsidRDefault="00044505" w:rsidP="00044505">
      <w:r w:rsidRPr="00044505">
        <w:t xml:space="preserve">Expected Range: Ideally, </w:t>
      </w:r>
      <w:proofErr w:type="spellStart"/>
      <w:r w:rsidRPr="00044505">
        <w:t>VolumeQueueLength</w:t>
      </w:r>
      <w:proofErr w:type="spellEnd"/>
      <w:r w:rsidRPr="00044505">
        <w:t xml:space="preserve"> should be close to 0 most of the time, indicating that there’s minimal waiting for I/O operations.</w:t>
      </w:r>
    </w:p>
    <w:p w14:paraId="63F9EDB4" w14:textId="77777777" w:rsidR="00044505" w:rsidRPr="00044505" w:rsidRDefault="00044505" w:rsidP="00044505">
      <w:r w:rsidRPr="00044505">
        <w:t>Typical Values:</w:t>
      </w:r>
    </w:p>
    <w:p w14:paraId="0620F095" w14:textId="77777777" w:rsidR="00044505" w:rsidRPr="00044505" w:rsidRDefault="00044505" w:rsidP="00044505">
      <w:r w:rsidRPr="00044505">
        <w:t>A value between 0 to 1 is typical for moderate workloads on gp3 volumes.</w:t>
      </w:r>
    </w:p>
    <w:p w14:paraId="38BA2912" w14:textId="77777777" w:rsidR="00044505" w:rsidRPr="00044505" w:rsidRDefault="00044505" w:rsidP="00044505">
      <w:r w:rsidRPr="00044505">
        <w:t xml:space="preserve">Threshold for Concern: If </w:t>
      </w:r>
      <w:proofErr w:type="spellStart"/>
      <w:r w:rsidRPr="00044505">
        <w:t>VolumeQueueLength</w:t>
      </w:r>
      <w:proofErr w:type="spellEnd"/>
      <w:r w:rsidRPr="00044505">
        <w:t xml:space="preserve"> is consistently above 5, it could indicate that the volume is under heavy load or bottlenecked by IOPS or throughput limits.</w:t>
      </w:r>
    </w:p>
    <w:p w14:paraId="58C66012" w14:textId="77777777" w:rsidR="00044505" w:rsidRPr="00044505" w:rsidRDefault="00044505" w:rsidP="00044505">
      <w:r w:rsidRPr="00044505">
        <w:t xml:space="preserve">Guidance: Spikes in </w:t>
      </w:r>
      <w:proofErr w:type="spellStart"/>
      <w:r w:rsidRPr="00044505">
        <w:t>VolumeQueueLength</w:t>
      </w:r>
      <w:proofErr w:type="spellEnd"/>
      <w:r w:rsidRPr="00044505">
        <w:t xml:space="preserve"> during peak periods are normal, but sustained high values suggest the need for tuning or re-evaluation of the instance’s workload.</w:t>
      </w:r>
    </w:p>
    <w:p w14:paraId="4D6065C9" w14:textId="77777777" w:rsidR="00044505" w:rsidRPr="00044505" w:rsidRDefault="00044505" w:rsidP="00044505">
      <w:r w:rsidRPr="00044505">
        <w:t xml:space="preserve">2. </w:t>
      </w:r>
      <w:proofErr w:type="spellStart"/>
      <w:r w:rsidRPr="00044505">
        <w:t>NetworkIn</w:t>
      </w:r>
      <w:proofErr w:type="spellEnd"/>
      <w:r w:rsidRPr="00044505">
        <w:t xml:space="preserve"> / </w:t>
      </w:r>
      <w:proofErr w:type="spellStart"/>
      <w:r w:rsidRPr="00044505">
        <w:t>NetworkOut</w:t>
      </w:r>
      <w:proofErr w:type="spellEnd"/>
    </w:p>
    <w:p w14:paraId="062DA24B" w14:textId="77777777" w:rsidR="00044505" w:rsidRPr="00044505" w:rsidRDefault="00044505" w:rsidP="00044505">
      <w:r w:rsidRPr="00044505">
        <w:t>Expected Range: The exact values will depend on the volume of data transferred to and from the instance.</w:t>
      </w:r>
    </w:p>
    <w:p w14:paraId="1FB7DBA8" w14:textId="77777777" w:rsidR="00044505" w:rsidRPr="00044505" w:rsidRDefault="00044505" w:rsidP="00044505">
      <w:r w:rsidRPr="00044505">
        <w:t>Typical Throughput: With gp3 volumes’ throughput limits:</w:t>
      </w:r>
    </w:p>
    <w:p w14:paraId="6B728FA6" w14:textId="77777777" w:rsidR="00044505" w:rsidRPr="00044505" w:rsidRDefault="00044505" w:rsidP="00044505">
      <w:r w:rsidRPr="00044505">
        <w:t>125 MiB/s throughput: Expect network traffic rates up to 125 MiB/s when the volume reaches its throughput cap.</w:t>
      </w:r>
    </w:p>
    <w:p w14:paraId="24FDC86B" w14:textId="77777777" w:rsidR="00044505" w:rsidRPr="00044505" w:rsidRDefault="00044505" w:rsidP="00044505">
      <w:r w:rsidRPr="00044505">
        <w:t>250 MiB/s throughput: For volumes configured with 250 MiB/s, network traffic rates can reach up to this value during peak write/read operations.</w:t>
      </w:r>
    </w:p>
    <w:p w14:paraId="36FE871D" w14:textId="77777777" w:rsidR="00044505" w:rsidRPr="00044505" w:rsidRDefault="00044505" w:rsidP="00044505">
      <w:r w:rsidRPr="00044505">
        <w:t>Guidance:</w:t>
      </w:r>
    </w:p>
    <w:p w14:paraId="5D923FFF" w14:textId="77777777" w:rsidR="00044505" w:rsidRPr="00044505" w:rsidRDefault="00044505" w:rsidP="00044505">
      <w:r w:rsidRPr="00044505">
        <w:t xml:space="preserve">High </w:t>
      </w:r>
      <w:proofErr w:type="spellStart"/>
      <w:r w:rsidRPr="00044505">
        <w:t>NetworkIn</w:t>
      </w:r>
      <w:proofErr w:type="spellEnd"/>
      <w:r w:rsidRPr="00044505">
        <w:t>/Out values could indicate large data transfers or significant application traffic.</w:t>
      </w:r>
    </w:p>
    <w:p w14:paraId="4EADF905" w14:textId="77777777" w:rsidR="00044505" w:rsidRPr="00044505" w:rsidRDefault="00044505" w:rsidP="00044505">
      <w:r w:rsidRPr="00044505">
        <w:t xml:space="preserve">Track this metric alongside </w:t>
      </w:r>
      <w:proofErr w:type="spellStart"/>
      <w:r w:rsidRPr="00044505">
        <w:t>VolumeQueueLength</w:t>
      </w:r>
      <w:proofErr w:type="spellEnd"/>
      <w:r w:rsidRPr="00044505">
        <w:t xml:space="preserve"> and Write/Read Latency to identify potential bottlenecks.</w:t>
      </w:r>
    </w:p>
    <w:p w14:paraId="0337176D" w14:textId="77777777" w:rsidR="00044505" w:rsidRPr="00044505" w:rsidRDefault="00044505" w:rsidP="00044505">
      <w:r w:rsidRPr="00044505">
        <w:t xml:space="preserve">3. </w:t>
      </w:r>
      <w:proofErr w:type="spellStart"/>
      <w:r w:rsidRPr="00044505">
        <w:t>NetworkPacketsIn</w:t>
      </w:r>
      <w:proofErr w:type="spellEnd"/>
      <w:r w:rsidRPr="00044505">
        <w:t xml:space="preserve"> / </w:t>
      </w:r>
      <w:proofErr w:type="spellStart"/>
      <w:r w:rsidRPr="00044505">
        <w:t>NetworkPacketsOut</w:t>
      </w:r>
      <w:proofErr w:type="spellEnd"/>
    </w:p>
    <w:p w14:paraId="738A6592" w14:textId="77777777" w:rsidR="00044505" w:rsidRPr="00044505" w:rsidRDefault="00044505" w:rsidP="00044505">
      <w:r w:rsidRPr="00044505">
        <w:t>Expected Range: Network packets depend on the data payload size and number of requests. For typical EC2 use cases with gp3 volumes:</w:t>
      </w:r>
    </w:p>
    <w:p w14:paraId="1F677BFE" w14:textId="77777777" w:rsidR="00044505" w:rsidRPr="00044505" w:rsidRDefault="00044505" w:rsidP="00044505">
      <w:r w:rsidRPr="00044505">
        <w:t>High packet rates are common in applications with small but frequent read/write operations (e.g., transactional databases).</w:t>
      </w:r>
    </w:p>
    <w:p w14:paraId="600C83AE" w14:textId="77777777" w:rsidR="00044505" w:rsidRPr="00044505" w:rsidRDefault="00044505" w:rsidP="00044505">
      <w:r w:rsidRPr="00044505">
        <w:t>Threshold for Concern: Extremely high or spiking packet rates could indicate a high-volume, low-latency workload, which may require network tuning.</w:t>
      </w:r>
    </w:p>
    <w:p w14:paraId="5B24A431" w14:textId="77777777" w:rsidR="00044505" w:rsidRPr="00044505" w:rsidRDefault="00044505" w:rsidP="00044505">
      <w:r w:rsidRPr="00044505">
        <w:t xml:space="preserve">Guidance: Track </w:t>
      </w:r>
      <w:proofErr w:type="spellStart"/>
      <w:r w:rsidRPr="00044505">
        <w:t>NetworkPacketsIn</w:t>
      </w:r>
      <w:proofErr w:type="spellEnd"/>
      <w:r w:rsidRPr="00044505">
        <w:t xml:space="preserve">/Out alongside </w:t>
      </w:r>
      <w:proofErr w:type="spellStart"/>
      <w:r w:rsidRPr="00044505">
        <w:t>NetworkIn</w:t>
      </w:r>
      <w:proofErr w:type="spellEnd"/>
      <w:r w:rsidRPr="00044505">
        <w:t>/Out to ensure there’s sufficient bandwidth and that latency is within acceptable levels.</w:t>
      </w:r>
    </w:p>
    <w:p w14:paraId="27BBE0EA" w14:textId="77777777" w:rsidR="00044505" w:rsidRPr="00044505" w:rsidRDefault="00044505" w:rsidP="00044505">
      <w:r w:rsidRPr="00044505">
        <w:t>4. Average Write Latencies</w:t>
      </w:r>
    </w:p>
    <w:p w14:paraId="6DB0472C" w14:textId="77777777" w:rsidR="00044505" w:rsidRPr="00044505" w:rsidRDefault="00044505" w:rsidP="00044505">
      <w:r w:rsidRPr="00044505">
        <w:t xml:space="preserve">Expected Range: For gp3 volumes, write latencies are typically single-digit milliseconds (1–5 </w:t>
      </w:r>
      <w:proofErr w:type="spellStart"/>
      <w:r w:rsidRPr="00044505">
        <w:t>ms</w:t>
      </w:r>
      <w:proofErr w:type="spellEnd"/>
      <w:r w:rsidRPr="00044505">
        <w:t>) due to their SSD nature.</w:t>
      </w:r>
    </w:p>
    <w:p w14:paraId="1EA75ED8" w14:textId="77777777" w:rsidR="00044505" w:rsidRPr="00044505" w:rsidRDefault="00044505" w:rsidP="00044505">
      <w:r w:rsidRPr="00044505">
        <w:t>Typical Values:</w:t>
      </w:r>
    </w:p>
    <w:p w14:paraId="15EE41B0" w14:textId="77777777" w:rsidR="00044505" w:rsidRPr="00044505" w:rsidRDefault="00044505" w:rsidP="00044505">
      <w:r w:rsidRPr="00044505">
        <w:t xml:space="preserve">0–2 </w:t>
      </w:r>
      <w:proofErr w:type="spellStart"/>
      <w:r w:rsidRPr="00044505">
        <w:t>ms</w:t>
      </w:r>
      <w:proofErr w:type="spellEnd"/>
      <w:r w:rsidRPr="00044505">
        <w:t xml:space="preserve"> is ideal for moderate workloads.</w:t>
      </w:r>
    </w:p>
    <w:p w14:paraId="705ABFC5" w14:textId="77777777" w:rsidR="00044505" w:rsidRPr="00044505" w:rsidRDefault="00044505" w:rsidP="00044505">
      <w:r w:rsidRPr="00044505">
        <w:t xml:space="preserve">Threshold for Concern: Sustained latencies above 10 </w:t>
      </w:r>
      <w:proofErr w:type="spellStart"/>
      <w:r w:rsidRPr="00044505">
        <w:t>ms</w:t>
      </w:r>
      <w:proofErr w:type="spellEnd"/>
      <w:r w:rsidRPr="00044505">
        <w:t xml:space="preserve"> may indicate IOPS or throughput limits, or high queue lengths.</w:t>
      </w:r>
    </w:p>
    <w:p w14:paraId="647BE9AA" w14:textId="77777777" w:rsidR="00044505" w:rsidRPr="00044505" w:rsidRDefault="00044505" w:rsidP="00044505">
      <w:r w:rsidRPr="00044505">
        <w:t xml:space="preserve">Guidance: If average write latencies rise, check </w:t>
      </w:r>
      <w:proofErr w:type="spellStart"/>
      <w:r w:rsidRPr="00044505">
        <w:t>VolumeQueueLength</w:t>
      </w:r>
      <w:proofErr w:type="spellEnd"/>
      <w:r w:rsidRPr="00044505">
        <w:t xml:space="preserve"> and </w:t>
      </w:r>
      <w:proofErr w:type="spellStart"/>
      <w:r w:rsidRPr="00044505">
        <w:t>EBSWriteOps</w:t>
      </w:r>
      <w:proofErr w:type="spellEnd"/>
      <w:r w:rsidRPr="00044505">
        <w:t xml:space="preserve"> to confirm whether the volume can handle the current workload.</w:t>
      </w:r>
    </w:p>
    <w:p w14:paraId="00C01DC4" w14:textId="77777777" w:rsidR="00044505" w:rsidRPr="00044505" w:rsidRDefault="00044505" w:rsidP="00044505">
      <w:r w:rsidRPr="00044505">
        <w:t xml:space="preserve">5. </w:t>
      </w:r>
      <w:proofErr w:type="spellStart"/>
      <w:r w:rsidRPr="00044505">
        <w:t>EBSWriteOps</w:t>
      </w:r>
      <w:proofErr w:type="spellEnd"/>
    </w:p>
    <w:p w14:paraId="6542971B" w14:textId="77777777" w:rsidR="00044505" w:rsidRPr="00044505" w:rsidRDefault="00044505" w:rsidP="00044505">
      <w:r w:rsidRPr="00044505">
        <w:lastRenderedPageBreak/>
        <w:t>Expected Range: With 3000 IOPS configured for gp3 volumes:</w:t>
      </w:r>
    </w:p>
    <w:p w14:paraId="46ABDBC6" w14:textId="77777777" w:rsidR="00044505" w:rsidRPr="00044505" w:rsidRDefault="00044505" w:rsidP="00044505">
      <w:r w:rsidRPr="00044505">
        <w:t>Average Write Ops can reach up to 3000 writes per second, depending on workload demands.</w:t>
      </w:r>
    </w:p>
    <w:p w14:paraId="4A1B0EA0" w14:textId="77777777" w:rsidR="00044505" w:rsidRPr="00044505" w:rsidRDefault="00044505" w:rsidP="00044505">
      <w:r w:rsidRPr="00044505">
        <w:t>Guidance:</w:t>
      </w:r>
    </w:p>
    <w:p w14:paraId="0B0CE5D9" w14:textId="77777777" w:rsidR="00044505" w:rsidRPr="00044505" w:rsidRDefault="00044505" w:rsidP="00044505">
      <w:r w:rsidRPr="00044505">
        <w:t xml:space="preserve">Track </w:t>
      </w:r>
      <w:proofErr w:type="spellStart"/>
      <w:r w:rsidRPr="00044505">
        <w:t>EBSWriteOps</w:t>
      </w:r>
      <w:proofErr w:type="spellEnd"/>
      <w:r w:rsidRPr="00044505">
        <w:t xml:space="preserve"> along with </w:t>
      </w:r>
      <w:proofErr w:type="spellStart"/>
      <w:r w:rsidRPr="00044505">
        <w:t>VolumeQueueLength</w:t>
      </w:r>
      <w:proofErr w:type="spellEnd"/>
      <w:r w:rsidRPr="00044505">
        <w:t xml:space="preserve"> and Write Latency. If </w:t>
      </w:r>
      <w:proofErr w:type="spellStart"/>
      <w:r w:rsidRPr="00044505">
        <w:t>EBSWriteOps</w:t>
      </w:r>
      <w:proofErr w:type="spellEnd"/>
      <w:r w:rsidRPr="00044505">
        <w:t xml:space="preserve"> is consistently near the 3000 IOPS limit, it could indicate that your workload is fully utilizing the IOPS provisioned for the volume.</w:t>
      </w:r>
    </w:p>
    <w:p w14:paraId="08DA6185" w14:textId="77777777" w:rsidR="00044505" w:rsidRPr="00044505" w:rsidRDefault="00044505" w:rsidP="00044505">
      <w:r w:rsidRPr="00044505">
        <w:t xml:space="preserve">If </w:t>
      </w:r>
      <w:proofErr w:type="spellStart"/>
      <w:r w:rsidRPr="00044505">
        <w:t>VolumeQueueLength</w:t>
      </w:r>
      <w:proofErr w:type="spellEnd"/>
      <w:r w:rsidRPr="00044505">
        <w:t xml:space="preserve"> also increases in these situations, consider increasing the volume’s IOPS or optimizing the workload.</w:t>
      </w:r>
    </w:p>
    <w:p w14:paraId="3CDBDAD2" w14:textId="77777777" w:rsidR="00044505" w:rsidRPr="00044505" w:rsidRDefault="00044505" w:rsidP="00044505">
      <w:r w:rsidRPr="00044505">
        <w:t>Summary of Expected Value Ranges for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901"/>
        <w:gridCol w:w="4034"/>
      </w:tblGrid>
      <w:tr w:rsidR="00044505" w:rsidRPr="00044505" w14:paraId="2E0C48DF" w14:textId="77777777" w:rsidTr="000445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68A45" w14:textId="77777777" w:rsidR="00044505" w:rsidRPr="00044505" w:rsidRDefault="00044505" w:rsidP="00044505">
            <w:r w:rsidRPr="00044505">
              <w:t>Metric</w:t>
            </w:r>
          </w:p>
        </w:tc>
        <w:tc>
          <w:tcPr>
            <w:tcW w:w="0" w:type="auto"/>
            <w:vAlign w:val="center"/>
            <w:hideMark/>
          </w:tcPr>
          <w:p w14:paraId="4DD36D0E" w14:textId="77777777" w:rsidR="00044505" w:rsidRPr="00044505" w:rsidRDefault="00044505" w:rsidP="00044505">
            <w:r w:rsidRPr="00044505">
              <w:t>Expected Range</w:t>
            </w:r>
          </w:p>
        </w:tc>
        <w:tc>
          <w:tcPr>
            <w:tcW w:w="0" w:type="auto"/>
            <w:vAlign w:val="center"/>
            <w:hideMark/>
          </w:tcPr>
          <w:p w14:paraId="430B92D2" w14:textId="77777777" w:rsidR="00044505" w:rsidRPr="00044505" w:rsidRDefault="00044505" w:rsidP="00044505">
            <w:r w:rsidRPr="00044505">
              <w:t>Threshold for Concern</w:t>
            </w:r>
          </w:p>
        </w:tc>
      </w:tr>
      <w:tr w:rsidR="00044505" w:rsidRPr="00044505" w14:paraId="36A496CF" w14:textId="77777777" w:rsidTr="00044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470E6" w14:textId="77777777" w:rsidR="00044505" w:rsidRPr="00044505" w:rsidRDefault="00044505" w:rsidP="00044505">
            <w:proofErr w:type="spellStart"/>
            <w:r w:rsidRPr="00044505">
              <w:t>VolumeQueueLength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BF1E2" w14:textId="77777777" w:rsidR="00044505" w:rsidRPr="00044505" w:rsidRDefault="00044505" w:rsidP="00044505">
            <w:r w:rsidRPr="00044505">
              <w:t>0–1 (ideal), spikes &lt;5</w:t>
            </w:r>
          </w:p>
        </w:tc>
        <w:tc>
          <w:tcPr>
            <w:tcW w:w="0" w:type="auto"/>
            <w:vAlign w:val="center"/>
            <w:hideMark/>
          </w:tcPr>
          <w:p w14:paraId="0FFB4C23" w14:textId="77777777" w:rsidR="00044505" w:rsidRPr="00044505" w:rsidRDefault="00044505" w:rsidP="00044505">
            <w:r w:rsidRPr="00044505">
              <w:t>Sustained &gt;5</w:t>
            </w:r>
          </w:p>
        </w:tc>
      </w:tr>
      <w:tr w:rsidR="00044505" w:rsidRPr="00044505" w14:paraId="62C2DB22" w14:textId="77777777" w:rsidTr="00044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A5099" w14:textId="77777777" w:rsidR="00044505" w:rsidRPr="00044505" w:rsidRDefault="00044505" w:rsidP="00044505">
            <w:proofErr w:type="spellStart"/>
            <w:r w:rsidRPr="00044505">
              <w:t>NetworkIn</w:t>
            </w:r>
            <w:proofErr w:type="spellEnd"/>
            <w:r w:rsidRPr="00044505">
              <w:t>/Out</w:t>
            </w:r>
          </w:p>
        </w:tc>
        <w:tc>
          <w:tcPr>
            <w:tcW w:w="0" w:type="auto"/>
            <w:vAlign w:val="center"/>
            <w:hideMark/>
          </w:tcPr>
          <w:p w14:paraId="4F32EFC6" w14:textId="77777777" w:rsidR="00044505" w:rsidRPr="00044505" w:rsidRDefault="00044505" w:rsidP="00044505">
            <w:r w:rsidRPr="00044505">
              <w:t>Up to 125 MiB/s or 250 MiB/s</w:t>
            </w:r>
          </w:p>
        </w:tc>
        <w:tc>
          <w:tcPr>
            <w:tcW w:w="0" w:type="auto"/>
            <w:vAlign w:val="center"/>
            <w:hideMark/>
          </w:tcPr>
          <w:p w14:paraId="702551DF" w14:textId="77777777" w:rsidR="00044505" w:rsidRPr="00044505" w:rsidRDefault="00044505" w:rsidP="00044505">
            <w:r w:rsidRPr="00044505">
              <w:t>N/A (Monitor for trends)</w:t>
            </w:r>
          </w:p>
        </w:tc>
      </w:tr>
      <w:tr w:rsidR="00044505" w:rsidRPr="00044505" w14:paraId="79DE6478" w14:textId="77777777" w:rsidTr="00044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A2C2" w14:textId="77777777" w:rsidR="00044505" w:rsidRPr="00044505" w:rsidRDefault="00044505" w:rsidP="00044505">
            <w:proofErr w:type="spellStart"/>
            <w:r w:rsidRPr="00044505">
              <w:t>NetworkPacketsIn</w:t>
            </w:r>
            <w:proofErr w:type="spellEnd"/>
            <w:r w:rsidRPr="00044505">
              <w:t>/Out</w:t>
            </w:r>
          </w:p>
        </w:tc>
        <w:tc>
          <w:tcPr>
            <w:tcW w:w="0" w:type="auto"/>
            <w:vAlign w:val="center"/>
            <w:hideMark/>
          </w:tcPr>
          <w:p w14:paraId="6B39CC88" w14:textId="77777777" w:rsidR="00044505" w:rsidRPr="00044505" w:rsidRDefault="00044505" w:rsidP="00044505">
            <w:r w:rsidRPr="00044505">
              <w:t>Variable based on workload</w:t>
            </w:r>
          </w:p>
        </w:tc>
        <w:tc>
          <w:tcPr>
            <w:tcW w:w="0" w:type="auto"/>
            <w:vAlign w:val="center"/>
            <w:hideMark/>
          </w:tcPr>
          <w:p w14:paraId="2368785E" w14:textId="77777777" w:rsidR="00044505" w:rsidRPr="00044505" w:rsidRDefault="00044505" w:rsidP="00044505">
            <w:r w:rsidRPr="00044505">
              <w:t>Spikes or consistently high values</w:t>
            </w:r>
          </w:p>
        </w:tc>
      </w:tr>
      <w:tr w:rsidR="00044505" w:rsidRPr="00044505" w14:paraId="18095A59" w14:textId="77777777" w:rsidTr="00044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43E1" w14:textId="77777777" w:rsidR="00044505" w:rsidRPr="00044505" w:rsidRDefault="00044505" w:rsidP="00044505">
            <w:r w:rsidRPr="00044505">
              <w:t>Average Write Latency</w:t>
            </w:r>
          </w:p>
        </w:tc>
        <w:tc>
          <w:tcPr>
            <w:tcW w:w="0" w:type="auto"/>
            <w:vAlign w:val="center"/>
            <w:hideMark/>
          </w:tcPr>
          <w:p w14:paraId="08560B59" w14:textId="77777777" w:rsidR="00044505" w:rsidRPr="00044505" w:rsidRDefault="00044505" w:rsidP="00044505">
            <w:r w:rsidRPr="00044505">
              <w:t xml:space="preserve">1–5 </w:t>
            </w:r>
            <w:proofErr w:type="spellStart"/>
            <w:r w:rsidRPr="00044505">
              <w:t>ms</w:t>
            </w:r>
            <w:proofErr w:type="spellEnd"/>
            <w:r w:rsidRPr="00044505">
              <w:t xml:space="preserve"> (ideal)</w:t>
            </w:r>
          </w:p>
        </w:tc>
        <w:tc>
          <w:tcPr>
            <w:tcW w:w="0" w:type="auto"/>
            <w:vAlign w:val="center"/>
            <w:hideMark/>
          </w:tcPr>
          <w:p w14:paraId="67FE0B6E" w14:textId="77777777" w:rsidR="00044505" w:rsidRPr="00044505" w:rsidRDefault="00044505" w:rsidP="00044505">
            <w:r w:rsidRPr="00044505">
              <w:t xml:space="preserve">Sustained &gt;10 </w:t>
            </w:r>
            <w:proofErr w:type="spellStart"/>
            <w:r w:rsidRPr="00044505">
              <w:t>ms</w:t>
            </w:r>
            <w:proofErr w:type="spellEnd"/>
          </w:p>
        </w:tc>
      </w:tr>
      <w:tr w:rsidR="00044505" w:rsidRPr="00044505" w14:paraId="23AF465E" w14:textId="77777777" w:rsidTr="000445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C493" w14:textId="77777777" w:rsidR="00044505" w:rsidRPr="00044505" w:rsidRDefault="00044505" w:rsidP="00044505">
            <w:proofErr w:type="spellStart"/>
            <w:r w:rsidRPr="00044505">
              <w:t>EBSWriteOps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116BE" w14:textId="77777777" w:rsidR="00044505" w:rsidRPr="00044505" w:rsidRDefault="00044505" w:rsidP="00044505">
            <w:r w:rsidRPr="00044505">
              <w:t>Up to 3000 per second</w:t>
            </w:r>
          </w:p>
        </w:tc>
        <w:tc>
          <w:tcPr>
            <w:tcW w:w="0" w:type="auto"/>
            <w:vAlign w:val="center"/>
            <w:hideMark/>
          </w:tcPr>
          <w:p w14:paraId="0DA23A9D" w14:textId="77777777" w:rsidR="00044505" w:rsidRPr="00044505" w:rsidRDefault="00044505" w:rsidP="00044505">
            <w:r w:rsidRPr="00044505">
              <w:t>Consistently near 3000 + queue buildup</w:t>
            </w:r>
          </w:p>
        </w:tc>
      </w:tr>
    </w:tbl>
    <w:p w14:paraId="162B59DF" w14:textId="77777777" w:rsidR="00044505" w:rsidRPr="00044505" w:rsidRDefault="00044505" w:rsidP="00044505">
      <w:r w:rsidRPr="00044505">
        <w:t>Monitoring these metrics together helps you get a comprehensive view of instance and EBS volume health, enabling you to address any potential performance bottlenecks proactively.</w:t>
      </w:r>
    </w:p>
    <w:p w14:paraId="4D020C6A" w14:textId="77777777" w:rsidR="005C6013" w:rsidRPr="00044505" w:rsidRDefault="005C6013" w:rsidP="00044505"/>
    <w:sectPr w:rsidR="005C6013" w:rsidRPr="0004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C3B3B"/>
    <w:multiLevelType w:val="multilevel"/>
    <w:tmpl w:val="FAB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22B28"/>
    <w:multiLevelType w:val="multilevel"/>
    <w:tmpl w:val="D76E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C6EA6"/>
    <w:multiLevelType w:val="multilevel"/>
    <w:tmpl w:val="3B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F7861"/>
    <w:multiLevelType w:val="multilevel"/>
    <w:tmpl w:val="C718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956DC"/>
    <w:multiLevelType w:val="multilevel"/>
    <w:tmpl w:val="F050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33513">
    <w:abstractNumId w:val="4"/>
  </w:num>
  <w:num w:numId="2" w16cid:durableId="1158764670">
    <w:abstractNumId w:val="0"/>
  </w:num>
  <w:num w:numId="3" w16cid:durableId="643586298">
    <w:abstractNumId w:val="1"/>
  </w:num>
  <w:num w:numId="4" w16cid:durableId="838234198">
    <w:abstractNumId w:val="2"/>
  </w:num>
  <w:num w:numId="5" w16cid:durableId="1199120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05"/>
    <w:rsid w:val="00044505"/>
    <w:rsid w:val="0021004A"/>
    <w:rsid w:val="003442C7"/>
    <w:rsid w:val="00503F0E"/>
    <w:rsid w:val="005C6013"/>
    <w:rsid w:val="008D27AC"/>
    <w:rsid w:val="009838A3"/>
    <w:rsid w:val="00F2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FFA3"/>
  <w15:chartTrackingRefBased/>
  <w15:docId w15:val="{B23AA809-8229-E242-89B2-100A3F49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5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5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5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5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5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5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5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Lyonga, Charles</dc:creator>
  <cp:keywords/>
  <dc:description/>
  <cp:lastModifiedBy>Lyonga, Charles</cp:lastModifiedBy>
  <cp:revision>1</cp:revision>
  <dcterms:created xsi:type="dcterms:W3CDTF">2024-11-04T12:50:00Z</dcterms:created>
  <dcterms:modified xsi:type="dcterms:W3CDTF">2024-11-04T12:52:00Z</dcterms:modified>
</cp:coreProperties>
</file>