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E66A9" w14:textId="77777777" w:rsidR="0061774F" w:rsidRPr="00D600C4" w:rsidRDefault="00000000">
      <w:pPr>
        <w:spacing w:after="60"/>
        <w:rPr>
          <w:color w:val="000000" w:themeColor="text1"/>
        </w:rPr>
      </w:pPr>
      <w:r w:rsidRPr="00D600C4">
        <w:rPr>
          <w:b/>
          <w:bCs/>
          <w:color w:val="000000" w:themeColor="text1"/>
          <w:sz w:val="36"/>
          <w:szCs w:val="36"/>
        </w:rPr>
        <w:t xml:space="preserve">Business rules v1 – </w:t>
      </w:r>
      <w:proofErr w:type="spellStart"/>
      <w:r w:rsidRPr="00D600C4">
        <w:rPr>
          <w:b/>
          <w:bCs/>
          <w:color w:val="000000" w:themeColor="text1"/>
          <w:sz w:val="36"/>
          <w:szCs w:val="36"/>
        </w:rPr>
        <w:t>GlucoLink</w:t>
      </w:r>
      <w:proofErr w:type="spellEnd"/>
      <w:r w:rsidRPr="00D600C4">
        <w:rPr>
          <w:b/>
          <w:bCs/>
          <w:color w:val="000000" w:themeColor="text1"/>
          <w:sz w:val="36"/>
          <w:szCs w:val="36"/>
        </w:rPr>
        <w:t xml:space="preserve"> A2</w:t>
      </w:r>
    </w:p>
    <w:p w14:paraId="3A352402" w14:textId="1479A1E3" w:rsidR="0061774F" w:rsidRPr="00D600C4" w:rsidRDefault="00000000">
      <w:pPr>
        <w:spacing w:after="100"/>
        <w:rPr>
          <w:color w:val="000000" w:themeColor="text1"/>
        </w:rPr>
      </w:pPr>
      <w:r w:rsidRPr="00D600C4">
        <w:rPr>
          <w:color w:val="000000" w:themeColor="text1"/>
        </w:rPr>
        <w:t>V1 · Owner: Xiaolong Yang (A) · Reviewers: Yutong Geng (D), Shuo Ding (E), Minha Kim (F)</w:t>
      </w:r>
    </w:p>
    <w:p w14:paraId="23B32690" w14:textId="4E4C97C6" w:rsidR="0061774F" w:rsidRPr="00D600C4" w:rsidRDefault="00000000">
      <w:pPr>
        <w:spacing w:after="100"/>
        <w:rPr>
          <w:color w:val="000000" w:themeColor="text1"/>
        </w:rPr>
      </w:pPr>
      <w:r w:rsidRPr="00D600C4">
        <w:rPr>
          <w:color w:val="000000" w:themeColor="text1"/>
        </w:rPr>
        <w:t xml:space="preserve">This sheet defines exactly what each use case must return, so the SQL (Shuo, Yutong) and the tests (Minha) follow the same rules. The numbers are stored in </w:t>
      </w:r>
      <w:proofErr w:type="spellStart"/>
      <w:proofErr w:type="gramStart"/>
      <w:r w:rsidRPr="00D600C4">
        <w:rPr>
          <w:rFonts w:ascii="Consolas" w:eastAsia="Consolas" w:hAnsi="Consolas" w:cs="Consolas"/>
          <w:color w:val="000000" w:themeColor="text1"/>
          <w:sz w:val="19"/>
          <w:szCs w:val="19"/>
        </w:rPr>
        <w:t>reporting.rule</w:t>
      </w:r>
      <w:proofErr w:type="gramEnd"/>
      <w:r w:rsidRPr="00D600C4">
        <w:rPr>
          <w:rFonts w:ascii="Consolas" w:eastAsia="Consolas" w:hAnsi="Consolas" w:cs="Consolas"/>
          <w:color w:val="000000" w:themeColor="text1"/>
          <w:sz w:val="19"/>
          <w:szCs w:val="19"/>
        </w:rPr>
        <w:t>_parameter</w:t>
      </w:r>
      <w:proofErr w:type="spellEnd"/>
      <w:r w:rsidRPr="00D600C4">
        <w:rPr>
          <w:color w:val="000000" w:themeColor="text1"/>
        </w:rPr>
        <w:t xml:space="preserve"> (created in </w:t>
      </w:r>
      <w:r w:rsidRPr="00D600C4">
        <w:rPr>
          <w:rFonts w:ascii="Consolas" w:eastAsia="Consolas" w:hAnsi="Consolas" w:cs="Consolas"/>
          <w:color w:val="000000" w:themeColor="text1"/>
          <w:sz w:val="19"/>
          <w:szCs w:val="19"/>
        </w:rPr>
        <w:t>00_setup.sql</w:t>
      </w:r>
      <w:r w:rsidRPr="00D600C4">
        <w:rPr>
          <w:color w:val="000000" w:themeColor="text1"/>
        </w:rPr>
        <w:t>), so a rule can be changed without rewriting SQL.</w:t>
      </w:r>
    </w:p>
    <w:p w14:paraId="2ADB20E1" w14:textId="77777777" w:rsidR="0061774F" w:rsidRPr="00D600C4" w:rsidRDefault="00000000">
      <w:pPr>
        <w:pStyle w:val="1"/>
        <w:rPr>
          <w:color w:val="000000" w:themeColor="text1"/>
        </w:rPr>
      </w:pPr>
      <w:r w:rsidRPr="00D600C4">
        <w:rPr>
          <w:color w:val="000000" w:themeColor="text1"/>
        </w:rPr>
        <w:t>1. General rules (all use cases)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D600C4" w:rsidRPr="00D600C4" w14:paraId="2B16D6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DCE6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8924EA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b/>
                <w:bCs/>
                <w:color w:val="000000" w:themeColor="text1"/>
                <w:sz w:val="18"/>
                <w:szCs w:val="18"/>
              </w:rPr>
              <w:t>Topic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DCE6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5A024B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b/>
                <w:bCs/>
                <w:color w:val="000000" w:themeColor="text1"/>
                <w:sz w:val="18"/>
                <w:szCs w:val="18"/>
              </w:rPr>
              <w:t>Rule</w:t>
            </w:r>
          </w:p>
        </w:tc>
      </w:tr>
      <w:tr w:rsidR="00D600C4" w:rsidRPr="00D600C4" w14:paraId="4EDD5FD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31E13A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Observation date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9A272A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 xml:space="preserve">1 September 2026. Every use case answers “as </w:t>
            </w:r>
            <w:proofErr w:type="gramStart"/>
            <w:r w:rsidRPr="00D600C4">
              <w:rPr>
                <w:color w:val="000000" w:themeColor="text1"/>
                <w:sz w:val="18"/>
                <w:szCs w:val="18"/>
              </w:rPr>
              <w:t>at</w:t>
            </w:r>
            <w:proofErr w:type="gramEnd"/>
            <w:r w:rsidRPr="00D600C4">
              <w:rPr>
                <w:color w:val="000000" w:themeColor="text1"/>
                <w:sz w:val="18"/>
                <w:szCs w:val="18"/>
              </w:rPr>
              <w:t xml:space="preserve"> 1 Sep 2026”, so results do not change from day to </w:t>
            </w:r>
            <w:proofErr w:type="gramStart"/>
            <w:r w:rsidRPr="00D600C4">
              <w:rPr>
                <w:color w:val="000000" w:themeColor="text1"/>
                <w:sz w:val="18"/>
                <w:szCs w:val="18"/>
              </w:rPr>
              <w:t>day</w:t>
            </w:r>
            <w:proofErr w:type="gramEnd"/>
            <w:r w:rsidRPr="00D600C4">
              <w:rPr>
                <w:color w:val="000000" w:themeColor="text1"/>
                <w:sz w:val="18"/>
                <w:szCs w:val="18"/>
              </w:rPr>
              <w:t xml:space="preserve"> and the expected test results stay valid.</w:t>
            </w:r>
          </w:p>
        </w:tc>
      </w:tr>
      <w:tr w:rsidR="00D600C4" w:rsidRPr="00D600C4" w14:paraId="2C481EAC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B24599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HbA1c unit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24C28A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mmol/mol. Lab 2 reports % (LOINC 4548-4); convert with mmol/mol = (% − 2.15) × 10.929, rounded to 1 decimal. 53 mmol/mol ≈ 7.0%.</w:t>
            </w:r>
          </w:p>
        </w:tc>
      </w:tr>
      <w:tr w:rsidR="00D600C4" w:rsidRPr="00D600C4" w14:paraId="3086CB20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CD6D98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Lab results that count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F25A81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 xml:space="preserve">Only VALID results. A blank or wrong unit (REJECTED_UNIT), a collection date after the observation date (FUTURE_DATE) and a second copy of the same result (DUPLICATE) are excluded and logged in </w:t>
            </w:r>
            <w:proofErr w:type="spellStart"/>
            <w:proofErr w:type="gramStart"/>
            <w:r w:rsidRPr="00D600C4">
              <w:rPr>
                <w:rFonts w:ascii="Consolas" w:eastAsia="Consolas" w:hAnsi="Consolas" w:cs="Consolas"/>
                <w:color w:val="000000" w:themeColor="text1"/>
                <w:sz w:val="18"/>
                <w:szCs w:val="18"/>
              </w:rPr>
              <w:t>cleansed.dq</w:t>
            </w:r>
            <w:proofErr w:type="gramEnd"/>
            <w:r w:rsidRPr="00D600C4">
              <w:rPr>
                <w:rFonts w:ascii="Consolas" w:eastAsia="Consolas" w:hAnsi="Consolas" w:cs="Consolas"/>
                <w:color w:val="000000" w:themeColor="text1"/>
                <w:sz w:val="18"/>
                <w:szCs w:val="18"/>
              </w:rPr>
              <w:t>_issue</w:t>
            </w:r>
            <w:proofErr w:type="spellEnd"/>
            <w:r w:rsidRPr="00D600C4">
              <w:rPr>
                <w:color w:val="000000" w:themeColor="text1"/>
                <w:sz w:val="18"/>
                <w:szCs w:val="18"/>
              </w:rPr>
              <w:t>.</w:t>
            </w:r>
          </w:p>
        </w:tc>
      </w:tr>
      <w:tr w:rsidR="00D600C4" w:rsidRPr="00D600C4" w14:paraId="16DE04B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2B504F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Patients that count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B4BDB1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 xml:space="preserve">Only golden patients, i.e. source records with </w:t>
            </w: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match_status</w:t>
            </w:r>
            <w:proofErr w:type="spellEnd"/>
            <w:r w:rsidRPr="00D600C4">
              <w:rPr>
                <w:color w:val="000000" w:themeColor="text1"/>
                <w:sz w:val="18"/>
                <w:szCs w:val="18"/>
              </w:rPr>
              <w:t xml:space="preserve"> LINKED. Records in REVIEW (e.g. PATH0006) or UNMATCHED (e.g. PH-1012, pharmacy only) are left out of every use case.</w:t>
            </w:r>
          </w:p>
        </w:tc>
      </w:tr>
      <w:tr w:rsidR="00D600C4" w:rsidRPr="00D600C4" w14:paraId="35BD0D57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67E361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Dates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8AE697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Taken in Sydney time.</w:t>
            </w:r>
          </w:p>
        </w:tc>
      </w:tr>
      <w:tr w:rsidR="00D600C4" w:rsidRPr="00D600C4" w14:paraId="60DAE3A6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B59E52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Sources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876FDA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 xml:space="preserve">RACGP (2026): HbA1c target ≤ 53 mmol/mol (7.0%) and a 3–6-month testing interval. Lee et al. (2025): PDC ≥ 0.8 = adherent. The 90-day review window and the ±5 mmol/mol trend threshold are </w:t>
            </w: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GlucoLink</w:t>
            </w:r>
            <w:proofErr w:type="spellEnd"/>
            <w:r w:rsidRPr="00D600C4">
              <w:rPr>
                <w:color w:val="000000" w:themeColor="text1"/>
                <w:sz w:val="18"/>
                <w:szCs w:val="18"/>
              </w:rPr>
              <w:t xml:space="preserve"> project rules from A1, not clinical standards. None of this is clinical advice.</w:t>
            </w:r>
          </w:p>
        </w:tc>
      </w:tr>
    </w:tbl>
    <w:p w14:paraId="485C2EE5" w14:textId="77777777" w:rsidR="0061774F" w:rsidRPr="00D600C4" w:rsidRDefault="0061774F">
      <w:pPr>
        <w:spacing w:after="100"/>
        <w:rPr>
          <w:color w:val="000000" w:themeColor="text1"/>
        </w:rPr>
      </w:pPr>
    </w:p>
    <w:p w14:paraId="137FEDFF" w14:textId="77777777" w:rsidR="0061774F" w:rsidRPr="00D600C4" w:rsidRDefault="00000000">
      <w:pPr>
        <w:pStyle w:val="1"/>
        <w:rPr>
          <w:color w:val="000000" w:themeColor="text1"/>
        </w:rPr>
      </w:pPr>
      <w:r w:rsidRPr="00D600C4">
        <w:rPr>
          <w:color w:val="000000" w:themeColor="text1"/>
        </w:rPr>
        <w:t>2. Parameters (</w:t>
      </w:r>
      <w:proofErr w:type="spellStart"/>
      <w:proofErr w:type="gramStart"/>
      <w:r w:rsidRPr="00D600C4">
        <w:rPr>
          <w:color w:val="000000" w:themeColor="text1"/>
        </w:rPr>
        <w:t>reporting.rule</w:t>
      </w:r>
      <w:proofErr w:type="gramEnd"/>
      <w:r w:rsidRPr="00D600C4">
        <w:rPr>
          <w:color w:val="000000" w:themeColor="text1"/>
        </w:rPr>
        <w:t>_parameter</w:t>
      </w:r>
      <w:proofErr w:type="spellEnd"/>
      <w:r w:rsidRPr="00D600C4">
        <w:rPr>
          <w:color w:val="000000" w:themeColor="text1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6"/>
        <w:gridCol w:w="1157"/>
        <w:gridCol w:w="1157"/>
        <w:gridCol w:w="4818"/>
      </w:tblGrid>
      <w:tr w:rsidR="00D600C4" w:rsidRPr="00D600C4" w14:paraId="3C8C60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DCE6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DA0B35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proofErr w:type="spellStart"/>
            <w:r w:rsidRPr="00D600C4">
              <w:rPr>
                <w:b/>
                <w:bCs/>
                <w:color w:val="000000" w:themeColor="text1"/>
                <w:sz w:val="18"/>
                <w:szCs w:val="18"/>
              </w:rPr>
              <w:t>param_name</w:t>
            </w:r>
            <w:proofErr w:type="spellEnd"/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DCE6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ECB33E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b/>
                <w:bCs/>
                <w:color w:val="000000" w:themeColor="text1"/>
                <w:sz w:val="18"/>
                <w:szCs w:val="18"/>
              </w:rPr>
              <w:t>Value</w:t>
            </w:r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DCE6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A513D6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b/>
                <w:bCs/>
                <w:color w:val="000000" w:themeColor="text1"/>
                <w:sz w:val="18"/>
                <w:szCs w:val="18"/>
              </w:rPr>
              <w:t>Used by</w:t>
            </w:r>
          </w:p>
        </w:tc>
        <w:tc>
          <w:tcPr>
            <w:tcW w:w="48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DCE6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F6C910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b/>
                <w:bCs/>
                <w:color w:val="000000" w:themeColor="text1"/>
                <w:sz w:val="18"/>
                <w:szCs w:val="18"/>
              </w:rPr>
              <w:t>Meaning</w:t>
            </w:r>
          </w:p>
        </w:tc>
      </w:tr>
      <w:tr w:rsidR="00D600C4" w:rsidRPr="00D600C4" w14:paraId="7F6D9EF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545CBF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as_of_date</w:t>
            </w:r>
            <w:proofErr w:type="spellEnd"/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76F6C2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2026-09-01</w:t>
            </w:r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E5558E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all</w:t>
            </w:r>
          </w:p>
        </w:tc>
        <w:tc>
          <w:tcPr>
            <w:tcW w:w="48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1003C7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observation date</w:t>
            </w:r>
          </w:p>
        </w:tc>
      </w:tr>
      <w:tr w:rsidR="00D600C4" w:rsidRPr="00D600C4" w14:paraId="1EBEA7E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775F7D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test_overdue_months</w:t>
            </w:r>
            <w:proofErr w:type="spellEnd"/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971375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D22933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UC1</w:t>
            </w:r>
          </w:p>
        </w:tc>
        <w:tc>
          <w:tcPr>
            <w:tcW w:w="48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835E1F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proofErr w:type="spellEnd"/>
            <w:r w:rsidRPr="00D600C4">
              <w:rPr>
                <w:color w:val="000000" w:themeColor="text1"/>
                <w:sz w:val="18"/>
                <w:szCs w:val="18"/>
              </w:rPr>
              <w:t>no valid test for more than 6 months = overdue</w:t>
            </w:r>
          </w:p>
        </w:tc>
      </w:tr>
      <w:tr w:rsidR="00D600C4" w:rsidRPr="00D600C4" w14:paraId="1D8D919E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3B0356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hba1c_high_mmol</w:t>
            </w:r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FBAE3E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53</w:t>
            </w:r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585C9D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UC1</w:t>
            </w:r>
          </w:p>
        </w:tc>
        <w:tc>
          <w:tcPr>
            <w:tcW w:w="48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E5AF95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result at or above this is above target</w:t>
            </w:r>
          </w:p>
        </w:tc>
      </w:tr>
      <w:tr w:rsidR="00D600C4" w:rsidRPr="00D600C4" w14:paraId="37688DBB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180D80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review_window_days</w:t>
            </w:r>
            <w:proofErr w:type="spellEnd"/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CABCB2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90</w:t>
            </w:r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B5C04C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UC1</w:t>
            </w:r>
          </w:p>
        </w:tc>
        <w:tc>
          <w:tcPr>
            <w:tcW w:w="48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9EEFF6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a review visit is expected within 90 days after a high result</w:t>
            </w:r>
          </w:p>
        </w:tc>
      </w:tr>
      <w:tr w:rsidR="00D600C4" w:rsidRPr="00D600C4" w14:paraId="1E6F1CAD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11FED9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pdc_window_days</w:t>
            </w:r>
            <w:proofErr w:type="spellEnd"/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6AA259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180</w:t>
            </w:r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E3102B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UC2</w:t>
            </w:r>
          </w:p>
        </w:tc>
        <w:tc>
          <w:tcPr>
            <w:tcW w:w="48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F0014F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length of the PDC window</w:t>
            </w:r>
          </w:p>
        </w:tc>
      </w:tr>
      <w:tr w:rsidR="00D600C4" w:rsidRPr="00D600C4" w14:paraId="7D3A783B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ABDEC2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pdc_threshold</w:t>
            </w:r>
            <w:proofErr w:type="spellEnd"/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8D7E04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0.8</w:t>
            </w:r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280225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UC2, UC3</w:t>
            </w:r>
          </w:p>
        </w:tc>
        <w:tc>
          <w:tcPr>
            <w:tcW w:w="48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E7231A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PDC below this = non-adherent</w:t>
            </w:r>
          </w:p>
        </w:tc>
      </w:tr>
      <w:tr w:rsidR="00D600C4" w:rsidRPr="00D600C4" w14:paraId="0459DE2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235CD4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trend_window_months</w:t>
            </w:r>
            <w:proofErr w:type="spellEnd"/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AD1259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12</w:t>
            </w:r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A5B84D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UC3</w:t>
            </w:r>
          </w:p>
        </w:tc>
        <w:tc>
          <w:tcPr>
            <w:tcW w:w="48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9C1EE3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look-back window for the trend</w:t>
            </w:r>
          </w:p>
        </w:tc>
      </w:tr>
      <w:tr w:rsidR="00D600C4" w:rsidRPr="00D600C4" w14:paraId="1D7423F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AC6965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trend_min_change_mmol</w:t>
            </w:r>
            <w:proofErr w:type="spellEnd"/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53F866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6D1713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UC3</w:t>
            </w:r>
          </w:p>
        </w:tc>
        <w:tc>
          <w:tcPr>
            <w:tcW w:w="48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1B32AE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change of at least 5 mmol/mol counts as rising or falling</w:t>
            </w:r>
          </w:p>
        </w:tc>
      </w:tr>
      <w:tr w:rsidR="00D600C4" w:rsidRPr="00D600C4" w14:paraId="7F4DCC0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938927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return_grace_days</w:t>
            </w:r>
            <w:proofErr w:type="spellEnd"/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016447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70B9BA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UC4</w:t>
            </w:r>
          </w:p>
        </w:tc>
        <w:tc>
          <w:tcPr>
            <w:tcW w:w="48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920EC7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a result not delivered after 7 days counts as not returned</w:t>
            </w:r>
          </w:p>
        </w:tc>
      </w:tr>
    </w:tbl>
    <w:p w14:paraId="6698D306" w14:textId="77777777" w:rsidR="0061774F" w:rsidRPr="00D600C4" w:rsidRDefault="0061774F">
      <w:pPr>
        <w:spacing w:after="100"/>
        <w:rPr>
          <w:color w:val="000000" w:themeColor="text1"/>
        </w:rPr>
      </w:pPr>
    </w:p>
    <w:p w14:paraId="0FE48D16" w14:textId="77777777" w:rsidR="0061774F" w:rsidRPr="00D600C4" w:rsidRDefault="00000000">
      <w:pPr>
        <w:pStyle w:val="1"/>
        <w:rPr>
          <w:color w:val="000000" w:themeColor="text1"/>
        </w:rPr>
      </w:pPr>
      <w:r w:rsidRPr="00D600C4">
        <w:rPr>
          <w:color w:val="000000" w:themeColor="text1"/>
        </w:rPr>
        <w:t>3. UC1 – Care gaps (SQL: Shuo)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D600C4" w:rsidRPr="00D600C4" w14:paraId="46AD4D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DCE6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053ACA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b/>
                <w:bCs/>
                <w:color w:val="000000" w:themeColor="text1"/>
                <w:sz w:val="18"/>
                <w:szCs w:val="18"/>
              </w:rPr>
              <w:t>Item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DCE6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AD4142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b/>
                <w:bCs/>
                <w:color w:val="000000" w:themeColor="text1"/>
                <w:sz w:val="18"/>
                <w:szCs w:val="18"/>
              </w:rPr>
              <w:t>Rule</w:t>
            </w:r>
          </w:p>
        </w:tc>
      </w:tr>
      <w:tr w:rsidR="00D600C4" w:rsidRPr="00D600C4" w14:paraId="0B9B7634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8ACC3C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Question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C9C51B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Which patients may need a test or a follow-up review?</w:t>
            </w:r>
          </w:p>
        </w:tc>
      </w:tr>
      <w:tr w:rsidR="00D600C4" w:rsidRPr="00D600C4" w14:paraId="7D56ED1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125C37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Rule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689414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1) For each golden patient, take the latest VALID HbA1c collected on or before 1 Sep 2026.</w:t>
            </w:r>
          </w:p>
          <w:p w14:paraId="6C05A4E5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2) No result at all → NO_TEST_ON_RECORD.</w:t>
            </w:r>
          </w:p>
          <w:p w14:paraId="2F93D908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3) Latest result collected before 1 Mar 2026 (more than 6 months ago) → OVERDUE_TEST.</w:t>
            </w:r>
          </w:p>
          <w:p w14:paraId="55F9DAB3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 xml:space="preserve">4) Otherwise, if the latest result is ≥ 53 mmol/mol and there is no review visit in the 90 days after it (a GP visit with </w:t>
            </w: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medication_review_flag</w:t>
            </w:r>
            <w:proofErr w:type="spellEnd"/>
            <w:r w:rsidRPr="00D600C4">
              <w:rPr>
                <w:color w:val="000000" w:themeColor="text1"/>
                <w:sz w:val="18"/>
                <w:szCs w:val="18"/>
              </w:rPr>
              <w:t xml:space="preserve"> or </w:t>
            </w: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care_plan_flag</w:t>
            </w:r>
            <w:proofErr w:type="spellEnd"/>
            <w:r w:rsidRPr="00D600C4">
              <w:rPr>
                <w:color w:val="000000" w:themeColor="text1"/>
                <w:sz w:val="18"/>
                <w:szCs w:val="18"/>
              </w:rPr>
              <w:t xml:space="preserve"> = true): HIGH_NO_REVIEW if the 90 days ended on or before 1 Sep 2026, otherwise HIGH_REVIEW_PENDING (not a gap yet).</w:t>
            </w:r>
          </w:p>
          <w:p w14:paraId="6D47FA36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5) All other patients are not listed.</w:t>
            </w:r>
          </w:p>
        </w:tc>
      </w:tr>
      <w:tr w:rsidR="00D600C4" w:rsidRPr="00D600C4" w14:paraId="3F08EF6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D36959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lastRenderedPageBreak/>
              <w:t>Missing or unclear data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7D3FE4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Rejected results are ignored, so a patient whose newest result was rejected is judged on the older valid one (P10 William Jones: the June result has a blank unit, so his last valid test is 1 Feb 2026 → OVERDUE_TEST). A normal GP visit (neither flag set) is not a review.</w:t>
            </w:r>
          </w:p>
        </w:tc>
      </w:tr>
      <w:tr w:rsidR="00D600C4" w:rsidRPr="00D600C4" w14:paraId="2965E56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D46F79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Should be flagged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C54BDF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 xml:space="preserve">P01 Thomas Smith: latest result 62 mmol/mol on 20 May 2026; no review </w:t>
            </w:r>
            <w:proofErr w:type="gramStart"/>
            <w:r w:rsidRPr="00D600C4">
              <w:rPr>
                <w:color w:val="000000" w:themeColor="text1"/>
                <w:sz w:val="18"/>
                <w:szCs w:val="18"/>
              </w:rPr>
              <w:t>visit</w:t>
            </w:r>
            <w:proofErr w:type="gramEnd"/>
            <w:r w:rsidRPr="00D600C4">
              <w:rPr>
                <w:color w:val="000000" w:themeColor="text1"/>
                <w:sz w:val="18"/>
                <w:szCs w:val="18"/>
              </w:rPr>
              <w:t xml:space="preserve"> afterwards; the 90 days ended on 18 Aug 2026 → HIGH_NO_REVIEW.</w:t>
            </w:r>
          </w:p>
          <w:p w14:paraId="4FFC9ED3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P03 Ahmed Khan: latest result on 1 Dec 2025 → OVERDUE_TEST.</w:t>
            </w:r>
          </w:p>
        </w:tc>
      </w:tr>
      <w:tr w:rsidR="00D600C4" w:rsidRPr="00D600C4" w14:paraId="29910B84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1DCD8C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Should NOT be flagged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6351BF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P13 Chloe White: 60 mmol/mol on 10 Apr 2026, but a medication review on 2 May 2026 (22 days later) → not listed.</w:t>
            </w:r>
          </w:p>
          <w:p w14:paraId="3443D6B7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P09 Grace Taylor: latest result 48 mmol/mol on 28 Jun 2026 → not listed.</w:t>
            </w:r>
          </w:p>
        </w:tc>
      </w:tr>
      <w:tr w:rsidR="00D600C4" w:rsidRPr="00D600C4" w14:paraId="159674AC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73830C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Output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7730C3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proofErr w:type="gramStart"/>
            <w:r w:rsidRPr="00D600C4">
              <w:rPr>
                <w:rFonts w:ascii="Consolas" w:eastAsia="Consolas" w:hAnsi="Consolas" w:cs="Consolas"/>
                <w:color w:val="000000" w:themeColor="text1"/>
                <w:sz w:val="18"/>
                <w:szCs w:val="18"/>
              </w:rPr>
              <w:t>reporting.vw</w:t>
            </w:r>
            <w:proofErr w:type="gramEnd"/>
            <w:r w:rsidRPr="00D600C4">
              <w:rPr>
                <w:rFonts w:ascii="Consolas" w:eastAsia="Consolas" w:hAnsi="Consolas" w:cs="Consolas"/>
                <w:color w:val="000000" w:themeColor="text1"/>
                <w:sz w:val="18"/>
                <w:szCs w:val="18"/>
              </w:rPr>
              <w:t>_uc1_care_gaps</w:t>
            </w:r>
            <w:r w:rsidRPr="00D600C4">
              <w:rPr>
                <w:color w:val="000000" w:themeColor="text1"/>
                <w:sz w:val="18"/>
                <w:szCs w:val="18"/>
              </w:rPr>
              <w:t xml:space="preserve"> – with the test data: 8 rows (HIGH_NO_REVIEW 2: P01, P12; HIGH_REVIEW_PENDING 3: P02, P14, P17; NO_TEST_ON_RECORD 1: P06; OVERDUE_TEST 2: P03, P10).</w:t>
            </w:r>
          </w:p>
        </w:tc>
      </w:tr>
    </w:tbl>
    <w:p w14:paraId="48069711" w14:textId="77777777" w:rsidR="0061774F" w:rsidRPr="00D600C4" w:rsidRDefault="0061774F">
      <w:pPr>
        <w:spacing w:after="100"/>
        <w:rPr>
          <w:color w:val="000000" w:themeColor="text1"/>
        </w:rPr>
      </w:pPr>
    </w:p>
    <w:p w14:paraId="3FDE43F0" w14:textId="77777777" w:rsidR="0061774F" w:rsidRPr="00D600C4" w:rsidRDefault="00000000">
      <w:pPr>
        <w:pStyle w:val="1"/>
        <w:rPr>
          <w:color w:val="000000" w:themeColor="text1"/>
        </w:rPr>
      </w:pPr>
      <w:r w:rsidRPr="00D600C4">
        <w:rPr>
          <w:color w:val="000000" w:themeColor="text1"/>
        </w:rPr>
        <w:t>4. UC2 – Medication adherence, PDC (SQL: Yutong)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D600C4" w:rsidRPr="00D600C4" w14:paraId="7F3BD8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DCE6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E12315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b/>
                <w:bCs/>
                <w:color w:val="000000" w:themeColor="text1"/>
                <w:sz w:val="18"/>
                <w:szCs w:val="18"/>
              </w:rPr>
              <w:t>Item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DCE6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0BAEBF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b/>
                <w:bCs/>
                <w:color w:val="000000" w:themeColor="text1"/>
                <w:sz w:val="18"/>
                <w:szCs w:val="18"/>
              </w:rPr>
              <w:t>Rule</w:t>
            </w:r>
          </w:p>
        </w:tc>
      </w:tr>
      <w:tr w:rsidR="00D600C4" w:rsidRPr="00D600C4" w14:paraId="22E1316C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F0CE6E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Question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2C2700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Which patients do not collect their diabetes medicine regularly?</w:t>
            </w:r>
          </w:p>
        </w:tc>
      </w:tr>
      <w:tr w:rsidR="00D600C4" w:rsidRPr="00D600C4" w14:paraId="17EE28B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31D0D4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Rule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2531A0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1) Window: 5 Mar 2026 – 31 Aug 2026 (the 180 days before the observation date).</w:t>
            </w:r>
          </w:p>
          <w:p w14:paraId="0BEDB473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2) Calculate per patient and drug class (biguanide, sulfonylurea, DPP-4 inhibitor).</w:t>
            </w:r>
          </w:p>
          <w:p w14:paraId="393053DA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3) Eligible: at least 2 fills of that class dispensed between 5 Dec 2025 and 31 Aug 2026.</w:t>
            </w:r>
          </w:p>
          <w:p w14:paraId="0E0DB541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 xml:space="preserve">4) A fill covers the days from </w:t>
            </w: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dispensed_date</w:t>
            </w:r>
            <w:proofErr w:type="spellEnd"/>
            <w:r w:rsidRPr="00D600C4">
              <w:rPr>
                <w:color w:val="000000" w:themeColor="text1"/>
                <w:sz w:val="18"/>
                <w:szCs w:val="18"/>
              </w:rPr>
              <w:t xml:space="preserve"> to </w:t>
            </w: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dispensed_date</w:t>
            </w:r>
            <w:proofErr w:type="spellEnd"/>
            <w:r w:rsidRPr="00D600C4">
              <w:rPr>
                <w:color w:val="000000" w:themeColor="text1"/>
                <w:sz w:val="18"/>
                <w:szCs w:val="18"/>
              </w:rPr>
              <w:t xml:space="preserve"> + </w:t>
            </w: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days_supply</w:t>
            </w:r>
            <w:proofErr w:type="spellEnd"/>
            <w:r w:rsidRPr="00D600C4">
              <w:rPr>
                <w:color w:val="000000" w:themeColor="text1"/>
                <w:sz w:val="18"/>
                <w:szCs w:val="18"/>
              </w:rPr>
              <w:t xml:space="preserve"> − 1.</w:t>
            </w:r>
          </w:p>
          <w:p w14:paraId="3EEF3709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5) PDC = number of different covered days inside the window ÷ 180, rounded to 3 decimals. Overlapping days count once, so PDC can never be above 1.</w:t>
            </w:r>
          </w:p>
          <w:p w14:paraId="7A1F257D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6) PDC &lt; 0.8 → NON_ADHERENT, otherwise ADHERENT.</w:t>
            </w:r>
          </w:p>
        </w:tc>
      </w:tr>
      <w:tr w:rsidR="00D600C4" w:rsidRPr="00D600C4" w14:paraId="44DBE20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9CDB82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Missing or unclear data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9DDAB3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Fewer than 2 fills → not assessed (not listed). Pharmacy customers who are not linked to a golden patient are excluded. Simplification: the PQA standard moves an early refill to start after the previous supply ends; we count overlapping days once instead – a trade-off to mention in the report.</w:t>
            </w:r>
          </w:p>
        </w:tc>
      </w:tr>
      <w:tr w:rsidR="00D600C4" w:rsidRPr="00D600C4" w14:paraId="7FA3E96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7A76E4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Should be flagged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2FCE95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P02 Mei Chen: only the fills on 20 Mar and 15 Jun 2026 (30 days each) fall in the window → 60 covered days → 60 ÷ 180 = 0.333 → NON_ADHERENT. (The 10 Jan fill covers 10 Jan – 8 Feb, before the window.)</w:t>
            </w:r>
          </w:p>
          <w:p w14:paraId="18152E74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P10 William Jones: 90 ÷ 180 = 0.500 → NON_ADHERENT.</w:t>
            </w:r>
          </w:p>
        </w:tc>
      </w:tr>
      <w:tr w:rsidR="00D600C4" w:rsidRPr="00D600C4" w14:paraId="1CC8F18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3F4A99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Should NOT be flagged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1DB269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P09 Grace Taylor: monthly fills cover the whole window → 180 ÷ 180 = 1.000 → ADHERENT.</w:t>
            </w:r>
          </w:p>
          <w:p w14:paraId="27525664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P05 James Wilson: fills from two pharmacies overlap; counting overlaps once gives 175 ÷ 180 = 0.972, not more than 1.</w:t>
            </w:r>
          </w:p>
        </w:tc>
      </w:tr>
      <w:tr w:rsidR="00D600C4" w:rsidRPr="00D600C4" w14:paraId="2D947AC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E7830A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Output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9B0826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proofErr w:type="gramStart"/>
            <w:r w:rsidRPr="00D600C4">
              <w:rPr>
                <w:rFonts w:ascii="Consolas" w:eastAsia="Consolas" w:hAnsi="Consolas" w:cs="Consolas"/>
                <w:color w:val="000000" w:themeColor="text1"/>
                <w:sz w:val="18"/>
                <w:szCs w:val="18"/>
              </w:rPr>
              <w:t>reporting.vw</w:t>
            </w:r>
            <w:proofErr w:type="gramEnd"/>
            <w:r w:rsidRPr="00D600C4">
              <w:rPr>
                <w:rFonts w:ascii="Consolas" w:eastAsia="Consolas" w:hAnsi="Consolas" w:cs="Consolas"/>
                <w:color w:val="000000" w:themeColor="text1"/>
                <w:sz w:val="18"/>
                <w:szCs w:val="18"/>
              </w:rPr>
              <w:t>_uc2_pdc</w:t>
            </w:r>
            <w:r w:rsidRPr="00D600C4">
              <w:rPr>
                <w:color w:val="000000" w:themeColor="text1"/>
                <w:sz w:val="18"/>
                <w:szCs w:val="18"/>
              </w:rPr>
              <w:t xml:space="preserve"> – with the test data: 11 rows (NON_ADHERENT 2: P02, P10; ADHERENT 9).</w:t>
            </w:r>
          </w:p>
        </w:tc>
      </w:tr>
    </w:tbl>
    <w:p w14:paraId="34366654" w14:textId="77777777" w:rsidR="0061774F" w:rsidRPr="00D600C4" w:rsidRDefault="0061774F">
      <w:pPr>
        <w:spacing w:after="100"/>
        <w:rPr>
          <w:color w:val="000000" w:themeColor="text1"/>
        </w:rPr>
      </w:pPr>
    </w:p>
    <w:p w14:paraId="2600760A" w14:textId="77777777" w:rsidR="0061774F" w:rsidRPr="00D600C4" w:rsidRDefault="00000000">
      <w:pPr>
        <w:pStyle w:val="1"/>
        <w:rPr>
          <w:color w:val="000000" w:themeColor="text1"/>
        </w:rPr>
      </w:pPr>
      <w:r w:rsidRPr="00D600C4">
        <w:rPr>
          <w:color w:val="000000" w:themeColor="text1"/>
        </w:rPr>
        <w:t>5. UC3 – HbA1c trend (SQL: Shuo)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D600C4" w:rsidRPr="00D600C4" w14:paraId="71D104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DCE6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BD2915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b/>
                <w:bCs/>
                <w:color w:val="000000" w:themeColor="text1"/>
                <w:sz w:val="18"/>
                <w:szCs w:val="18"/>
              </w:rPr>
              <w:t>Item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DCE6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DE0776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b/>
                <w:bCs/>
                <w:color w:val="000000" w:themeColor="text1"/>
                <w:sz w:val="18"/>
                <w:szCs w:val="18"/>
              </w:rPr>
              <w:t>Rule</w:t>
            </w:r>
          </w:p>
        </w:tc>
      </w:tr>
      <w:tr w:rsidR="00D600C4" w:rsidRPr="00D600C4" w14:paraId="13D0FE1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B4B207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Question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1EC0A4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How is each patient's HbA1c changing, and whose HbA1c is rising even though they collect their medicine regularly?</w:t>
            </w:r>
          </w:p>
        </w:tc>
      </w:tr>
      <w:tr w:rsidR="00D600C4" w:rsidRPr="00D600C4" w14:paraId="7136F5D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AF8547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Rule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98D57E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1) Use VALID results collected after 1 Sep 2025 and on or before 1 Sep 2026 (12 months).</w:t>
            </w:r>
          </w:p>
          <w:p w14:paraId="7542F2BA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2) One row per golden patient with at least 1 such result.</w:t>
            </w:r>
          </w:p>
          <w:p w14:paraId="2466AD01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3) Fewer than 2 results → INSUFFICIENT_HISTORY (no change calculated).</w:t>
            </w:r>
          </w:p>
          <w:p w14:paraId="1207B457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4) Change = last result − first result (by collection date), in mmol/mol.</w:t>
            </w:r>
          </w:p>
          <w:p w14:paraId="4C9E3131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 xml:space="preserve">5) Change ≥ +5 → RISING; ≤ −5 → FALLING; </w:t>
            </w:r>
            <w:proofErr w:type="gramStart"/>
            <w:r w:rsidRPr="00D600C4">
              <w:rPr>
                <w:color w:val="000000" w:themeColor="text1"/>
                <w:sz w:val="18"/>
                <w:szCs w:val="18"/>
              </w:rPr>
              <w:t>otherwise</w:t>
            </w:r>
            <w:proofErr w:type="gramEnd"/>
            <w:r w:rsidRPr="00D600C4">
              <w:rPr>
                <w:color w:val="000000" w:themeColor="text1"/>
                <w:sz w:val="18"/>
                <w:szCs w:val="18"/>
              </w:rPr>
              <w:t xml:space="preserve"> STABLE.</w:t>
            </w:r>
          </w:p>
          <w:p w14:paraId="6BD1F87E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 xml:space="preserve">6) </w:t>
            </w: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rising_despite_adherence</w:t>
            </w:r>
            <w:proofErr w:type="spellEnd"/>
            <w:r w:rsidRPr="00D600C4">
              <w:rPr>
                <w:color w:val="000000" w:themeColor="text1"/>
                <w:sz w:val="18"/>
                <w:szCs w:val="18"/>
              </w:rPr>
              <w:t xml:space="preserve"> = true when RISING and the patient's best PDC (any drug class, from UC2) is ≥ 0.8.</w:t>
            </w:r>
          </w:p>
        </w:tc>
      </w:tr>
      <w:tr w:rsidR="00D600C4" w:rsidRPr="00D600C4" w14:paraId="0B371234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82A49A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lastRenderedPageBreak/>
              <w:t>Missing or unclear data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F1A441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 xml:space="preserve">Results in % are converted before comparing (P17 Zoe Clark: 7.0% → 53.0, 8.1% → 65.0). A result received twice counts once (P15 Ava Robinson has 2 results, not 3). A patient without any dispensing record has no PDC, so </w:t>
            </w: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rising_despite_adherence</w:t>
            </w:r>
            <w:proofErr w:type="spellEnd"/>
            <w:r w:rsidRPr="00D600C4">
              <w:rPr>
                <w:color w:val="000000" w:themeColor="text1"/>
                <w:sz w:val="18"/>
                <w:szCs w:val="18"/>
              </w:rPr>
              <w:t xml:space="preserve"> stays false.</w:t>
            </w:r>
          </w:p>
        </w:tc>
      </w:tr>
      <w:tr w:rsidR="00D600C4" w:rsidRPr="00D600C4" w14:paraId="7A460C4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C21E65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Should be flagged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1500CA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 xml:space="preserve">P01 Thomas Smith: 50 (10 Oct 2025) → 56 → 62 mmol/mol (20 May 2026): change +12 → RISING; best PDC 0.989 → </w:t>
            </w: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rising_despite_adherence</w:t>
            </w:r>
            <w:proofErr w:type="spellEnd"/>
            <w:r w:rsidRPr="00D600C4">
              <w:rPr>
                <w:color w:val="000000" w:themeColor="text1"/>
                <w:sz w:val="18"/>
                <w:szCs w:val="18"/>
              </w:rPr>
              <w:t xml:space="preserve"> = true.</w:t>
            </w:r>
          </w:p>
          <w:p w14:paraId="14CC3CD2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 xml:space="preserve">P17 Zoe Clark: 53.0 → 65.0, PDC 1.000 → </w:t>
            </w:r>
            <w:proofErr w:type="spellStart"/>
            <w:r w:rsidRPr="00D600C4">
              <w:rPr>
                <w:color w:val="000000" w:themeColor="text1"/>
                <w:sz w:val="18"/>
                <w:szCs w:val="18"/>
              </w:rPr>
              <w:t>rising_despite_adherence</w:t>
            </w:r>
            <w:proofErr w:type="spellEnd"/>
            <w:r w:rsidRPr="00D600C4">
              <w:rPr>
                <w:color w:val="000000" w:themeColor="text1"/>
                <w:sz w:val="18"/>
                <w:szCs w:val="18"/>
              </w:rPr>
              <w:t xml:space="preserve"> = true.</w:t>
            </w:r>
          </w:p>
        </w:tc>
      </w:tr>
      <w:tr w:rsidR="00D600C4" w:rsidRPr="00D600C4" w14:paraId="6CCCD4B0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528870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Should NOT be flagged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491FCF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P09 Grace Taylor: 49 → 48 mmol/mol, change −1 → STABLE.</w:t>
            </w:r>
          </w:p>
          <w:p w14:paraId="51560A0F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P12 Lucas Martin: only one result → INSUFFICIENT_HISTORY.</w:t>
            </w:r>
          </w:p>
        </w:tc>
      </w:tr>
      <w:tr w:rsidR="00D600C4" w:rsidRPr="00D600C4" w14:paraId="1C8DC8A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084BB8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Output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4D74FD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proofErr w:type="gramStart"/>
            <w:r w:rsidRPr="00D600C4">
              <w:rPr>
                <w:rFonts w:ascii="Consolas" w:eastAsia="Consolas" w:hAnsi="Consolas" w:cs="Consolas"/>
                <w:color w:val="000000" w:themeColor="text1"/>
                <w:sz w:val="18"/>
                <w:szCs w:val="18"/>
              </w:rPr>
              <w:t>reporting.vw</w:t>
            </w:r>
            <w:proofErr w:type="gramEnd"/>
            <w:r w:rsidRPr="00D600C4">
              <w:rPr>
                <w:rFonts w:ascii="Consolas" w:eastAsia="Consolas" w:hAnsi="Consolas" w:cs="Consolas"/>
                <w:color w:val="000000" w:themeColor="text1"/>
                <w:sz w:val="18"/>
                <w:szCs w:val="18"/>
              </w:rPr>
              <w:t>_uc3_hba1c_trend</w:t>
            </w:r>
            <w:r w:rsidRPr="00D600C4">
              <w:rPr>
                <w:color w:val="000000" w:themeColor="text1"/>
                <w:sz w:val="18"/>
                <w:szCs w:val="18"/>
              </w:rPr>
              <w:t xml:space="preserve"> – with the test data: 16 rows (RISING 4: P01, P13, P14, P17, of which P01 and P17 rising despite adherence; STABLE 7; INSUFFICIENT_HISTORY 5; FALLING 0).</w:t>
            </w:r>
          </w:p>
        </w:tc>
      </w:tr>
    </w:tbl>
    <w:p w14:paraId="06579819" w14:textId="77777777" w:rsidR="0061774F" w:rsidRPr="00D600C4" w:rsidRDefault="0061774F">
      <w:pPr>
        <w:spacing w:after="100"/>
        <w:rPr>
          <w:color w:val="000000" w:themeColor="text1"/>
        </w:rPr>
      </w:pPr>
    </w:p>
    <w:p w14:paraId="697299FF" w14:textId="77777777" w:rsidR="0061774F" w:rsidRPr="00D600C4" w:rsidRDefault="00000000">
      <w:pPr>
        <w:pStyle w:val="1"/>
        <w:rPr>
          <w:color w:val="000000" w:themeColor="text1"/>
        </w:rPr>
      </w:pPr>
      <w:r w:rsidRPr="00D600C4">
        <w:rPr>
          <w:color w:val="000000" w:themeColor="text1"/>
        </w:rPr>
        <w:t>6. UC4 – Care-path breaks (SQL: Yutong)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D600C4" w:rsidRPr="00D600C4" w14:paraId="69A60B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DCE6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8ABE33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b/>
                <w:bCs/>
                <w:color w:val="000000" w:themeColor="text1"/>
                <w:sz w:val="18"/>
                <w:szCs w:val="18"/>
              </w:rPr>
              <w:t>Item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DCE6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AFA051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b/>
                <w:bCs/>
                <w:color w:val="000000" w:themeColor="text1"/>
                <w:sz w:val="18"/>
                <w:szCs w:val="18"/>
              </w:rPr>
              <w:t>Rule</w:t>
            </w:r>
          </w:p>
        </w:tc>
      </w:tr>
      <w:tr w:rsidR="00D600C4" w:rsidRPr="00D600C4" w14:paraId="71FAFE1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1729E6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Question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AF1D11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Where does the care path break: lab results that never reached a clinic, and patients supplied with the same medicine by two pharmacies at the same time?</w:t>
            </w:r>
          </w:p>
        </w:tc>
      </w:tr>
      <w:tr w:rsidR="00D600C4" w:rsidRPr="00D600C4" w14:paraId="096B9007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F20421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Rule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954F1E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 xml:space="preserve">(a) RESULT_NOT_RETURNED: a VALID result of a golden patient with no delivery record in </w:t>
            </w:r>
            <w:proofErr w:type="spellStart"/>
            <w:r w:rsidRPr="00D600C4">
              <w:rPr>
                <w:rFonts w:ascii="Consolas" w:eastAsia="Consolas" w:hAnsi="Consolas" w:cs="Consolas"/>
                <w:color w:val="000000" w:themeColor="text1"/>
                <w:sz w:val="18"/>
                <w:szCs w:val="18"/>
              </w:rPr>
              <w:t>src_</w:t>
            </w:r>
            <w:proofErr w:type="gramStart"/>
            <w:r w:rsidRPr="00D600C4">
              <w:rPr>
                <w:rFonts w:ascii="Consolas" w:eastAsia="Consolas" w:hAnsi="Consolas" w:cs="Consolas"/>
                <w:color w:val="000000" w:themeColor="text1"/>
                <w:sz w:val="18"/>
                <w:szCs w:val="18"/>
              </w:rPr>
              <w:t>lab.result</w:t>
            </w:r>
            <w:proofErr w:type="gramEnd"/>
            <w:r w:rsidRPr="00D600C4">
              <w:rPr>
                <w:rFonts w:ascii="Consolas" w:eastAsia="Consolas" w:hAnsi="Consolas" w:cs="Consolas"/>
                <w:color w:val="000000" w:themeColor="text1"/>
                <w:sz w:val="18"/>
                <w:szCs w:val="18"/>
              </w:rPr>
              <w:t>_delivery</w:t>
            </w:r>
            <w:proofErr w:type="spellEnd"/>
            <w:r w:rsidRPr="00D600C4">
              <w:rPr>
                <w:color w:val="000000" w:themeColor="text1"/>
                <w:sz w:val="18"/>
                <w:szCs w:val="18"/>
              </w:rPr>
              <w:t>, reported at least 7 days before the observation date (on or before 25 Aug 2026).</w:t>
            </w:r>
          </w:p>
          <w:p w14:paraId="6208DF4E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(b) MULTI_PHARMACY_OVERLAP: the same patient and drug class supplied by two different pharmacies whose supply periods overlap. One row per patient, drug class and pair of pharmacies – not one row per pharmacy.</w:t>
            </w:r>
          </w:p>
        </w:tc>
      </w:tr>
      <w:tr w:rsidR="00D600C4" w:rsidRPr="00D600C4" w14:paraId="00FD0D4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81041A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Missing or unclear data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87560D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A result reported less than 7 days before the observation date is not counted yet, because the lab may still deliver it. The re-sent duplicate message (MSG-0032) is excluded as DUPLICATE, so its missing delivery does not count.</w:t>
            </w:r>
          </w:p>
        </w:tc>
      </w:tr>
      <w:tr w:rsidR="00D600C4" w:rsidRPr="00D600C4" w14:paraId="488163B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F28355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Should be flagged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A50C01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P04 Olivia Brown: result OBS-0010 collected on 2 Jun 2026 has no delivery record → RESULT_NOT_RETURNED.</w:t>
            </w:r>
          </w:p>
          <w:p w14:paraId="76CA4336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P05 James Wilson: metformin every month from pharmacy 1, plus pharmacy 2 on 20 Apr and 20 Jun 2026 → MULTI_PHARMACY_OVERLAP (1 row).</w:t>
            </w:r>
          </w:p>
        </w:tc>
      </w:tr>
      <w:tr w:rsidR="00D600C4" w:rsidRPr="00D600C4" w14:paraId="2D76BAA6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DA6321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Should NOT be flagged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19BD0F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 xml:space="preserve">P09 Grace Taylor: all four results were </w:t>
            </w:r>
            <w:proofErr w:type="gramStart"/>
            <w:r w:rsidRPr="00D600C4">
              <w:rPr>
                <w:color w:val="000000" w:themeColor="text1"/>
                <w:sz w:val="18"/>
                <w:szCs w:val="18"/>
              </w:rPr>
              <w:t>delivered</w:t>
            </w:r>
            <w:proofErr w:type="gramEnd"/>
            <w:r w:rsidRPr="00D600C4">
              <w:rPr>
                <w:color w:val="000000" w:themeColor="text1"/>
                <w:sz w:val="18"/>
                <w:szCs w:val="18"/>
              </w:rPr>
              <w:t xml:space="preserve"> and she uses one pharmacy → not listed.</w:t>
            </w:r>
          </w:p>
        </w:tc>
      </w:tr>
      <w:tr w:rsidR="00D600C4" w:rsidRPr="00D600C4" w14:paraId="4BDEE25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E32FBF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Output</w:t>
            </w:r>
          </w:p>
        </w:tc>
        <w:tc>
          <w:tcPr>
            <w:tcW w:w="7518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AB8A21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proofErr w:type="gramStart"/>
            <w:r w:rsidRPr="00D600C4">
              <w:rPr>
                <w:rFonts w:ascii="Consolas" w:eastAsia="Consolas" w:hAnsi="Consolas" w:cs="Consolas"/>
                <w:color w:val="000000" w:themeColor="text1"/>
                <w:sz w:val="18"/>
                <w:szCs w:val="18"/>
              </w:rPr>
              <w:t>reporting.vw</w:t>
            </w:r>
            <w:proofErr w:type="gramEnd"/>
            <w:r w:rsidRPr="00D600C4">
              <w:rPr>
                <w:rFonts w:ascii="Consolas" w:eastAsia="Consolas" w:hAnsi="Consolas" w:cs="Consolas"/>
                <w:color w:val="000000" w:themeColor="text1"/>
                <w:sz w:val="18"/>
                <w:szCs w:val="18"/>
              </w:rPr>
              <w:t>_uc4_care_path_breaks</w:t>
            </w:r>
            <w:r w:rsidRPr="00D600C4">
              <w:rPr>
                <w:color w:val="000000" w:themeColor="text1"/>
                <w:sz w:val="18"/>
                <w:szCs w:val="18"/>
              </w:rPr>
              <w:t xml:space="preserve"> – with the test data: 2 rows (P04, P05).</w:t>
            </w:r>
          </w:p>
        </w:tc>
      </w:tr>
    </w:tbl>
    <w:p w14:paraId="409EE37A" w14:textId="77777777" w:rsidR="0061774F" w:rsidRPr="00D600C4" w:rsidRDefault="0061774F">
      <w:pPr>
        <w:spacing w:after="100"/>
        <w:rPr>
          <w:color w:val="000000" w:themeColor="text1"/>
        </w:rPr>
      </w:pPr>
    </w:p>
    <w:p w14:paraId="2A89830F" w14:textId="77777777" w:rsidR="0061774F" w:rsidRPr="00D600C4" w:rsidRDefault="00000000">
      <w:pPr>
        <w:pStyle w:val="1"/>
        <w:rPr>
          <w:color w:val="000000" w:themeColor="text1"/>
        </w:rPr>
      </w:pPr>
      <w:r w:rsidRPr="00D600C4">
        <w:rPr>
          <w:color w:val="000000" w:themeColor="text1"/>
        </w:rPr>
        <w:t>7. Review and sign-off</w:t>
      </w:r>
    </w:p>
    <w:p w14:paraId="787591B7" w14:textId="77777777" w:rsidR="0061774F" w:rsidRPr="00D600C4" w:rsidRDefault="00000000">
      <w:pPr>
        <w:spacing w:after="100"/>
        <w:rPr>
          <w:color w:val="000000" w:themeColor="text1"/>
        </w:rPr>
      </w:pPr>
      <w:r w:rsidRPr="00D600C4">
        <w:rPr>
          <w:color w:val="000000" w:themeColor="text1"/>
        </w:rPr>
        <w:t>Reviewers: please reply in Teams with “OK” or your comments. Xiaolong records the result here and in the next version.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855"/>
        <w:gridCol w:w="2506"/>
        <w:gridCol w:w="1157"/>
      </w:tblGrid>
      <w:tr w:rsidR="00D600C4" w:rsidRPr="00D600C4" w14:paraId="0917DF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DCE6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640D52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b/>
                <w:bCs/>
                <w:color w:val="000000" w:themeColor="text1"/>
                <w:sz w:val="18"/>
                <w:szCs w:val="18"/>
              </w:rPr>
              <w:t>Reviewer</w:t>
            </w:r>
          </w:p>
        </w:tc>
        <w:tc>
          <w:tcPr>
            <w:tcW w:w="3855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DCE6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5FD597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b/>
                <w:bCs/>
                <w:color w:val="000000" w:themeColor="text1"/>
                <w:sz w:val="18"/>
                <w:szCs w:val="18"/>
              </w:rPr>
              <w:t>Checks</w:t>
            </w:r>
          </w:p>
        </w:tc>
        <w:tc>
          <w:tcPr>
            <w:tcW w:w="2506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DCE6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91AA52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b/>
                <w:bCs/>
                <w:color w:val="000000" w:themeColor="text1"/>
                <w:sz w:val="18"/>
                <w:szCs w:val="18"/>
              </w:rPr>
              <w:t>Result (OK / comments)</w:t>
            </w:r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shd w:val="clear" w:color="auto" w:fill="DCE6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3FC28F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b/>
                <w:bCs/>
                <w:color w:val="000000" w:themeColor="text1"/>
                <w:sz w:val="18"/>
                <w:szCs w:val="18"/>
              </w:rPr>
              <w:t>Date</w:t>
            </w:r>
          </w:p>
        </w:tc>
      </w:tr>
      <w:tr w:rsidR="00D600C4" w:rsidRPr="00D600C4" w14:paraId="135BDC8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ED2073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Shuo Ding (E)</w:t>
            </w:r>
          </w:p>
        </w:tc>
        <w:tc>
          <w:tcPr>
            <w:tcW w:w="3855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02E0D9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UC1 and UC3 rules and output columns</w:t>
            </w:r>
          </w:p>
        </w:tc>
        <w:tc>
          <w:tcPr>
            <w:tcW w:w="2506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78D572" w14:textId="77777777" w:rsidR="0061774F" w:rsidRPr="00D600C4" w:rsidRDefault="0061774F">
            <w:pPr>
              <w:spacing w:after="20"/>
              <w:rPr>
                <w:color w:val="000000" w:themeColor="text1"/>
              </w:rPr>
            </w:pPr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A176EA" w14:textId="77777777" w:rsidR="0061774F" w:rsidRPr="00D600C4" w:rsidRDefault="0061774F">
            <w:pPr>
              <w:spacing w:after="20"/>
              <w:rPr>
                <w:color w:val="000000" w:themeColor="text1"/>
              </w:rPr>
            </w:pPr>
          </w:p>
        </w:tc>
      </w:tr>
      <w:tr w:rsidR="00D600C4" w:rsidRPr="00D600C4" w14:paraId="2E60FE4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28FC7E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Yutong Geng (D)</w:t>
            </w:r>
          </w:p>
        </w:tc>
        <w:tc>
          <w:tcPr>
            <w:tcW w:w="3855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6B3D80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UC2 and UC4 rules; general rules on valid results and linked patients</w:t>
            </w:r>
          </w:p>
        </w:tc>
        <w:tc>
          <w:tcPr>
            <w:tcW w:w="2506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23152B" w14:textId="77777777" w:rsidR="0061774F" w:rsidRPr="00D600C4" w:rsidRDefault="0061774F">
            <w:pPr>
              <w:spacing w:after="20"/>
              <w:rPr>
                <w:color w:val="000000" w:themeColor="text1"/>
              </w:rPr>
            </w:pPr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EFD8E8" w14:textId="77777777" w:rsidR="0061774F" w:rsidRPr="00D600C4" w:rsidRDefault="0061774F">
            <w:pPr>
              <w:spacing w:after="20"/>
              <w:rPr>
                <w:color w:val="000000" w:themeColor="text1"/>
              </w:rPr>
            </w:pPr>
          </w:p>
        </w:tc>
      </w:tr>
      <w:tr w:rsidR="00D600C4" w:rsidRPr="00D600C4" w14:paraId="1287177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085E0F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Minha Kim (F)</w:t>
            </w:r>
          </w:p>
        </w:tc>
        <w:tc>
          <w:tcPr>
            <w:tcW w:w="3855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0D44FC" w14:textId="77777777" w:rsidR="0061774F" w:rsidRPr="00D600C4" w:rsidRDefault="00000000">
            <w:pPr>
              <w:spacing w:after="20"/>
              <w:rPr>
                <w:color w:val="000000" w:themeColor="text1"/>
              </w:rPr>
            </w:pPr>
            <w:r w:rsidRPr="00D600C4">
              <w:rPr>
                <w:color w:val="000000" w:themeColor="text1"/>
                <w:sz w:val="18"/>
                <w:szCs w:val="18"/>
              </w:rPr>
              <w:t>all examples and expected row counts (for the test plan)</w:t>
            </w:r>
          </w:p>
        </w:tc>
        <w:tc>
          <w:tcPr>
            <w:tcW w:w="2506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1C41BA" w14:textId="77777777" w:rsidR="0061774F" w:rsidRPr="00D600C4" w:rsidRDefault="0061774F">
            <w:pPr>
              <w:spacing w:after="20"/>
              <w:rPr>
                <w:color w:val="000000" w:themeColor="text1"/>
              </w:rPr>
            </w:pPr>
          </w:p>
        </w:tc>
        <w:tc>
          <w:tcPr>
            <w:tcW w:w="1157" w:type="dxa"/>
            <w:tcBorders>
              <w:top w:val="single" w:sz="4" w:space="0" w:color="BFC5CE"/>
              <w:left w:val="single" w:sz="4" w:space="0" w:color="BFC5CE"/>
              <w:bottom w:val="single" w:sz="4" w:space="0" w:color="BFC5CE"/>
              <w:right w:val="single" w:sz="4" w:space="0" w:color="BFC5C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124FAB" w14:textId="77777777" w:rsidR="0061774F" w:rsidRPr="00D600C4" w:rsidRDefault="0061774F">
            <w:pPr>
              <w:spacing w:after="20"/>
              <w:rPr>
                <w:color w:val="000000" w:themeColor="text1"/>
              </w:rPr>
            </w:pPr>
          </w:p>
        </w:tc>
      </w:tr>
    </w:tbl>
    <w:p w14:paraId="6D314AD9" w14:textId="77777777" w:rsidR="0061774F" w:rsidRPr="00D600C4" w:rsidRDefault="0061774F">
      <w:pPr>
        <w:spacing w:after="100"/>
        <w:rPr>
          <w:rFonts w:hint="eastAsia"/>
          <w:color w:val="000000" w:themeColor="text1"/>
        </w:rPr>
      </w:pPr>
    </w:p>
    <w:sectPr w:rsidR="0061774F" w:rsidRPr="00D600C4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3ED4C" w14:textId="77777777" w:rsidR="007637CB" w:rsidRDefault="007637CB">
      <w:r>
        <w:separator/>
      </w:r>
    </w:p>
  </w:endnote>
  <w:endnote w:type="continuationSeparator" w:id="0">
    <w:p w14:paraId="0502A26B" w14:textId="77777777" w:rsidR="007637CB" w:rsidRDefault="007637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BA801" w14:textId="77777777" w:rsidR="0061774F" w:rsidRDefault="00000000">
    <w:pPr>
      <w:jc w:val="right"/>
    </w:pPr>
    <w:r>
      <w:rPr>
        <w:color w:val="888888"/>
        <w:sz w:val="16"/>
        <w:szCs w:val="16"/>
      </w:rPr>
      <w:t xml:space="preserve">Business rules v1 – </w:t>
    </w:r>
    <w:proofErr w:type="spellStart"/>
    <w:r>
      <w:rPr>
        <w:color w:val="888888"/>
        <w:sz w:val="16"/>
        <w:szCs w:val="16"/>
      </w:rPr>
      <w:t>GlucoLink</w:t>
    </w:r>
    <w:proofErr w:type="spellEnd"/>
    <w:r>
      <w:rPr>
        <w:color w:val="888888"/>
        <w:sz w:val="16"/>
        <w:szCs w:val="16"/>
      </w:rPr>
      <w:t xml:space="preserve"> A</w:t>
    </w:r>
    <w:proofErr w:type="gramStart"/>
    <w:r>
      <w:rPr>
        <w:color w:val="888888"/>
        <w:sz w:val="16"/>
        <w:szCs w:val="16"/>
      </w:rPr>
      <w:t>2  ·</w:t>
    </w:r>
    <w:proofErr w:type="gramEnd"/>
    <w:r>
      <w:rPr>
        <w:color w:val="888888"/>
        <w:sz w:val="16"/>
        <w:szCs w:val="16"/>
      </w:rPr>
      <w:t xml:space="preserve"> 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1E40C4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D363A" w14:textId="77777777" w:rsidR="007637CB" w:rsidRDefault="007637CB">
      <w:r>
        <w:separator/>
      </w:r>
    </w:p>
  </w:footnote>
  <w:footnote w:type="continuationSeparator" w:id="0">
    <w:p w14:paraId="7900F057" w14:textId="77777777" w:rsidR="007637CB" w:rsidRDefault="007637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32E53"/>
    <w:multiLevelType w:val="hybridMultilevel"/>
    <w:tmpl w:val="A18AD98E"/>
    <w:lvl w:ilvl="0" w:tplc="B78C1884" w:tentative="1">
      <w:start w:val="1"/>
      <w:numFmt w:val="decimal"/>
      <w:lvlText w:val="%1."/>
      <w:lvlJc w:val="left"/>
      <w:pPr>
        <w:ind w:left="400" w:hanging="300"/>
      </w:pPr>
    </w:lvl>
    <w:lvl w:ilvl="1" w:tplc="F5149580">
      <w:numFmt w:val="decimal"/>
      <w:lvlText w:val=""/>
      <w:lvlJc w:val="left"/>
    </w:lvl>
    <w:lvl w:ilvl="2" w:tplc="E4FE8F28">
      <w:numFmt w:val="decimal"/>
      <w:lvlText w:val=""/>
      <w:lvlJc w:val="left"/>
    </w:lvl>
    <w:lvl w:ilvl="3" w:tplc="545A87A4">
      <w:numFmt w:val="decimal"/>
      <w:lvlText w:val=""/>
      <w:lvlJc w:val="left"/>
    </w:lvl>
    <w:lvl w:ilvl="4" w:tplc="1D548F76">
      <w:numFmt w:val="decimal"/>
      <w:lvlText w:val=""/>
      <w:lvlJc w:val="left"/>
    </w:lvl>
    <w:lvl w:ilvl="5" w:tplc="13E69DE2">
      <w:numFmt w:val="decimal"/>
      <w:lvlText w:val=""/>
      <w:lvlJc w:val="left"/>
    </w:lvl>
    <w:lvl w:ilvl="6" w:tplc="93BC3668">
      <w:numFmt w:val="decimal"/>
      <w:lvlText w:val=""/>
      <w:lvlJc w:val="left"/>
    </w:lvl>
    <w:lvl w:ilvl="7" w:tplc="857A0D22">
      <w:numFmt w:val="decimal"/>
      <w:lvlText w:val=""/>
      <w:lvlJc w:val="left"/>
    </w:lvl>
    <w:lvl w:ilvl="8" w:tplc="41B082E2">
      <w:numFmt w:val="decimal"/>
      <w:lvlText w:val=""/>
      <w:lvlJc w:val="left"/>
    </w:lvl>
  </w:abstractNum>
  <w:abstractNum w:abstractNumId="1" w15:restartNumberingAfterBreak="0">
    <w:nsid w:val="390E7BDE"/>
    <w:multiLevelType w:val="hybridMultilevel"/>
    <w:tmpl w:val="89120742"/>
    <w:lvl w:ilvl="0" w:tplc="B2DC310E" w:tentative="1">
      <w:start w:val="1"/>
      <w:numFmt w:val="decimal"/>
      <w:lvlText w:val="%1."/>
      <w:lvlJc w:val="left"/>
      <w:pPr>
        <w:ind w:left="400" w:hanging="300"/>
      </w:pPr>
    </w:lvl>
    <w:lvl w:ilvl="1" w:tplc="3572E10C">
      <w:numFmt w:val="decimal"/>
      <w:lvlText w:val=""/>
      <w:lvlJc w:val="left"/>
    </w:lvl>
    <w:lvl w:ilvl="2" w:tplc="415E1CBE">
      <w:numFmt w:val="decimal"/>
      <w:lvlText w:val=""/>
      <w:lvlJc w:val="left"/>
    </w:lvl>
    <w:lvl w:ilvl="3" w:tplc="FFE48A3A">
      <w:numFmt w:val="decimal"/>
      <w:lvlText w:val=""/>
      <w:lvlJc w:val="left"/>
    </w:lvl>
    <w:lvl w:ilvl="4" w:tplc="3D8EBFA2">
      <w:numFmt w:val="decimal"/>
      <w:lvlText w:val=""/>
      <w:lvlJc w:val="left"/>
    </w:lvl>
    <w:lvl w:ilvl="5" w:tplc="53427DC0">
      <w:numFmt w:val="decimal"/>
      <w:lvlText w:val=""/>
      <w:lvlJc w:val="left"/>
    </w:lvl>
    <w:lvl w:ilvl="6" w:tplc="C74893AC">
      <w:numFmt w:val="decimal"/>
      <w:lvlText w:val=""/>
      <w:lvlJc w:val="left"/>
    </w:lvl>
    <w:lvl w:ilvl="7" w:tplc="AA1202FE">
      <w:numFmt w:val="decimal"/>
      <w:lvlText w:val=""/>
      <w:lvlJc w:val="left"/>
    </w:lvl>
    <w:lvl w:ilvl="8" w:tplc="0F6261D8">
      <w:numFmt w:val="decimal"/>
      <w:lvlText w:val=""/>
      <w:lvlJc w:val="left"/>
    </w:lvl>
  </w:abstractNum>
  <w:abstractNum w:abstractNumId="2" w15:restartNumberingAfterBreak="0">
    <w:nsid w:val="3C136AD1"/>
    <w:multiLevelType w:val="hybridMultilevel"/>
    <w:tmpl w:val="561841A6"/>
    <w:lvl w:ilvl="0" w:tplc="CBDA1D8A" w:tentative="1">
      <w:start w:val="1"/>
      <w:numFmt w:val="decimal"/>
      <w:lvlText w:val="%1."/>
      <w:lvlJc w:val="left"/>
      <w:pPr>
        <w:ind w:left="400" w:hanging="300"/>
      </w:pPr>
    </w:lvl>
    <w:lvl w:ilvl="1" w:tplc="95FA08A4">
      <w:numFmt w:val="decimal"/>
      <w:lvlText w:val=""/>
      <w:lvlJc w:val="left"/>
    </w:lvl>
    <w:lvl w:ilvl="2" w:tplc="CCA0CCC8">
      <w:numFmt w:val="decimal"/>
      <w:lvlText w:val=""/>
      <w:lvlJc w:val="left"/>
    </w:lvl>
    <w:lvl w:ilvl="3" w:tplc="C86A363A">
      <w:numFmt w:val="decimal"/>
      <w:lvlText w:val=""/>
      <w:lvlJc w:val="left"/>
    </w:lvl>
    <w:lvl w:ilvl="4" w:tplc="B9964B2E">
      <w:numFmt w:val="decimal"/>
      <w:lvlText w:val=""/>
      <w:lvlJc w:val="left"/>
    </w:lvl>
    <w:lvl w:ilvl="5" w:tplc="A686FA36">
      <w:numFmt w:val="decimal"/>
      <w:lvlText w:val=""/>
      <w:lvlJc w:val="left"/>
    </w:lvl>
    <w:lvl w:ilvl="6" w:tplc="6C489C5E">
      <w:numFmt w:val="decimal"/>
      <w:lvlText w:val=""/>
      <w:lvlJc w:val="left"/>
    </w:lvl>
    <w:lvl w:ilvl="7" w:tplc="70D29490">
      <w:numFmt w:val="decimal"/>
      <w:lvlText w:val=""/>
      <w:lvlJc w:val="left"/>
    </w:lvl>
    <w:lvl w:ilvl="8" w:tplc="C6AE8786">
      <w:numFmt w:val="decimal"/>
      <w:lvlText w:val=""/>
      <w:lvlJc w:val="left"/>
    </w:lvl>
  </w:abstractNum>
  <w:abstractNum w:abstractNumId="3" w15:restartNumberingAfterBreak="0">
    <w:nsid w:val="4D7D0219"/>
    <w:multiLevelType w:val="hybridMultilevel"/>
    <w:tmpl w:val="56C67584"/>
    <w:lvl w:ilvl="0" w:tplc="AC4A2686" w:tentative="1">
      <w:start w:val="1"/>
      <w:numFmt w:val="decimal"/>
      <w:lvlText w:val="%1."/>
      <w:lvlJc w:val="left"/>
      <w:pPr>
        <w:ind w:left="400" w:hanging="300"/>
      </w:pPr>
    </w:lvl>
    <w:lvl w:ilvl="1" w:tplc="6EC26B98">
      <w:numFmt w:val="decimal"/>
      <w:lvlText w:val=""/>
      <w:lvlJc w:val="left"/>
    </w:lvl>
    <w:lvl w:ilvl="2" w:tplc="211CA8CE">
      <w:numFmt w:val="decimal"/>
      <w:lvlText w:val=""/>
      <w:lvlJc w:val="left"/>
    </w:lvl>
    <w:lvl w:ilvl="3" w:tplc="82F678C0">
      <w:numFmt w:val="decimal"/>
      <w:lvlText w:val=""/>
      <w:lvlJc w:val="left"/>
    </w:lvl>
    <w:lvl w:ilvl="4" w:tplc="F314C5C0">
      <w:numFmt w:val="decimal"/>
      <w:lvlText w:val=""/>
      <w:lvlJc w:val="left"/>
    </w:lvl>
    <w:lvl w:ilvl="5" w:tplc="D434507A">
      <w:numFmt w:val="decimal"/>
      <w:lvlText w:val=""/>
      <w:lvlJc w:val="left"/>
    </w:lvl>
    <w:lvl w:ilvl="6" w:tplc="E69A4652">
      <w:numFmt w:val="decimal"/>
      <w:lvlText w:val=""/>
      <w:lvlJc w:val="left"/>
    </w:lvl>
    <w:lvl w:ilvl="7" w:tplc="06AC649E">
      <w:numFmt w:val="decimal"/>
      <w:lvlText w:val=""/>
      <w:lvlJc w:val="left"/>
    </w:lvl>
    <w:lvl w:ilvl="8" w:tplc="6D38606A">
      <w:numFmt w:val="decimal"/>
      <w:lvlText w:val=""/>
      <w:lvlJc w:val="left"/>
    </w:lvl>
  </w:abstractNum>
  <w:abstractNum w:abstractNumId="4" w15:restartNumberingAfterBreak="0">
    <w:nsid w:val="5BF45D62"/>
    <w:multiLevelType w:val="hybridMultilevel"/>
    <w:tmpl w:val="84620FC2"/>
    <w:lvl w:ilvl="0" w:tplc="CFCC6E00" w:tentative="1">
      <w:start w:val="1"/>
      <w:numFmt w:val="bullet"/>
      <w:lvlText w:val="•"/>
      <w:lvlJc w:val="left"/>
      <w:pPr>
        <w:ind w:left="400" w:hanging="260"/>
      </w:pPr>
    </w:lvl>
    <w:lvl w:ilvl="1" w:tplc="8E4677F6" w:tentative="1">
      <w:start w:val="1"/>
      <w:numFmt w:val="bullet"/>
      <w:lvlText w:val="–"/>
      <w:lvlJc w:val="left"/>
      <w:pPr>
        <w:ind w:left="800" w:hanging="260"/>
      </w:pPr>
    </w:lvl>
    <w:lvl w:ilvl="2" w:tplc="7B70FB58">
      <w:numFmt w:val="decimal"/>
      <w:lvlText w:val=""/>
      <w:lvlJc w:val="left"/>
    </w:lvl>
    <w:lvl w:ilvl="3" w:tplc="14BCCF78">
      <w:numFmt w:val="decimal"/>
      <w:lvlText w:val=""/>
      <w:lvlJc w:val="left"/>
    </w:lvl>
    <w:lvl w:ilvl="4" w:tplc="DD7807BE">
      <w:numFmt w:val="decimal"/>
      <w:lvlText w:val=""/>
      <w:lvlJc w:val="left"/>
    </w:lvl>
    <w:lvl w:ilvl="5" w:tplc="5910414A">
      <w:numFmt w:val="decimal"/>
      <w:lvlText w:val=""/>
      <w:lvlJc w:val="left"/>
    </w:lvl>
    <w:lvl w:ilvl="6" w:tplc="1908C240">
      <w:numFmt w:val="decimal"/>
      <w:lvlText w:val=""/>
      <w:lvlJc w:val="left"/>
    </w:lvl>
    <w:lvl w:ilvl="7" w:tplc="C4B0318C">
      <w:numFmt w:val="decimal"/>
      <w:lvlText w:val=""/>
      <w:lvlJc w:val="left"/>
    </w:lvl>
    <w:lvl w:ilvl="8" w:tplc="1BFE69C8">
      <w:numFmt w:val="decimal"/>
      <w:lvlText w:val=""/>
      <w:lvlJc w:val="left"/>
    </w:lvl>
  </w:abstractNum>
  <w:abstractNum w:abstractNumId="5" w15:restartNumberingAfterBreak="0">
    <w:nsid w:val="6478163F"/>
    <w:multiLevelType w:val="hybridMultilevel"/>
    <w:tmpl w:val="595EBD3C"/>
    <w:lvl w:ilvl="0" w:tplc="3D2C21CE" w:tentative="1">
      <w:start w:val="1"/>
      <w:numFmt w:val="decimal"/>
      <w:lvlText w:val="%1."/>
      <w:lvlJc w:val="left"/>
      <w:pPr>
        <w:ind w:left="400" w:hanging="300"/>
      </w:pPr>
    </w:lvl>
    <w:lvl w:ilvl="1" w:tplc="5BB46B72">
      <w:numFmt w:val="decimal"/>
      <w:lvlText w:val=""/>
      <w:lvlJc w:val="left"/>
    </w:lvl>
    <w:lvl w:ilvl="2" w:tplc="8AB2609A">
      <w:numFmt w:val="decimal"/>
      <w:lvlText w:val=""/>
      <w:lvlJc w:val="left"/>
    </w:lvl>
    <w:lvl w:ilvl="3" w:tplc="7C0653EA">
      <w:numFmt w:val="decimal"/>
      <w:lvlText w:val=""/>
      <w:lvlJc w:val="left"/>
    </w:lvl>
    <w:lvl w:ilvl="4" w:tplc="A8986452">
      <w:numFmt w:val="decimal"/>
      <w:lvlText w:val=""/>
      <w:lvlJc w:val="left"/>
    </w:lvl>
    <w:lvl w:ilvl="5" w:tplc="F47A7AC6">
      <w:numFmt w:val="decimal"/>
      <w:lvlText w:val=""/>
      <w:lvlJc w:val="left"/>
    </w:lvl>
    <w:lvl w:ilvl="6" w:tplc="80A81B5E">
      <w:numFmt w:val="decimal"/>
      <w:lvlText w:val=""/>
      <w:lvlJc w:val="left"/>
    </w:lvl>
    <w:lvl w:ilvl="7" w:tplc="6AB4FD24">
      <w:numFmt w:val="decimal"/>
      <w:lvlText w:val=""/>
      <w:lvlJc w:val="left"/>
    </w:lvl>
    <w:lvl w:ilvl="8" w:tplc="FA36A780">
      <w:numFmt w:val="decimal"/>
      <w:lvlText w:val=""/>
      <w:lvlJc w:val="left"/>
    </w:lvl>
  </w:abstractNum>
  <w:abstractNum w:abstractNumId="6" w15:restartNumberingAfterBreak="0">
    <w:nsid w:val="6B25353E"/>
    <w:multiLevelType w:val="hybridMultilevel"/>
    <w:tmpl w:val="D286DBF2"/>
    <w:lvl w:ilvl="0" w:tplc="821E5C1A" w:tentative="1">
      <w:start w:val="1"/>
      <w:numFmt w:val="bullet"/>
      <w:lvlText w:val="●"/>
      <w:lvlJc w:val="left"/>
      <w:pPr>
        <w:ind w:left="720" w:hanging="360"/>
      </w:pPr>
    </w:lvl>
    <w:lvl w:ilvl="1" w:tplc="E7DA2630" w:tentative="1">
      <w:start w:val="1"/>
      <w:numFmt w:val="bullet"/>
      <w:lvlText w:val="○"/>
      <w:lvlJc w:val="left"/>
      <w:pPr>
        <w:ind w:left="1440" w:hanging="360"/>
      </w:pPr>
    </w:lvl>
    <w:lvl w:ilvl="2" w:tplc="8B90B2F6" w:tentative="1">
      <w:start w:val="1"/>
      <w:numFmt w:val="bullet"/>
      <w:lvlText w:val="■"/>
      <w:lvlJc w:val="left"/>
      <w:pPr>
        <w:ind w:left="2160" w:hanging="360"/>
      </w:pPr>
    </w:lvl>
    <w:lvl w:ilvl="3" w:tplc="FB266F66" w:tentative="1">
      <w:start w:val="1"/>
      <w:numFmt w:val="bullet"/>
      <w:lvlText w:val="●"/>
      <w:lvlJc w:val="left"/>
      <w:pPr>
        <w:ind w:left="2880" w:hanging="360"/>
      </w:pPr>
    </w:lvl>
    <w:lvl w:ilvl="4" w:tplc="298C233C" w:tentative="1">
      <w:start w:val="1"/>
      <w:numFmt w:val="bullet"/>
      <w:lvlText w:val="○"/>
      <w:lvlJc w:val="left"/>
      <w:pPr>
        <w:ind w:left="3600" w:hanging="360"/>
      </w:pPr>
    </w:lvl>
    <w:lvl w:ilvl="5" w:tplc="0444EA3A" w:tentative="1">
      <w:start w:val="1"/>
      <w:numFmt w:val="bullet"/>
      <w:lvlText w:val="■"/>
      <w:lvlJc w:val="left"/>
      <w:pPr>
        <w:ind w:left="4320" w:hanging="360"/>
      </w:pPr>
    </w:lvl>
    <w:lvl w:ilvl="6" w:tplc="6C48831E" w:tentative="1">
      <w:start w:val="1"/>
      <w:numFmt w:val="bullet"/>
      <w:lvlText w:val="●"/>
      <w:lvlJc w:val="left"/>
      <w:pPr>
        <w:ind w:left="5040" w:hanging="360"/>
      </w:pPr>
    </w:lvl>
    <w:lvl w:ilvl="7" w:tplc="95486920" w:tentative="1">
      <w:start w:val="1"/>
      <w:numFmt w:val="bullet"/>
      <w:lvlText w:val="●"/>
      <w:lvlJc w:val="left"/>
      <w:pPr>
        <w:ind w:left="5760" w:hanging="360"/>
      </w:pPr>
    </w:lvl>
    <w:lvl w:ilvl="8" w:tplc="4FC6CF3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771B1F7B"/>
    <w:multiLevelType w:val="hybridMultilevel"/>
    <w:tmpl w:val="B30A3670"/>
    <w:lvl w:ilvl="0" w:tplc="E514CA98" w:tentative="1">
      <w:start w:val="1"/>
      <w:numFmt w:val="decimal"/>
      <w:lvlText w:val="%1."/>
      <w:lvlJc w:val="left"/>
      <w:pPr>
        <w:ind w:left="400" w:hanging="300"/>
      </w:pPr>
    </w:lvl>
    <w:lvl w:ilvl="1" w:tplc="E3887F42">
      <w:numFmt w:val="decimal"/>
      <w:lvlText w:val=""/>
      <w:lvlJc w:val="left"/>
    </w:lvl>
    <w:lvl w:ilvl="2" w:tplc="7B0AB3B6">
      <w:numFmt w:val="decimal"/>
      <w:lvlText w:val=""/>
      <w:lvlJc w:val="left"/>
    </w:lvl>
    <w:lvl w:ilvl="3" w:tplc="F3C8CB98">
      <w:numFmt w:val="decimal"/>
      <w:lvlText w:val=""/>
      <w:lvlJc w:val="left"/>
    </w:lvl>
    <w:lvl w:ilvl="4" w:tplc="45BE0416">
      <w:numFmt w:val="decimal"/>
      <w:lvlText w:val=""/>
      <w:lvlJc w:val="left"/>
    </w:lvl>
    <w:lvl w:ilvl="5" w:tplc="357E75E6">
      <w:numFmt w:val="decimal"/>
      <w:lvlText w:val=""/>
      <w:lvlJc w:val="left"/>
    </w:lvl>
    <w:lvl w:ilvl="6" w:tplc="8F2867A2">
      <w:numFmt w:val="decimal"/>
      <w:lvlText w:val=""/>
      <w:lvlJc w:val="left"/>
    </w:lvl>
    <w:lvl w:ilvl="7" w:tplc="25A0F748">
      <w:numFmt w:val="decimal"/>
      <w:lvlText w:val=""/>
      <w:lvlJc w:val="left"/>
    </w:lvl>
    <w:lvl w:ilvl="8" w:tplc="31C6040E">
      <w:numFmt w:val="decimal"/>
      <w:lvlText w:val=""/>
      <w:lvlJc w:val="left"/>
    </w:lvl>
  </w:abstractNum>
  <w:num w:numId="1" w16cid:durableId="1915315829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774F"/>
    <w:rsid w:val="001E40C4"/>
    <w:rsid w:val="0061774F"/>
    <w:rsid w:val="007637CB"/>
    <w:rsid w:val="00A54181"/>
    <w:rsid w:val="00D60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90CFE2"/>
  <w15:docId w15:val="{DA845E47-71D7-5043-AEFB-2E138610C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300" w:after="120"/>
      <w:outlineLvl w:val="0"/>
    </w:pPr>
    <w:rPr>
      <w:rFonts w:eastAsia="Calibri"/>
      <w:b/>
      <w:bCs/>
      <w:color w:val="1F3864"/>
      <w:sz w:val="30"/>
      <w:szCs w:val="30"/>
    </w:rPr>
  </w:style>
  <w:style w:type="paragraph" w:styleId="2">
    <w:name w:val="heading 2"/>
    <w:basedOn w:val="a"/>
    <w:next w:val="a"/>
    <w:uiPriority w:val="9"/>
    <w:semiHidden/>
    <w:unhideWhenUsed/>
    <w:qFormat/>
    <w:pPr>
      <w:spacing w:before="220" w:after="80"/>
      <w:outlineLvl w:val="1"/>
    </w:pPr>
    <w:rPr>
      <w:rFonts w:eastAsia="Calibri"/>
      <w:b/>
      <w:bCs/>
      <w:color w:val="2E5597"/>
      <w:sz w:val="25"/>
      <w:szCs w:val="25"/>
    </w:rPr>
  </w:style>
  <w:style w:type="paragraph" w:styleId="3">
    <w:name w:val="heading 3"/>
    <w:basedOn w:val="a"/>
    <w:next w:val="a"/>
    <w:uiPriority w:val="9"/>
    <w:semiHidden/>
    <w:unhideWhenUsed/>
    <w:qFormat/>
    <w:pPr>
      <w:spacing w:before="160" w:after="60"/>
      <w:outlineLvl w:val="2"/>
    </w:pPr>
    <w:rPr>
      <w:rFonts w:eastAsia="Calibri"/>
      <w:b/>
      <w:bCs/>
      <w:color w:val="333333"/>
      <w:sz w:val="22"/>
      <w:szCs w:val="22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1273</Words>
  <Characters>7258</Characters>
  <Application>Microsoft Office Word</Application>
  <DocSecurity>0</DocSecurity>
  <Lines>60</Lines>
  <Paragraphs>17</Paragraphs>
  <ScaleCrop>false</ScaleCrop>
  <Company/>
  <LinksUpToDate>false</LinksUpToDate>
  <CharactersWithSpaces>8514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rules v1 – GlucoLink A2</dc:title>
  <dc:creator>GlucoLink A2 team</dc:creator>
  <cp:lastModifiedBy>Xiaolong Yang</cp:lastModifiedBy>
  <cp:revision>3</cp:revision>
  <dcterms:created xsi:type="dcterms:W3CDTF">2026-09-30T09:24:00Z</dcterms:created>
  <dcterms:modified xsi:type="dcterms:W3CDTF">2026-09-30T22:04:00Z</dcterms:modified>
</cp:coreProperties>
</file>