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jc w:val="left"/>
        <w:tblCellMar>
          <w:top w:w="0" w:type="dxa"/>
          <w:left w:w="0" w:type="dxa"/>
          <w:bottom w:w="0" w:type="dxa"/>
          <w:right w:w="0" w:type="dxa"/>
        </w:tblCellMar>
      </w:tblPr>
      <w:tblGrid>
        <w:gridCol w:w="2916"/>
        <w:gridCol w:w="5724"/>
      </w:tblGrid>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TÀI CHÍNH</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34/2017/TT-BTC</w:t>
            </w:r>
          </w:p>
        </w:tc>
        <w:tc>
          <w:tcPr>
            <w:tcW w:w="5508"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21 tháng 4 năm 2017</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w:t>
      </w:r>
      <w:bookmarkEnd w:id="0"/>
    </w:p>
    <w:p>
      <w:pPr>
        <w:bidi w:val="0"/>
        <w:spacing w:after="120" w:afterAutospacing="0"/>
        <w:jc w:val="center"/>
      </w:pPr>
      <w:bookmarkStart w:id="1" w:name="loai_1_name"/>
      <w:r>
        <w:rPr>
          <w:rtl w:val="0"/>
        </w:rPr>
        <w:t>QUY ĐỊNH MỨC THU, CHẾ ĐỘ THU, NỘP, QUẢN LÝ VÀ SỬ DỤNG PHÍ THẨM ĐỊNH CẤP GIẤY PHÉP HOẠT ĐỘNG ĐO ĐẠC VÀ BẢN ĐỒ</w:t>
      </w:r>
      <w:bookmarkEnd w:id="1"/>
    </w:p>
    <w:p>
      <w:pPr>
        <w:bidi w:val="0"/>
        <w:spacing w:after="120" w:afterAutospacing="0"/>
      </w:pPr>
      <w:r>
        <w:rPr>
          <w:i/>
          <w:iCs/>
          <w:rtl w:val="0"/>
        </w:rPr>
        <w:t xml:space="preserve">Căn cứ </w:t>
      </w:r>
      <w:bookmarkStart w:id="2" w:name="tvpllink_rxblirivoi"/>
      <w:r>
        <w:rPr>
          <w:i/>
          <w:iCs/>
          <w:rtl w:val="0"/>
        </w:rPr>
        <w:t>Luật phí và lệ phí</w:t>
      </w:r>
      <w:bookmarkEnd w:id="2"/>
      <w:r>
        <w:rPr>
          <w:i/>
          <w:iCs/>
          <w:rtl w:val="0"/>
        </w:rPr>
        <w:t xml:space="preserve"> ngày 25 tháng 11 năm 2015;</w:t>
      </w:r>
    </w:p>
    <w:p>
      <w:pPr>
        <w:bidi w:val="0"/>
        <w:spacing w:after="120" w:afterAutospacing="0"/>
      </w:pPr>
      <w:r>
        <w:rPr>
          <w:i/>
          <w:iCs/>
          <w:rtl w:val="0"/>
        </w:rPr>
        <w:t xml:space="preserve">Căn cứ </w:t>
      </w:r>
      <w:bookmarkStart w:id="3" w:name="tvpllink_orzgiqxtpn"/>
      <w:r>
        <w:rPr>
          <w:i/>
          <w:iCs/>
          <w:rtl w:val="0"/>
        </w:rPr>
        <w:t>Luật ngân sách nhà nước</w:t>
      </w:r>
      <w:bookmarkEnd w:id="3"/>
      <w:r>
        <w:rPr>
          <w:i/>
          <w:iCs/>
          <w:rtl w:val="0"/>
        </w:rPr>
        <w:t xml:space="preserve"> ngày 25 tháng 6 năm 2015;</w:t>
      </w:r>
    </w:p>
    <w:p>
      <w:pPr>
        <w:bidi w:val="0"/>
        <w:spacing w:after="120" w:afterAutospacing="0"/>
      </w:pPr>
      <w:r>
        <w:rPr>
          <w:i/>
          <w:iCs/>
          <w:rtl w:val="0"/>
        </w:rPr>
        <w:t xml:space="preserve">Căn cứ Nghị định số </w:t>
      </w:r>
      <w:bookmarkStart w:id="4" w:name="tvpllink_buygxjhdca"/>
      <w:r>
        <w:rPr>
          <w:i/>
          <w:iCs/>
          <w:rtl w:val="0"/>
        </w:rPr>
        <w:t>45/2015/NĐ-CP</w:t>
      </w:r>
      <w:bookmarkEnd w:id="4"/>
      <w:r>
        <w:rPr>
          <w:i/>
          <w:iCs/>
          <w:rtl w:val="0"/>
        </w:rPr>
        <w:t xml:space="preserve"> ngày 06 tháng 5 năm 2015 của Chính phủ về hoạt động đo đạc và bản đồ;</w:t>
      </w:r>
    </w:p>
    <w:p>
      <w:pPr>
        <w:bidi w:val="0"/>
        <w:spacing w:after="120" w:afterAutospacing="0"/>
      </w:pPr>
      <w:r>
        <w:rPr>
          <w:i/>
          <w:iCs/>
          <w:rtl w:val="0"/>
        </w:rPr>
        <w:t xml:space="preserve">Căn cứ Nghị định số </w:t>
      </w:r>
      <w:bookmarkStart w:id="5" w:name="tvpllink_celikjcwen"/>
      <w:r>
        <w:rPr>
          <w:i/>
          <w:iCs/>
          <w:rtl w:val="0"/>
        </w:rPr>
        <w:t>120/2016/NĐ-CP</w:t>
      </w:r>
      <w:bookmarkEnd w:id="5"/>
      <w:r>
        <w:rPr>
          <w:i/>
          <w:iCs/>
          <w:rtl w:val="0"/>
        </w:rPr>
        <w:t xml:space="preserve"> ngày 23 tháng 8 năm 2016 của Chính phủ quy định chi tiết và hướng dẫn thi hành một số điều của </w:t>
      </w:r>
      <w:bookmarkStart w:id="6" w:name="tvpllink_rxblirivoi_1"/>
      <w:r>
        <w:rPr>
          <w:i/>
          <w:iCs/>
          <w:rtl w:val="0"/>
        </w:rPr>
        <w:t>Luật phí và lệ phí</w:t>
      </w:r>
      <w:bookmarkEnd w:id="6"/>
      <w:r>
        <w:rPr>
          <w:i/>
          <w:iCs/>
          <w:rtl w:val="0"/>
        </w:rPr>
        <w:t>;</w:t>
      </w:r>
    </w:p>
    <w:p>
      <w:pPr>
        <w:bidi w:val="0"/>
        <w:spacing w:after="120" w:afterAutospacing="0"/>
      </w:pPr>
      <w:r>
        <w:rPr>
          <w:i/>
          <w:iCs/>
          <w:rtl w:val="0"/>
        </w:rPr>
        <w:t xml:space="preserve">Căn cứ Nghị định số </w:t>
      </w:r>
      <w:bookmarkStart w:id="7" w:name="tvpllink_ihuylpfvyp"/>
      <w:r>
        <w:rPr>
          <w:i/>
          <w:iCs/>
          <w:rtl w:val="0"/>
        </w:rPr>
        <w:t>215/2013/NĐ-CP</w:t>
      </w:r>
      <w:bookmarkEnd w:id="7"/>
      <w:r>
        <w:rPr>
          <w:i/>
          <w:iCs/>
          <w:rtl w:val="0"/>
        </w:rPr>
        <w:t xml:space="preserve"> ngày 23 tháng 12 năm 2013 của Chính phủ quy định chức năng, nhiệm vụ, quyền hạn và cơ cấu tổ chức của Bộ Tài chính;</w:t>
      </w:r>
    </w:p>
    <w:p>
      <w:pPr>
        <w:bidi w:val="0"/>
        <w:spacing w:after="120" w:afterAutospacing="0"/>
      </w:pPr>
      <w:r>
        <w:rPr>
          <w:i/>
          <w:iCs/>
          <w:rtl w:val="0"/>
        </w:rPr>
        <w:t>Theo đề nghị của Vụ trưởng Vụ Chính sách thuế,</w:t>
      </w:r>
    </w:p>
    <w:p>
      <w:pPr>
        <w:bidi w:val="0"/>
        <w:spacing w:after="120" w:afterAutospacing="0"/>
      </w:pPr>
      <w:r>
        <w:rPr>
          <w:i/>
          <w:iCs/>
          <w:rtl w:val="0"/>
        </w:rPr>
        <w:t>Bộ trưởng Bộ Tài chính ban hành Thông tư quy định mức thu, chế độ thu, nộp, quản lý và sử dụng phí thẩm định cấp giấy phép hoạt động đo đạc và bản đồ.</w:t>
      </w:r>
    </w:p>
    <w:p>
      <w:pPr>
        <w:bidi w:val="0"/>
        <w:spacing w:after="120" w:afterAutospacing="0"/>
      </w:pPr>
      <w:bookmarkStart w:id="8" w:name="dieu_1"/>
      <w:r>
        <w:rPr>
          <w:b/>
          <w:bCs/>
          <w:rtl w:val="0"/>
        </w:rPr>
        <w:t>Điều 1. Phạm vi điều chỉnh và đối tượng áp dụng</w:t>
      </w:r>
      <w:bookmarkEnd w:id="8"/>
    </w:p>
    <w:p>
      <w:pPr>
        <w:bidi w:val="0"/>
        <w:spacing w:after="120" w:afterAutospacing="0"/>
      </w:pPr>
      <w:r>
        <w:rPr>
          <w:rtl w:val="0"/>
        </w:rPr>
        <w:t>1. Thông tư này quy đ</w:t>
      </w:r>
      <w:r>
        <w:rPr>
          <w:rtl w:val="0"/>
        </w:rPr>
        <w:t>ịnh mức thu, chế độ thu, nộp, quản lý và sử dụng phí thẩm định cấp giấy phép hoạt động đo đạc và bản đồ.</w:t>
      </w:r>
    </w:p>
    <w:p>
      <w:pPr>
        <w:bidi w:val="0"/>
        <w:spacing w:after="120" w:afterAutospacing="0"/>
      </w:pPr>
      <w:r>
        <w:rPr>
          <w:rtl w:val="0"/>
        </w:rPr>
        <w:t>2. Thông tư này áp d</w:t>
      </w:r>
      <w:r>
        <w:rPr>
          <w:rtl w:val="0"/>
        </w:rPr>
        <w:t>ụng đối với: người nộp phí; tổ chức thu phí; tổ chức, cá nhân khác liên quan đến thu, nộp, quản lý và sử dụng phí thẩm định cấp giấy phép hoạt động đo đạc và bản đồ.</w:t>
      </w:r>
    </w:p>
    <w:p>
      <w:pPr>
        <w:bidi w:val="0"/>
        <w:spacing w:after="120" w:afterAutospacing="0"/>
      </w:pPr>
      <w:bookmarkStart w:id="9" w:name="dieu_2"/>
      <w:r>
        <w:rPr>
          <w:b/>
          <w:bCs/>
          <w:rtl w:val="0"/>
        </w:rPr>
        <w:t>Điều 2. Người nộp phí và tổ chức thu phí</w:t>
      </w:r>
      <w:bookmarkEnd w:id="9"/>
    </w:p>
    <w:p>
      <w:pPr>
        <w:bidi w:val="0"/>
        <w:spacing w:after="120" w:afterAutospacing="0"/>
      </w:pPr>
      <w:bookmarkStart w:id="10" w:name="khoan_1_2"/>
      <w:r>
        <w:rPr>
          <w:rtl w:val="0"/>
        </w:rPr>
        <w:t>1. Tổ chức đề nghị cấp giấy phép hoạt động đo đạc và bản đồ thuộc danh mục quy định tại</w:t>
      </w:r>
      <w:bookmarkEnd w:id="10"/>
      <w:r>
        <w:rPr>
          <w:rtl w:val="0"/>
        </w:rPr>
        <w:t xml:space="preserve"> </w:t>
      </w:r>
      <w:bookmarkStart w:id="11" w:name="dc_1"/>
      <w:r>
        <w:rPr>
          <w:rtl w:val="0"/>
        </w:rPr>
        <w:t>Điều 10 Nghị định số 45/2015/NĐ-CP</w:t>
      </w:r>
      <w:bookmarkEnd w:id="11"/>
      <w:r>
        <w:rPr>
          <w:rtl w:val="0"/>
        </w:rPr>
        <w:t xml:space="preserve"> </w:t>
      </w:r>
      <w:bookmarkStart w:id="12" w:name="khoan_1_2_name"/>
      <w:r>
        <w:rPr>
          <w:rtl w:val="0"/>
        </w:rPr>
        <w:t>ngày 06 tháng 5 năm 2015 của Chính phủ về hoạt động đo đạc và bản đồ phải nộp phí thẩm định theo quy định tại Thông tư này.</w:t>
      </w:r>
      <w:bookmarkEnd w:id="12"/>
    </w:p>
    <w:p>
      <w:pPr>
        <w:bidi w:val="0"/>
        <w:spacing w:after="120" w:afterAutospacing="0"/>
      </w:pPr>
      <w:r>
        <w:rPr>
          <w:rtl w:val="0"/>
        </w:rPr>
        <w:t>2. T</w:t>
      </w:r>
      <w:r>
        <w:rPr>
          <w:rtl w:val="0"/>
        </w:rPr>
        <w:t>ổ chức thu phí bao gồm: Cục Đo đạc, Bản đồ và Thông tin địa lý Việt Nam (Bộ Tài nguyên và Môi trường) và Sở Tài nguyên và Môi trường các tỉnh, thành phố trực thuộc Trung ương.</w:t>
      </w:r>
    </w:p>
    <w:p>
      <w:pPr>
        <w:bidi w:val="0"/>
        <w:spacing w:after="120" w:afterAutospacing="0"/>
      </w:pPr>
      <w:bookmarkStart w:id="13" w:name="dieu_3"/>
      <w:r>
        <w:rPr>
          <w:b/>
          <w:bCs/>
          <w:rtl w:val="0"/>
        </w:rPr>
        <w:t>Điều 3. Mức thu phí</w:t>
      </w:r>
      <w:bookmarkEnd w:id="13"/>
    </w:p>
    <w:p>
      <w:pPr>
        <w:bidi w:val="0"/>
        <w:spacing w:after="120" w:afterAutospacing="0"/>
      </w:pPr>
      <w:r>
        <w:rPr>
          <w:rtl w:val="0"/>
        </w:rPr>
        <w:t>M</w:t>
      </w:r>
      <w:r>
        <w:rPr>
          <w:rtl w:val="0"/>
        </w:rPr>
        <w:t>ức thu phí thẩm định cấp mới, cấp bổ sung giấy phép hoạt động đo đạc và bản đồ như sau:</w:t>
      </w:r>
    </w:p>
    <w:p>
      <w:pPr>
        <w:bidi w:val="0"/>
        <w:spacing w:after="120" w:afterAutospacing="0"/>
      </w:pPr>
      <w:r>
        <w:rPr>
          <w:rtl w:val="0"/>
        </w:rPr>
        <w:t>1. M</w:t>
      </w:r>
      <w:r>
        <w:rPr>
          <w:rtl w:val="0"/>
        </w:rPr>
        <w:t>ức phí đối với hồ sơ do Cục Đo đạc, Bản đồ và Thông tin địa lý Việt Nam thẩm định.</w:t>
      </w:r>
    </w:p>
    <w:tbl>
      <w:tblPr>
        <w:jc w:val="left"/>
        <w:tblCellMar>
          <w:top w:w="0" w:type="dxa"/>
          <w:left w:w="0" w:type="dxa"/>
          <w:bottom w:w="0" w:type="dxa"/>
          <w:right w:w="0" w:type="dxa"/>
        </w:tblCellMar>
      </w:tblPr>
      <w:tblGrid>
        <w:gridCol w:w="846"/>
        <w:gridCol w:w="3175"/>
        <w:gridCol w:w="1554"/>
        <w:gridCol w:w="1387"/>
        <w:gridCol w:w="1677"/>
        <w:gridCol w:w="1"/>
      </w:tblGrid>
      <w:tr>
        <w:tblPrEx>
          <w:jc w:val="left"/>
          <w:tblCellMar>
            <w:top w:w="0" w:type="dxa"/>
            <w:left w:w="0" w:type="dxa"/>
            <w:bottom w:w="0" w:type="dxa"/>
            <w:right w:w="0" w:type="dxa"/>
          </w:tblCellMar>
        </w:tblPrEx>
        <w:trPr>
          <w:jc w:val="left"/>
        </w:trPr>
        <w:tc>
          <w:tcPr>
            <w:tcW w:w="630" w:type="dxa"/>
            <w:vMerge w:val="restart"/>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w:t>
            </w:r>
            <w:r>
              <w:rPr>
                <w:b/>
                <w:bCs/>
                <w:rtl w:val="0"/>
              </w:rPr>
              <w:t>ố tt</w:t>
            </w:r>
          </w:p>
        </w:tc>
        <w:tc>
          <w:tcPr>
            <w:tcW w:w="3431" w:type="dxa"/>
            <w:vMerge w:val="restart"/>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w:t>
            </w:r>
            <w:r>
              <w:rPr>
                <w:b/>
                <w:bCs/>
                <w:rtl w:val="0"/>
              </w:rPr>
              <w:t>ố hoạt động dịch vụ đo đạc và bản đồ đề nghị cấp phép theo quy định</w:t>
            </w:r>
          </w:p>
        </w:tc>
        <w:tc>
          <w:tcPr>
            <w:tcW w:w="4626" w:type="dxa"/>
            <w:gridSpan w:val="4"/>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120" w:afterAutospacing="0"/>
              <w:jc w:val="center"/>
            </w:pPr>
            <w:r>
              <w:rPr>
                <w:b/>
                <w:bCs/>
                <w:rtl w:val="0"/>
              </w:rPr>
              <w:t>M</w:t>
            </w:r>
            <w:r>
              <w:rPr>
                <w:b/>
                <w:bCs/>
                <w:rtl w:val="0"/>
              </w:rPr>
              <w:t>ức thu phí</w:t>
            </w:r>
          </w:p>
          <w:p>
            <w:pPr>
              <w:bidi w:val="0"/>
              <w:spacing w:after="0" w:afterAutospacing="0"/>
              <w:jc w:val="center"/>
              <w:rPr>
                <w:rtl w:val="0"/>
              </w:rPr>
            </w:pPr>
            <w:r>
              <w:rPr>
                <w:rtl w:val="0"/>
              </w:rPr>
              <w:t>(1.000 đ</w:t>
            </w:r>
            <w:r>
              <w:rPr>
                <w:rtl w:val="0"/>
              </w:rPr>
              <w:t>ồng/hồ sơ)</w:t>
            </w:r>
          </w:p>
        </w:tc>
      </w:tr>
      <w:tr>
        <w:tblPrEx>
          <w:jc w:val="left"/>
          <w:tblCellMar>
            <w:top w:w="0" w:type="dxa"/>
            <w:left w:w="0" w:type="dxa"/>
            <w:bottom w:w="0" w:type="dxa"/>
            <w:right w:w="0" w:type="dxa"/>
          </w:tblCellMar>
        </w:tblPrEx>
        <w:trPr>
          <w:jc w:val="left"/>
        </w:trPr>
        <w:tc>
          <w:tcPr>
            <w:tcW w:w="0" w:type="auto"/>
            <w:vMerge/>
            <w:tcBorders>
              <w:top w:val="single" w:sz="8" w:space="0" w:color="000000"/>
              <w:left w:val="single" w:sz="8" w:space="0" w:color="000000"/>
              <w:bottom w:val="single" w:sz="8" w:space="0" w:color="000000"/>
              <w:right w:val="single" w:sz="8" w:space="0" w:color="000000"/>
            </w:tcBorders>
            <w:shd w:val="clear" w:color="auto" w:fill="auto"/>
            <w:vAlign w:val="center"/>
          </w:tcPr>
          <w:p>
            <w:pPr>
              <w:bidi w:val="0"/>
              <w:spacing w:after="0" w:afterAutospacing="0"/>
              <w:jc w:val="center"/>
            </w:pPr>
          </w:p>
        </w:tc>
        <w:tc>
          <w:tcPr>
            <w:tcW w:w="0" w:type="auto"/>
            <w:vMerge/>
            <w:tcBorders>
              <w:top w:val="single" w:sz="8" w:space="0" w:color="000000"/>
              <w:left w:val="nil"/>
              <w:bottom w:val="single" w:sz="8" w:space="0" w:color="000000"/>
              <w:right w:val="single" w:sz="8" w:space="0" w:color="000000"/>
            </w:tcBorders>
            <w:shd w:val="clear" w:color="auto" w:fill="auto"/>
            <w:vAlign w:val="center"/>
          </w:tcPr>
          <w:p>
            <w:pPr>
              <w:bidi w:val="0"/>
              <w:spacing w:after="0" w:afterAutospacing="0"/>
              <w:jc w:val="center"/>
            </w:pP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before="0" w:beforeAutospacing="0" w:after="0" w:afterAutospacing="0"/>
              <w:ind w:left="0" w:right="-108"/>
              <w:jc w:val="center"/>
            </w:pPr>
            <w:r>
              <w:rPr>
                <w:color w:val="000000"/>
                <w:rtl w:val="0"/>
              </w:rPr>
              <w:t>Khu v</w:t>
            </w:r>
            <w:r>
              <w:rPr>
                <w:color w:val="000000"/>
                <w:rtl w:val="0"/>
              </w:rPr>
              <w:t>ực I</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before="0" w:beforeAutospacing="0" w:after="0" w:afterAutospacing="0"/>
              <w:ind w:left="0" w:right="-108"/>
              <w:jc w:val="center"/>
            </w:pPr>
            <w:r>
              <w:rPr>
                <w:color w:val="000000"/>
                <w:rtl w:val="0"/>
              </w:rPr>
              <w:t>Khu v</w:t>
            </w:r>
            <w:r>
              <w:rPr>
                <w:color w:val="000000"/>
                <w:rtl w:val="0"/>
              </w:rPr>
              <w:t>ực II</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before="0" w:beforeAutospacing="0" w:after="0" w:afterAutospacing="0"/>
              <w:ind w:left="0" w:right="-108"/>
              <w:jc w:val="center"/>
            </w:pPr>
            <w:r>
              <w:rPr>
                <w:color w:val="000000"/>
                <w:rtl w:val="0"/>
              </w:rPr>
              <w:t>Khu v</w:t>
            </w:r>
            <w:r>
              <w:rPr>
                <w:color w:val="000000"/>
                <w:rtl w:val="0"/>
              </w:rPr>
              <w:t>ực III</w:t>
            </w:r>
          </w:p>
        </w:tc>
      </w:tr>
      <w:tr>
        <w:tblPrEx>
          <w:jc w:val="left"/>
          <w:tblCellMar>
            <w:top w:w="0" w:type="dxa"/>
            <w:left w:w="0" w:type="dxa"/>
            <w:bottom w:w="0" w:type="dxa"/>
            <w:right w:w="0" w:type="dxa"/>
          </w:tblCellMar>
        </w:tblPrEx>
        <w:trPr>
          <w:jc w:val="left"/>
        </w:trPr>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1</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Dư</w:t>
            </w:r>
            <w:r>
              <w:rPr>
                <w:rtl w:val="0"/>
              </w:rPr>
              <w:t>ới 03</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7.280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12.900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23.140</w:t>
            </w:r>
          </w:p>
        </w:tc>
      </w:tr>
      <w:tr>
        <w:tblPrEx>
          <w:jc w:val="left"/>
          <w:tblCellMar>
            <w:top w:w="0" w:type="dxa"/>
            <w:left w:w="0" w:type="dxa"/>
            <w:bottom w:w="0" w:type="dxa"/>
            <w:right w:w="0" w:type="dxa"/>
          </w:tblCellMar>
        </w:tblPrEx>
        <w:trPr>
          <w:jc w:val="left"/>
        </w:trPr>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2</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03 đến 05</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8.730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14.350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24.260</w:t>
            </w:r>
          </w:p>
        </w:tc>
      </w:tr>
      <w:tr>
        <w:tblPrEx>
          <w:jc w:val="left"/>
          <w:tblCellMar>
            <w:top w:w="0" w:type="dxa"/>
            <w:left w:w="0" w:type="dxa"/>
            <w:bottom w:w="0" w:type="dxa"/>
            <w:right w:w="0" w:type="dxa"/>
          </w:tblCellMar>
        </w:tblPrEx>
        <w:trPr>
          <w:jc w:val="left"/>
        </w:trPr>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3</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06 đến 08</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9.210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14.840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24.670</w:t>
            </w:r>
          </w:p>
        </w:tc>
      </w:tr>
      <w:tr>
        <w:tblPrEx>
          <w:jc w:val="left"/>
          <w:tblCellMar>
            <w:top w:w="0" w:type="dxa"/>
            <w:left w:w="0" w:type="dxa"/>
            <w:bottom w:w="0" w:type="dxa"/>
            <w:right w:w="0" w:type="dxa"/>
          </w:tblCellMar>
        </w:tblPrEx>
        <w:trPr>
          <w:jc w:val="left"/>
        </w:trPr>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4</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09 đến 11</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9.700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15.320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25.070</w:t>
            </w:r>
          </w:p>
        </w:tc>
      </w:tr>
      <w:tr>
        <w:tblPrEx>
          <w:jc w:val="left"/>
          <w:tblCellMar>
            <w:top w:w="0" w:type="dxa"/>
            <w:left w:w="0" w:type="dxa"/>
            <w:bottom w:w="0" w:type="dxa"/>
            <w:right w:w="0" w:type="dxa"/>
          </w:tblCellMar>
        </w:tblPrEx>
        <w:trPr>
          <w:jc w:val="left"/>
        </w:trPr>
        <w:tc>
          <w:tcPr>
            <w:tcW w:w="630"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5</w:t>
            </w:r>
          </w:p>
        </w:tc>
        <w:tc>
          <w:tcPr>
            <w:tcW w:w="343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12 đến 14</w:t>
            </w:r>
          </w:p>
        </w:tc>
        <w:tc>
          <w:tcPr>
            <w:tcW w:w="1559"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10.190</w:t>
            </w:r>
          </w:p>
        </w:tc>
        <w:tc>
          <w:tcPr>
            <w:tcW w:w="1366"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15.810</w:t>
            </w:r>
          </w:p>
        </w:tc>
        <w:tc>
          <w:tcPr>
            <w:tcW w:w="1701"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25.480</w:t>
            </w:r>
          </w:p>
        </w:tc>
      </w:tr>
    </w:tbl>
    <w:p>
      <w:pPr>
        <w:bidi w:val="0"/>
        <w:spacing w:after="120" w:afterAutospacing="0"/>
      </w:pPr>
      <w:r>
        <w:rPr>
          <w:rtl w:val="0"/>
        </w:rPr>
        <w:t>a) Khu v</w:t>
      </w:r>
      <w:r>
        <w:rPr>
          <w:rtl w:val="0"/>
        </w:rPr>
        <w:t>ực I: Tổ chức đề nghị cấp phép có trụ sở chính tại</w:t>
      </w:r>
      <w:r>
        <w:rPr>
          <w:b/>
          <w:bCs/>
          <w:rtl w:val="0"/>
        </w:rPr>
        <w:t xml:space="preserve"> </w:t>
      </w:r>
      <w:r>
        <w:rPr>
          <w:rtl w:val="0"/>
        </w:rPr>
        <w:t>Đồng bằng sông Hồng và Trung du, miền núi phía Bắc;</w:t>
      </w:r>
    </w:p>
    <w:p>
      <w:pPr>
        <w:bidi w:val="0"/>
        <w:spacing w:after="120" w:afterAutospacing="0"/>
      </w:pPr>
      <w:r>
        <w:rPr>
          <w:rtl w:val="0"/>
        </w:rPr>
        <w:t>b) Khu v</w:t>
      </w:r>
      <w:r>
        <w:rPr>
          <w:rtl w:val="0"/>
        </w:rPr>
        <w:t>ực II: Tổ chức đề nghị cấp phép có trụ sở chính tại</w:t>
      </w:r>
      <w:r>
        <w:rPr>
          <w:b/>
          <w:bCs/>
          <w:rtl w:val="0"/>
        </w:rPr>
        <w:t xml:space="preserve"> </w:t>
      </w:r>
      <w:r>
        <w:rPr>
          <w:rtl w:val="0"/>
        </w:rPr>
        <w:t>Bắc Trung Bộ, Duyên hải miền Trung và Tây Nguyên;</w:t>
      </w:r>
    </w:p>
    <w:p>
      <w:pPr>
        <w:bidi w:val="0"/>
        <w:spacing w:after="120" w:afterAutospacing="0"/>
      </w:pPr>
      <w:r>
        <w:rPr>
          <w:rtl w:val="0"/>
        </w:rPr>
        <w:t>c) Khu v</w:t>
      </w:r>
      <w:r>
        <w:rPr>
          <w:rtl w:val="0"/>
        </w:rPr>
        <w:t>ực III: Tổ chức đề nghị cấp phép có trụ sở chính tại Đông Nam Bộ và Đồng bằng sông Cửu Long.</w:t>
      </w:r>
    </w:p>
    <w:p>
      <w:pPr>
        <w:bidi w:val="0"/>
        <w:spacing w:after="120" w:afterAutospacing="0"/>
      </w:pPr>
      <w:bookmarkStart w:id="14" w:name="khoan_2_3"/>
      <w:r>
        <w:rPr>
          <w:rtl w:val="0"/>
        </w:rPr>
        <w:t>2. M</w:t>
      </w:r>
      <w:r>
        <w:rPr>
          <w:rtl w:val="0"/>
        </w:rPr>
        <w:t>ức phí đối với hồ sơ do</w:t>
      </w:r>
      <w:bookmarkEnd w:id="14"/>
      <w:r>
        <w:rPr>
          <w:rtl w:val="0"/>
        </w:rPr>
        <w:t xml:space="preserve"> </w:t>
      </w:r>
      <w:bookmarkStart w:id="15" w:name="cumtu_2_3"/>
      <w:r>
        <w:rPr>
          <w:rtl w:val="0"/>
        </w:rPr>
        <w:t>Sở Tài nguyên và môi trường</w:t>
      </w:r>
      <w:bookmarkEnd w:id="15"/>
      <w:r>
        <w:rPr>
          <w:rtl w:val="0"/>
        </w:rPr>
        <w:t xml:space="preserve"> </w:t>
      </w:r>
      <w:bookmarkStart w:id="16" w:name="khoan_2_3_name"/>
      <w:r>
        <w:rPr>
          <w:rtl w:val="0"/>
        </w:rPr>
        <w:t>thẩm định.</w:t>
      </w:r>
      <w:bookmarkEnd w:id="16"/>
    </w:p>
    <w:tbl>
      <w:tblPr>
        <w:jc w:val="left"/>
        <w:tblCellMar>
          <w:top w:w="0" w:type="dxa"/>
          <w:left w:w="0" w:type="dxa"/>
          <w:bottom w:w="0" w:type="dxa"/>
          <w:right w:w="0" w:type="dxa"/>
        </w:tblCellMar>
      </w:tblPr>
      <w:tblGrid>
        <w:gridCol w:w="1255"/>
        <w:gridCol w:w="4338"/>
        <w:gridCol w:w="3047"/>
      </w:tblGrid>
      <w:tr>
        <w:tblPrEx>
          <w:jc w:val="left"/>
          <w:tblCellMar>
            <w:top w:w="0" w:type="dxa"/>
            <w:left w:w="0" w:type="dxa"/>
            <w:bottom w:w="0" w:type="dxa"/>
            <w:right w:w="0" w:type="dxa"/>
          </w:tblCellMar>
        </w:tblPrEx>
        <w:trPr>
          <w:jc w:val="left"/>
        </w:trPr>
        <w:tc>
          <w:tcPr>
            <w:tcW w:w="1121" w:type="dxa"/>
            <w:tcBorders>
              <w:top w:val="single" w:sz="8" w:space="0" w:color="000000"/>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w:t>
            </w:r>
            <w:r>
              <w:rPr>
                <w:b/>
                <w:bCs/>
                <w:rtl w:val="0"/>
              </w:rPr>
              <w:t>ố tt</w:t>
            </w:r>
          </w:p>
        </w:tc>
        <w:tc>
          <w:tcPr>
            <w:tcW w:w="4472"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b/>
                <w:bCs/>
                <w:rtl w:val="0"/>
              </w:rPr>
              <w:t>S</w:t>
            </w:r>
            <w:r>
              <w:rPr>
                <w:b/>
                <w:bCs/>
                <w:rtl w:val="0"/>
              </w:rPr>
              <w:t>ố hoạt động dịch vụ đo đạc và bản đồ đề nghị cấp phép theo quy định</w:t>
            </w:r>
          </w:p>
        </w:tc>
        <w:tc>
          <w:tcPr>
            <w:tcW w:w="3040" w:type="dxa"/>
            <w:tcBorders>
              <w:top w:val="single" w:sz="8" w:space="0" w:color="000000"/>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120" w:afterAutospacing="0"/>
              <w:jc w:val="center"/>
            </w:pPr>
            <w:r>
              <w:rPr>
                <w:b/>
                <w:bCs/>
                <w:rtl w:val="0"/>
              </w:rPr>
              <w:t>M</w:t>
            </w:r>
            <w:r>
              <w:rPr>
                <w:b/>
                <w:bCs/>
                <w:rtl w:val="0"/>
              </w:rPr>
              <w:t>ức thu phí</w:t>
            </w:r>
          </w:p>
          <w:p>
            <w:pPr>
              <w:bidi w:val="0"/>
              <w:spacing w:after="0" w:afterAutospacing="0"/>
              <w:jc w:val="center"/>
              <w:rPr>
                <w:rtl w:val="0"/>
              </w:rPr>
            </w:pPr>
            <w:r>
              <w:rPr>
                <w:rtl w:val="0"/>
              </w:rPr>
              <w:t>(1.000 đ</w:t>
            </w:r>
            <w:r>
              <w:rPr>
                <w:rtl w:val="0"/>
              </w:rPr>
              <w:t>ồng/hồ sơ)</w:t>
            </w:r>
          </w:p>
        </w:tc>
      </w:tr>
      <w:tr>
        <w:tblPrEx>
          <w:jc w:val="left"/>
          <w:tblCellMar>
            <w:top w:w="0" w:type="dxa"/>
            <w:left w:w="0" w:type="dxa"/>
            <w:bottom w:w="0" w:type="dxa"/>
            <w:right w:w="0" w:type="dxa"/>
          </w:tblCellMar>
        </w:tblPrEx>
        <w:trPr>
          <w:jc w:val="left"/>
        </w:trPr>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1</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Dư</w:t>
            </w:r>
            <w:r>
              <w:rPr>
                <w:rtl w:val="0"/>
              </w:rPr>
              <w:t>ới 03</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4.090</w:t>
            </w:r>
          </w:p>
        </w:tc>
      </w:tr>
      <w:tr>
        <w:tblPrEx>
          <w:jc w:val="left"/>
          <w:tblCellMar>
            <w:top w:w="0" w:type="dxa"/>
            <w:left w:w="0" w:type="dxa"/>
            <w:bottom w:w="0" w:type="dxa"/>
            <w:right w:w="0" w:type="dxa"/>
          </w:tblCellMar>
        </w:tblPrEx>
        <w:trPr>
          <w:jc w:val="left"/>
        </w:trPr>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2</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03 đến 05</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5.540</w:t>
            </w:r>
          </w:p>
        </w:tc>
      </w:tr>
      <w:tr>
        <w:tblPrEx>
          <w:jc w:val="left"/>
          <w:tblCellMar>
            <w:top w:w="0" w:type="dxa"/>
            <w:left w:w="0" w:type="dxa"/>
            <w:bottom w:w="0" w:type="dxa"/>
            <w:right w:w="0" w:type="dxa"/>
          </w:tblCellMar>
        </w:tblPrEx>
        <w:trPr>
          <w:jc w:val="left"/>
        </w:trPr>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3</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06 đến 08</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6.030</w:t>
            </w:r>
          </w:p>
        </w:tc>
      </w:tr>
      <w:tr>
        <w:tblPrEx>
          <w:jc w:val="left"/>
          <w:tblCellMar>
            <w:top w:w="0" w:type="dxa"/>
            <w:left w:w="0" w:type="dxa"/>
            <w:bottom w:w="0" w:type="dxa"/>
            <w:right w:w="0" w:type="dxa"/>
          </w:tblCellMar>
        </w:tblPrEx>
        <w:trPr>
          <w:jc w:val="left"/>
        </w:trPr>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4</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09 đến 11</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6.510</w:t>
            </w:r>
          </w:p>
        </w:tc>
      </w:tr>
      <w:tr>
        <w:tblPrEx>
          <w:jc w:val="left"/>
          <w:tblCellMar>
            <w:top w:w="0" w:type="dxa"/>
            <w:left w:w="0" w:type="dxa"/>
            <w:bottom w:w="0" w:type="dxa"/>
            <w:right w:w="0" w:type="dxa"/>
          </w:tblCellMar>
        </w:tblPrEx>
        <w:trPr>
          <w:jc w:val="left"/>
        </w:trPr>
        <w:tc>
          <w:tcPr>
            <w:tcW w:w="1121" w:type="dxa"/>
            <w:tcBorders>
              <w:top w:val="nil"/>
              <w:left w:val="single" w:sz="8" w:space="0" w:color="000000"/>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color w:val="000000"/>
                <w:rtl w:val="0"/>
              </w:rPr>
              <w:t>5</w:t>
            </w:r>
          </w:p>
        </w:tc>
        <w:tc>
          <w:tcPr>
            <w:tcW w:w="4472"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pPr>
            <w:r>
              <w:rPr>
                <w:rtl w:val="0"/>
              </w:rPr>
              <w:t>T</w:t>
            </w:r>
            <w:r>
              <w:rPr>
                <w:rtl w:val="0"/>
              </w:rPr>
              <w:t>ừ 12 đến 14</w:t>
            </w:r>
          </w:p>
        </w:tc>
        <w:tc>
          <w:tcPr>
            <w:tcW w:w="3040" w:type="dxa"/>
            <w:tcBorders>
              <w:top w:val="nil"/>
              <w:left w:val="nil"/>
              <w:bottom w:val="single" w:sz="8" w:space="0" w:color="000000"/>
              <w:right w:val="single" w:sz="8" w:space="0" w:color="000000"/>
            </w:tcBorders>
            <w:shd w:val="solid" w:color="FFFFFF" w:fill="auto"/>
            <w:tcMar>
              <w:top w:w="0" w:type="dxa"/>
              <w:left w:w="108" w:type="dxa"/>
              <w:bottom w:w="0" w:type="dxa"/>
              <w:right w:w="108" w:type="dxa"/>
            </w:tcMar>
            <w:vAlign w:val="center"/>
          </w:tcPr>
          <w:p>
            <w:pPr>
              <w:bidi w:val="0"/>
              <w:spacing w:after="0" w:afterAutospacing="0"/>
              <w:jc w:val="center"/>
            </w:pPr>
            <w:r>
              <w:rPr>
                <w:color w:val="000000"/>
                <w:rtl w:val="0"/>
              </w:rPr>
              <w:t>7.000</w:t>
            </w:r>
          </w:p>
        </w:tc>
      </w:tr>
    </w:tbl>
    <w:p>
      <w:pPr>
        <w:bidi w:val="0"/>
        <w:spacing w:after="120" w:afterAutospacing="0"/>
      </w:pPr>
      <w:r>
        <w:rPr>
          <w:rtl w:val="0"/>
        </w:rPr>
        <w:t>3. Không thu phí th</w:t>
      </w:r>
      <w:r>
        <w:rPr>
          <w:rtl w:val="0"/>
        </w:rPr>
        <w:t>ẩm định đối với trường hợp cấp lại, gia hạn giấy phép hoạt động đo đạc và bản đồ.</w:t>
      </w:r>
    </w:p>
    <w:p>
      <w:pPr>
        <w:bidi w:val="0"/>
        <w:spacing w:after="120" w:afterAutospacing="0"/>
      </w:pPr>
      <w:bookmarkStart w:id="17" w:name="dieu_4"/>
      <w:r>
        <w:rPr>
          <w:b/>
          <w:bCs/>
          <w:rtl w:val="0"/>
        </w:rPr>
        <w:t>Điều 4. Kê khai, nộp phí</w:t>
      </w:r>
      <w:bookmarkEnd w:id="17"/>
    </w:p>
    <w:p>
      <w:pPr>
        <w:bidi w:val="0"/>
        <w:spacing w:after="120" w:afterAutospacing="0"/>
      </w:pPr>
      <w:r>
        <w:rPr>
          <w:rtl w:val="0"/>
        </w:rPr>
        <w:t>1. Ch</w:t>
      </w:r>
      <w:r>
        <w:rPr>
          <w:rtl w:val="0"/>
        </w:rPr>
        <w:t>ậm nhất là ngày 05 hàng tháng, tổ chức thu phí phải gửi số tiền phí đã thu của tháng trước vào tài khoản phí chờ nộp ngân sách mở tại Kho bạc nhà nước.</w:t>
      </w:r>
    </w:p>
    <w:p>
      <w:pPr>
        <w:bidi w:val="0"/>
        <w:spacing w:after="120" w:afterAutospacing="0"/>
      </w:pPr>
      <w:bookmarkStart w:id="18" w:name="khoan_2_4"/>
      <w:r>
        <w:rPr>
          <w:rtl w:val="0"/>
        </w:rPr>
        <w:t>2. Tổ chức thu phí thực hiện kê khai, nộp tiền phí thu được theo tháng, quyết toán theo năm theo hướng dẫn tại</w:t>
      </w:r>
      <w:bookmarkEnd w:id="18"/>
      <w:r>
        <w:rPr>
          <w:rtl w:val="0"/>
        </w:rPr>
        <w:t xml:space="preserve"> </w:t>
      </w:r>
      <w:bookmarkStart w:id="19" w:name="dc_2"/>
      <w:r>
        <w:rPr>
          <w:rtl w:val="0"/>
        </w:rPr>
        <w:t>khoản 3 Điều 19 và khoản 2 Điều 26 Thông tư số 156/2013/TT-BTC</w:t>
      </w:r>
      <w:bookmarkEnd w:id="19"/>
      <w:r>
        <w:rPr>
          <w:rtl w:val="0"/>
        </w:rPr>
        <w:t xml:space="preserve"> </w:t>
      </w:r>
      <w:bookmarkStart w:id="20" w:name="khoan_2_4_name"/>
      <w:r>
        <w:rPr>
          <w:rtl w:val="0"/>
        </w:rPr>
        <w:t>ngày 06 tháng 11 năm 2013 của Bộ Tài chính hướng dẫn thi hành một số điều của</w:t>
      </w:r>
      <w:bookmarkEnd w:id="20"/>
      <w:r>
        <w:rPr>
          <w:rtl w:val="0"/>
        </w:rPr>
        <w:t xml:space="preserve"> </w:t>
      </w:r>
      <w:bookmarkStart w:id="21" w:name="tvpllink_nwnhxlgimk"/>
      <w:r>
        <w:rPr>
          <w:rtl w:val="0"/>
        </w:rPr>
        <w:t>Luật quản lý thuế</w:t>
      </w:r>
      <w:bookmarkEnd w:id="21"/>
      <w:r>
        <w:rPr>
          <w:rtl w:val="0"/>
        </w:rPr>
        <w:t xml:space="preserve">; </w:t>
      </w:r>
      <w:bookmarkStart w:id="22" w:name="tvpllink_vlawjzmqvx"/>
      <w:r>
        <w:rPr>
          <w:rtl w:val="0"/>
        </w:rPr>
        <w:t>Luật sửa đổi, bổ sung một số điều của Luật quản lý thuế</w:t>
      </w:r>
      <w:bookmarkEnd w:id="22"/>
      <w:r>
        <w:rPr>
          <w:rtl w:val="0"/>
        </w:rPr>
        <w:t xml:space="preserve"> </w:t>
      </w:r>
      <w:bookmarkStart w:id="23" w:name="khoan_2_4_name_name"/>
      <w:r>
        <w:rPr>
          <w:rtl w:val="0"/>
        </w:rPr>
        <w:t>và Nghị định số</w:t>
      </w:r>
      <w:bookmarkEnd w:id="23"/>
      <w:r>
        <w:rPr>
          <w:rtl w:val="0"/>
        </w:rPr>
        <w:t xml:space="preserve"> </w:t>
      </w:r>
      <w:bookmarkStart w:id="24" w:name="tvpllink_pgjliddxwj"/>
      <w:r>
        <w:rPr>
          <w:rtl w:val="0"/>
        </w:rPr>
        <w:t>83/2013/NĐ-CP</w:t>
      </w:r>
      <w:bookmarkEnd w:id="24"/>
      <w:r>
        <w:rPr>
          <w:rtl w:val="0"/>
        </w:rPr>
        <w:t xml:space="preserve"> </w:t>
      </w:r>
      <w:bookmarkStart w:id="25" w:name="khoan_2_4_name_name_name"/>
      <w:r>
        <w:rPr>
          <w:rtl w:val="0"/>
        </w:rPr>
        <w:t>ngày 22 tháng 7 năm 2013 của Chính phủ; nộp số tiền thu được theo tỷ lệ quy định tại Điều 5 Thông tư này vào ngân sách nhà nước theo chương, mục, tiểu mục tương ứng của Mục lục ngân sách nhà nước.</w:t>
      </w:r>
      <w:bookmarkEnd w:id="25"/>
    </w:p>
    <w:p>
      <w:pPr>
        <w:bidi w:val="0"/>
        <w:spacing w:after="120" w:afterAutospacing="0"/>
      </w:pPr>
      <w:bookmarkStart w:id="26" w:name="dieu_5"/>
      <w:r>
        <w:rPr>
          <w:b/>
          <w:bCs/>
          <w:color w:val="000000"/>
          <w:rtl w:val="0"/>
        </w:rPr>
        <w:t>Điều 5. Quản lý và sử dụng phí</w:t>
      </w:r>
      <w:bookmarkEnd w:id="26"/>
    </w:p>
    <w:p>
      <w:pPr>
        <w:bidi w:val="0"/>
        <w:spacing w:after="120" w:afterAutospacing="0"/>
      </w:pPr>
      <w:r>
        <w:rPr>
          <w:rtl w:val="0"/>
        </w:rPr>
        <w:t>1. T</w:t>
      </w:r>
      <w:r>
        <w:rPr>
          <w:rtl w:val="0"/>
        </w:rPr>
        <w:t>ổ chức thu phí phải nộp 100% tiền phí thu được vào ngân sách nhà nước. Nguồn chi phí trang trải cho hoạt động thẩm định, thu phí do ngân sách nhà nước bố trí trong dự toán của tổ chức thu theo chế độ, định mức chi ngân sách nhà nước theo quy định của pháp luật.</w:t>
      </w:r>
    </w:p>
    <w:p>
      <w:pPr>
        <w:bidi w:val="0"/>
        <w:spacing w:after="120" w:afterAutospacing="0"/>
      </w:pPr>
      <w:r>
        <w:rPr>
          <w:rtl w:val="0"/>
        </w:rPr>
        <w:t>2. Trư</w:t>
      </w:r>
      <w:r>
        <w:rPr>
          <w:rtl w:val="0"/>
        </w:rPr>
        <w:t xml:space="preserve">ờng hợp tổ chức thu phí là cơ quan nhà nước thuộc diện được khoán chi phí hoạt động từ nguồn thu phí, theo quy định tại </w:t>
      </w:r>
      <w:bookmarkStart w:id="27" w:name="dc_3"/>
      <w:r>
        <w:rPr>
          <w:rtl w:val="0"/>
        </w:rPr>
        <w:t>khoản 1 Điều 4 Nghị định số 120/2016/NĐ-CP</w:t>
      </w:r>
      <w:bookmarkEnd w:id="27"/>
      <w:r>
        <w:rPr>
          <w:rtl w:val="0"/>
        </w:rPr>
        <w:t xml:space="preserve"> ngày 23 tháng 8 năm 2016 của Chính phủ quy định chi tiết và hướng dẫn thi hành một số điều của </w:t>
      </w:r>
      <w:bookmarkStart w:id="28" w:name="tvpllink_rxblirivoi_2"/>
      <w:r>
        <w:rPr>
          <w:rtl w:val="0"/>
        </w:rPr>
        <w:t>Luật phí và lệ phí</w:t>
      </w:r>
      <w:bookmarkEnd w:id="28"/>
      <w:r>
        <w:rPr>
          <w:rtl w:val="0"/>
        </w:rPr>
        <w:t xml:space="preserve"> thì được trích để lại 70% tổng số tiền phí thực thu được để trang trải chi phí hoạt động thẩm định, thu phí; nộp 30% tiền phí thu được vào ngân sách nhà nước. Số tiền được để lại được quản lý và sử dụng theo quy định tại </w:t>
      </w:r>
      <w:bookmarkStart w:id="29" w:name="dc_4"/>
      <w:r>
        <w:rPr>
          <w:rtl w:val="0"/>
        </w:rPr>
        <w:t>Điều 5 Nghị định số 120/2016/NĐ-CP</w:t>
      </w:r>
      <w:bookmarkEnd w:id="29"/>
      <w:r>
        <w:rPr>
          <w:rtl w:val="0"/>
        </w:rPr>
        <w:t xml:space="preserve"> ngày 23 tháng 8 năm 2016 của Chính phủ quy định chi tiết và hướng dẫn thi hành một số điều của </w:t>
      </w:r>
      <w:bookmarkStart w:id="30" w:name="tvpllink_rxblirivoi_3"/>
      <w:r>
        <w:rPr>
          <w:rtl w:val="0"/>
        </w:rPr>
        <w:t>Luật phí và lệ phí</w:t>
      </w:r>
      <w:bookmarkEnd w:id="30"/>
      <w:r>
        <w:rPr>
          <w:rtl w:val="0"/>
        </w:rPr>
        <w:t>.</w:t>
      </w:r>
    </w:p>
    <w:p>
      <w:pPr>
        <w:bidi w:val="0"/>
        <w:spacing w:after="120" w:afterAutospacing="0"/>
      </w:pPr>
      <w:bookmarkStart w:id="31" w:name="dieu_6"/>
      <w:r>
        <w:rPr>
          <w:b/>
          <w:bCs/>
          <w:rtl w:val="0"/>
        </w:rPr>
        <w:t>Điều 6. Điều khoản thi hành</w:t>
      </w:r>
      <w:bookmarkEnd w:id="31"/>
    </w:p>
    <w:p>
      <w:pPr>
        <w:bidi w:val="0"/>
        <w:spacing w:after="120" w:afterAutospacing="0"/>
      </w:pPr>
      <w:r>
        <w:rPr>
          <w:rtl w:val="0"/>
        </w:rPr>
        <w:t>1. Thông tư này có hi</w:t>
      </w:r>
      <w:r>
        <w:rPr>
          <w:rtl w:val="0"/>
        </w:rPr>
        <w:t>ệu lực thi hành kể từ ngày 8 tháng 6 năm 2017.</w:t>
      </w:r>
    </w:p>
    <w:p>
      <w:pPr>
        <w:bidi w:val="0"/>
        <w:spacing w:after="120" w:afterAutospacing="0"/>
      </w:pPr>
      <w:r>
        <w:rPr>
          <w:rtl w:val="0"/>
        </w:rPr>
        <w:t xml:space="preserve">2. Các nội dung khác liên quan đến thu, nộp, quản lý, sử dụng, chứng từ thu, công khai chế độ thu phí không đề cập tại Thông tư này được thực hiện theo quy định tại </w:t>
      </w:r>
      <w:bookmarkStart w:id="32" w:name="tvpllink_rxblirivoi_4"/>
      <w:r>
        <w:rPr>
          <w:rtl w:val="0"/>
        </w:rPr>
        <w:t>Luật phí và lệ phí</w:t>
      </w:r>
      <w:bookmarkEnd w:id="32"/>
      <w:r>
        <w:rPr>
          <w:rtl w:val="0"/>
        </w:rPr>
        <w:t xml:space="preserve">; Nghị định số </w:t>
      </w:r>
      <w:bookmarkStart w:id="33" w:name="tvpllink_celikjcwen_1"/>
      <w:r>
        <w:rPr>
          <w:rtl w:val="0"/>
        </w:rPr>
        <w:t>120/2016/NĐ-CP</w:t>
      </w:r>
      <w:bookmarkEnd w:id="33"/>
      <w:r>
        <w:rPr>
          <w:rtl w:val="0"/>
        </w:rPr>
        <w:t xml:space="preserve"> ngày 23 tháng 8 năm 2016 của Chính phủ quy định chi tiết và hướng dẫn thi hành một số điều của Luật phí và lệ phí; Thông tư số </w:t>
      </w:r>
      <w:bookmarkStart w:id="34" w:name="tvpllink_gkndkytbaz"/>
      <w:r>
        <w:rPr>
          <w:rtl w:val="0"/>
        </w:rPr>
        <w:t>156/2013/TT-BTC</w:t>
      </w:r>
      <w:bookmarkEnd w:id="34"/>
      <w:r>
        <w:rPr>
          <w:rtl w:val="0"/>
        </w:rPr>
        <w:t xml:space="preserve"> ngày 06 tháng 11 năm 2013 của Bộ trưởng Bộ Tài chính hướng dẫn thi hành một số điều của </w:t>
      </w:r>
      <w:bookmarkStart w:id="35" w:name="tvpllink_nwnhxlgimk_1"/>
      <w:r>
        <w:rPr>
          <w:rtl w:val="0"/>
        </w:rPr>
        <w:t>Luật quản lý thuế</w:t>
      </w:r>
      <w:bookmarkEnd w:id="35"/>
      <w:r>
        <w:rPr>
          <w:rtl w:val="0"/>
        </w:rPr>
        <w:t xml:space="preserve">; </w:t>
      </w:r>
      <w:bookmarkStart w:id="36" w:name="tvpllink_vlawjzmqvx_1"/>
      <w:r>
        <w:rPr>
          <w:rtl w:val="0"/>
        </w:rPr>
        <w:t>Luật sửa đổi, bổ sung một số điều của Luật quản lý thuế</w:t>
      </w:r>
      <w:bookmarkEnd w:id="36"/>
      <w:r>
        <w:rPr>
          <w:rtl w:val="0"/>
        </w:rPr>
        <w:t xml:space="preserve"> và Nghị định số </w:t>
      </w:r>
      <w:bookmarkStart w:id="37" w:name="tvpllink_pgjliddxwj_1"/>
      <w:r>
        <w:rPr>
          <w:rtl w:val="0"/>
        </w:rPr>
        <w:t>83/2013/NĐ-CP</w:t>
      </w:r>
      <w:bookmarkEnd w:id="37"/>
      <w:r>
        <w:rPr>
          <w:rtl w:val="0"/>
        </w:rPr>
        <w:t xml:space="preserve"> ngày 22 tháng 7 năm 2013 của Chính phủ; Thông tư số </w:t>
      </w:r>
      <w:bookmarkStart w:id="38" w:name="tvpllink_cmfsfuvgvs"/>
      <w:r>
        <w:rPr>
          <w:rtl w:val="0"/>
        </w:rPr>
        <w:t>303/2016/TT-BTC</w:t>
      </w:r>
      <w:bookmarkEnd w:id="38"/>
      <w:r>
        <w:rPr>
          <w:rtl w:val="0"/>
        </w:rPr>
        <w:t xml:space="preserve"> ngày 15 tháng 11 năm 2016 của Bộ trưởng Bộ Tài chính hướng dẫn việc in, phát hành, quản lý và sử dụng các loại chứng từ thu tiền phí, lệ phí thuộc ngân sách nhà nước và các văn bản sửa đổi, bổ sung hoặc thay thế (nếu có</w:t>
      </w:r>
      <w:r>
        <w:rPr>
          <w:rtl w:val="0"/>
        </w:rPr>
        <w:t>).</w:t>
      </w:r>
    </w:p>
    <w:p>
      <w:pPr>
        <w:bidi w:val="0"/>
        <w:spacing w:after="120" w:afterAutospacing="0"/>
      </w:pPr>
      <w:r>
        <w:rPr>
          <w:rtl w:val="0"/>
        </w:rPr>
        <w:t>3. Trong quá trình th</w:t>
      </w:r>
      <w:r>
        <w:rPr>
          <w:rtl w:val="0"/>
        </w:rPr>
        <w:t>ực hiện, nếu có vướng mắc đề nghị các tổ chức, cá nhân phản ánh kịp thời về Bộ Tài chính để nghiên cứu, hướng dẫn bổ sung./.</w:t>
      </w:r>
    </w:p>
    <w:p>
      <w:pPr>
        <w:bidi w:val="0"/>
        <w:spacing w:after="120" w:afterAutospacing="0"/>
      </w:pPr>
      <w:r>
        <w:rPr>
          <w:rtl w:val="0"/>
        </w:rPr>
        <w:t> </w:t>
      </w:r>
    </w:p>
    <w:tbl>
      <w:tblPr>
        <w:jc w:val="left"/>
        <w:tblCellMar>
          <w:top w:w="0" w:type="dxa"/>
          <w:left w:w="0" w:type="dxa"/>
          <w:bottom w:w="0" w:type="dxa"/>
          <w:right w:w="0" w:type="dxa"/>
        </w:tblCellMar>
      </w:tblPr>
      <w:tblGrid>
        <w:gridCol w:w="4717"/>
        <w:gridCol w:w="3923"/>
      </w:tblGrid>
      <w:tr>
        <w:tblPrEx>
          <w:jc w:val="left"/>
          <w:tblCellMar>
            <w:top w:w="0" w:type="dxa"/>
            <w:left w:w="0" w:type="dxa"/>
            <w:bottom w:w="0" w:type="dxa"/>
            <w:right w:w="0" w:type="dxa"/>
          </w:tblCellMar>
        </w:tblPrEx>
        <w:trPr>
          <w:trHeight w:val="1"/>
          <w:jc w:val="left"/>
        </w:trPr>
        <w:tc>
          <w:tcPr>
            <w:tcW w:w="4968" w:type="dxa"/>
            <w:shd w:val="solid" w:color="FFFFFF" w:fill="auto"/>
            <w:tcMar>
              <w:top w:w="0" w:type="dxa"/>
              <w:left w:w="108" w:type="dxa"/>
              <w:bottom w:w="0" w:type="dxa"/>
              <w:right w:w="108" w:type="dxa"/>
            </w:tcMar>
          </w:tcPr>
          <w:p>
            <w:pPr>
              <w:bidi w:val="0"/>
              <w:spacing w:after="120" w:afterAutospacing="0"/>
            </w:pPr>
            <w:r>
              <w:rPr>
                <w:b/>
                <w:bCs/>
                <w:i/>
                <w:iCs/>
                <w:sz w:val="16"/>
                <w:rtl w:val="0"/>
              </w:rPr>
              <w:t> </w:t>
            </w:r>
          </w:p>
          <w:p>
            <w:pPr>
              <w:bidi w:val="0"/>
              <w:spacing w:after="0" w:afterAutospacing="0"/>
              <w:rPr>
                <w:rtl w:val="0"/>
              </w:rPr>
            </w:pPr>
            <w:r>
              <w:rPr>
                <w:b/>
                <w:bCs/>
                <w:i/>
                <w:iCs/>
                <w:rtl w:val="0"/>
              </w:rPr>
              <w:t>Nơi nh</w:t>
            </w:r>
            <w:r>
              <w:rPr>
                <w:b/>
                <w:bCs/>
                <w:i/>
                <w:iCs/>
                <w:rtl w:val="0"/>
              </w:rPr>
              <w:t>ận:</w:t>
            </w:r>
            <w:r>
              <w:rPr>
                <w:b/>
                <w:bCs/>
                <w:i/>
                <w:iCs/>
                <w:rtl w:val="0"/>
              </w:rPr>
              <w:br/>
            </w:r>
            <w:r>
              <w:rPr>
                <w:sz w:val="16"/>
                <w:rtl w:val="0"/>
              </w:rPr>
              <w:t>- Văn phòng Trung ương và các Ban c</w:t>
            </w:r>
            <w:r>
              <w:rPr>
                <w:sz w:val="16"/>
                <w:rtl w:val="0"/>
              </w:rPr>
              <w:t>ủa Đảng;</w:t>
            </w:r>
            <w:r>
              <w:rPr>
                <w:sz w:val="16"/>
                <w:rtl w:val="0"/>
              </w:rPr>
              <w:br/>
            </w:r>
            <w:r>
              <w:rPr>
                <w:sz w:val="16"/>
                <w:rtl w:val="0"/>
              </w:rPr>
              <w:t>- Văn phòng T</w:t>
            </w:r>
            <w:r>
              <w:rPr>
                <w:sz w:val="16"/>
                <w:rtl w:val="0"/>
              </w:rPr>
              <w:t>ổng Bí thư;</w:t>
            </w:r>
            <w:r>
              <w:rPr>
                <w:sz w:val="16"/>
                <w:rtl w:val="0"/>
              </w:rPr>
              <w:br/>
            </w:r>
            <w:r>
              <w:rPr>
                <w:sz w:val="16"/>
                <w:rtl w:val="0"/>
              </w:rPr>
              <w:t>- Văn phòng Qu</w:t>
            </w:r>
            <w:r>
              <w:rPr>
                <w:sz w:val="16"/>
                <w:rtl w:val="0"/>
              </w:rPr>
              <w:t>ốc hội;</w:t>
            </w:r>
            <w:r>
              <w:rPr>
                <w:sz w:val="16"/>
                <w:rtl w:val="0"/>
              </w:rPr>
              <w:br/>
            </w:r>
            <w:r>
              <w:rPr>
                <w:sz w:val="16"/>
                <w:rtl w:val="0"/>
              </w:rPr>
              <w:t>- Văn phòng Ch</w:t>
            </w:r>
            <w:r>
              <w:rPr>
                <w:sz w:val="16"/>
                <w:rtl w:val="0"/>
              </w:rPr>
              <w:t>ủ tịch nước;</w:t>
            </w:r>
            <w:r>
              <w:rPr>
                <w:sz w:val="16"/>
                <w:rtl w:val="0"/>
              </w:rPr>
              <w:br/>
            </w:r>
            <w:r>
              <w:rPr>
                <w:sz w:val="16"/>
                <w:rtl w:val="0"/>
              </w:rPr>
              <w:t>- Vi</w:t>
            </w:r>
            <w:r>
              <w:rPr>
                <w:sz w:val="16"/>
                <w:rtl w:val="0"/>
              </w:rPr>
              <w:t>ện Kiểm sát nhân dân tối cao;</w:t>
            </w:r>
            <w:r>
              <w:rPr>
                <w:sz w:val="16"/>
                <w:rtl w:val="0"/>
              </w:rPr>
              <w:br/>
            </w:r>
            <w:r>
              <w:rPr>
                <w:sz w:val="16"/>
                <w:rtl w:val="0"/>
              </w:rPr>
              <w:t>- Toà án nhân dân t</w:t>
            </w:r>
            <w:r>
              <w:rPr>
                <w:sz w:val="16"/>
                <w:rtl w:val="0"/>
              </w:rPr>
              <w:t>ối cao;</w:t>
            </w:r>
            <w:r>
              <w:rPr>
                <w:sz w:val="16"/>
                <w:rtl w:val="0"/>
              </w:rPr>
              <w:br/>
            </w:r>
            <w:r>
              <w:rPr>
                <w:sz w:val="16"/>
                <w:rtl w:val="0"/>
              </w:rPr>
              <w:t>- Ki</w:t>
            </w:r>
            <w:r>
              <w:rPr>
                <w:sz w:val="16"/>
                <w:rtl w:val="0"/>
              </w:rPr>
              <w:t>ểm toán nhà nước;</w:t>
            </w:r>
            <w:r>
              <w:rPr>
                <w:sz w:val="16"/>
                <w:rtl w:val="0"/>
              </w:rPr>
              <w:br/>
            </w:r>
            <w:r>
              <w:rPr>
                <w:sz w:val="16"/>
                <w:rtl w:val="0"/>
              </w:rPr>
              <w:t>- Các B</w:t>
            </w:r>
            <w:r>
              <w:rPr>
                <w:sz w:val="16"/>
                <w:rtl w:val="0"/>
              </w:rPr>
              <w:t>ộ, cơ quan ngang Bộ, cơ quan thuộc Chính phủ;</w:t>
            </w:r>
            <w:r>
              <w:rPr>
                <w:sz w:val="16"/>
                <w:rtl w:val="0"/>
              </w:rPr>
              <w:br/>
            </w:r>
            <w:r>
              <w:rPr>
                <w:sz w:val="16"/>
                <w:rtl w:val="0"/>
              </w:rPr>
              <w:t>- Cơ quan Trung ương c</w:t>
            </w:r>
            <w:r>
              <w:rPr>
                <w:sz w:val="16"/>
                <w:rtl w:val="0"/>
              </w:rPr>
              <w:t>ủa các đoàn thể;</w:t>
            </w:r>
            <w:r>
              <w:rPr>
                <w:sz w:val="16"/>
                <w:rtl w:val="0"/>
              </w:rPr>
              <w:br/>
            </w:r>
            <w:r>
              <w:rPr>
                <w:sz w:val="16"/>
                <w:rtl w:val="0"/>
              </w:rPr>
              <w:t>- UBND, S</w:t>
            </w:r>
            <w:r>
              <w:rPr>
                <w:sz w:val="16"/>
                <w:rtl w:val="0"/>
              </w:rPr>
              <w:t>ở Tài chính, Cục Thuế, Kho bạc Nhà nước, Sở TN&amp;MT các tỉnh, thành phố trực thuộc Trung ương;</w:t>
            </w:r>
            <w:r>
              <w:rPr>
                <w:sz w:val="16"/>
                <w:rtl w:val="0"/>
              </w:rPr>
              <w:br/>
            </w:r>
            <w:r>
              <w:rPr>
                <w:sz w:val="16"/>
                <w:rtl w:val="0"/>
              </w:rPr>
              <w:t>- Công báo;</w:t>
            </w:r>
            <w:r>
              <w:rPr>
                <w:sz w:val="16"/>
                <w:rtl w:val="0"/>
              </w:rPr>
              <w:br/>
            </w:r>
            <w:r>
              <w:rPr>
                <w:sz w:val="16"/>
                <w:rtl w:val="0"/>
              </w:rPr>
              <w:t>- Website chính ph</w:t>
            </w:r>
            <w:r>
              <w:rPr>
                <w:sz w:val="16"/>
                <w:rtl w:val="0"/>
              </w:rPr>
              <w:t>ủ;</w:t>
            </w:r>
            <w:r>
              <w:rPr>
                <w:sz w:val="16"/>
                <w:rtl w:val="0"/>
              </w:rPr>
              <w:br/>
            </w:r>
            <w:r>
              <w:rPr>
                <w:sz w:val="16"/>
                <w:rtl w:val="0"/>
              </w:rPr>
              <w:t>- C</w:t>
            </w:r>
            <w:r>
              <w:rPr>
                <w:sz w:val="16"/>
                <w:rtl w:val="0"/>
              </w:rPr>
              <w:t>ục Kiểm tra văn bản (Bộ Tư pháp);</w:t>
            </w:r>
            <w:r>
              <w:rPr>
                <w:sz w:val="16"/>
                <w:rtl w:val="0"/>
              </w:rPr>
              <w:br/>
            </w:r>
            <w:r>
              <w:rPr>
                <w:sz w:val="16"/>
                <w:rtl w:val="0"/>
              </w:rPr>
              <w:t>- Các đơn v</w:t>
            </w:r>
            <w:r>
              <w:rPr>
                <w:sz w:val="16"/>
                <w:rtl w:val="0"/>
              </w:rPr>
              <w:t>ị thuộc Bộ Tài chính;</w:t>
            </w:r>
            <w:r>
              <w:rPr>
                <w:sz w:val="16"/>
                <w:rtl w:val="0"/>
              </w:rPr>
              <w:br/>
            </w:r>
            <w:r>
              <w:rPr>
                <w:sz w:val="16"/>
                <w:rtl w:val="0"/>
              </w:rPr>
              <w:t>- Website B</w:t>
            </w:r>
            <w:r>
              <w:rPr>
                <w:sz w:val="16"/>
                <w:rtl w:val="0"/>
              </w:rPr>
              <w:t>ộ Tài chính;</w:t>
            </w:r>
            <w:r>
              <w:rPr>
                <w:sz w:val="16"/>
                <w:rtl w:val="0"/>
              </w:rPr>
              <w:br/>
            </w:r>
            <w:r>
              <w:rPr>
                <w:sz w:val="16"/>
                <w:rtl w:val="0"/>
              </w:rPr>
              <w:t>- Lưu: VT, CST (CST5).400</w:t>
            </w:r>
          </w:p>
        </w:tc>
        <w:tc>
          <w:tcPr>
            <w:tcW w:w="4036" w:type="dxa"/>
            <w:shd w:val="solid" w:color="FFFFFF" w:fill="auto"/>
            <w:tcMar>
              <w:top w:w="0" w:type="dxa"/>
              <w:left w:w="108" w:type="dxa"/>
              <w:bottom w:w="0" w:type="dxa"/>
              <w:right w:w="108" w:type="dxa"/>
            </w:tcMar>
          </w:tcPr>
          <w:p>
            <w:pPr>
              <w:bidi w:val="0"/>
              <w:spacing w:after="0" w:afterAutospacing="0"/>
              <w:jc w:val="center"/>
            </w:pPr>
            <w:r>
              <w:rPr>
                <w:b/>
                <w:bCs/>
                <w:rtl w:val="0"/>
              </w:rPr>
              <w:t>KT. B</w:t>
            </w:r>
            <w:r>
              <w:rPr>
                <w:b/>
                <w:bCs/>
                <w:rtl w:val="0"/>
              </w:rPr>
              <w:t>Ộ TRƯỞNG</w:t>
            </w:r>
            <w:r>
              <w:rPr>
                <w:b/>
                <w:bCs/>
                <w:rtl w:val="0"/>
              </w:rPr>
              <w:br/>
            </w:r>
            <w:r>
              <w:rPr>
                <w:b/>
                <w:bCs/>
                <w:rtl w:val="0"/>
              </w:rPr>
              <w:t>TH</w:t>
            </w:r>
            <w:r>
              <w:rPr>
                <w:b/>
                <w:bCs/>
                <w:rtl w:val="0"/>
              </w:rPr>
              <w:t>Ứ TRƯỞNG</w:t>
            </w:r>
            <w:r>
              <w:rPr>
                <w:b/>
                <w:bCs/>
                <w:rtl w:val="0"/>
              </w:rPr>
              <w:br/>
            </w:r>
            <w:r>
              <w:rPr>
                <w:b/>
                <w:bCs/>
                <w:rtl w:val="0"/>
              </w:rPr>
              <w:br/>
            </w:r>
            <w:r>
              <w:rPr>
                <w:b/>
                <w:bCs/>
                <w:rtl w:val="0"/>
              </w:rPr>
              <w:br/>
            </w:r>
            <w:r>
              <w:rPr>
                <w:b/>
                <w:bCs/>
                <w:rtl w:val="0"/>
              </w:rPr>
              <w:br/>
            </w:r>
            <w:r>
              <w:rPr>
                <w:b/>
                <w:bCs/>
                <w:rtl w:val="0"/>
              </w:rPr>
              <w:br/>
            </w:r>
            <w:r>
              <w:rPr>
                <w:b/>
                <w:bCs/>
                <w:rtl w:val="0"/>
              </w:rPr>
              <w:t>Vũ Th</w:t>
            </w:r>
            <w:r>
              <w:rPr>
                <w:b/>
                <w:bCs/>
                <w:rtl w:val="0"/>
              </w:rPr>
              <w:t>ị Mai</w:t>
            </w:r>
          </w:p>
        </w:tc>
      </w:tr>
    </w:tbl>
    <w:p>
      <w:pPr>
        <w:bidi w:val="0"/>
        <w:spacing w:after="120" w:afterAutospacing="0"/>
      </w:pPr>
      <w:r>
        <w:rPr>
          <w:rtl w:val="0"/>
        </w:rPr>
        <w:t> </w:t>
      </w:r>
    </w:p>
    <w:p>
      <w:pPr>
        <w:bidi w:val="0"/>
        <w:spacing w:after="280" w:afterAutospacing="1"/>
      </w:pPr>
      <w:r>
        <w:rPr>
          <w:b/>
          <w:bCs/>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