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20B37D">
      <w:pPr>
        <w:jc w:val="center"/>
        <w:rPr>
          <w:b/>
          <w:sz w:val="52"/>
          <w:szCs w:val="52"/>
        </w:rPr>
      </w:pPr>
    </w:p>
    <w:p w14:paraId="195F8F23">
      <w:pPr>
        <w:jc w:val="center"/>
        <w:rPr>
          <w:b/>
          <w:sz w:val="52"/>
          <w:szCs w:val="52"/>
        </w:rPr>
      </w:pPr>
    </w:p>
    <w:p w14:paraId="3ED22920">
      <w:pPr>
        <w:jc w:val="center"/>
        <w:rPr>
          <w:b/>
          <w:sz w:val="52"/>
          <w:szCs w:val="52"/>
        </w:rPr>
      </w:pPr>
    </w:p>
    <w:p w14:paraId="7CA77E14">
      <w:pPr>
        <w:jc w:val="center"/>
        <w:rPr>
          <w:rFonts w:hint="eastAsia"/>
          <w:sz w:val="72"/>
          <w:szCs w:val="72"/>
        </w:rPr>
      </w:pPr>
      <w:r>
        <w:rPr>
          <w:b/>
          <w:sz w:val="72"/>
          <w:szCs w:val="72"/>
        </w:rPr>
        <w:t>樱 动 东 庄</w:t>
      </w:r>
    </w:p>
    <w:p w14:paraId="409CBA4E">
      <w:pPr>
        <w:jc w:val="center"/>
        <w:rPr>
          <w:rFonts w:hint="eastAsia"/>
          <w:sz w:val="28"/>
          <w:szCs w:val="28"/>
        </w:rPr>
      </w:pPr>
      <w:r>
        <w:rPr>
          <w:sz w:val="28"/>
          <w:szCs w:val="28"/>
        </w:rPr>
        <w:t>——杨家东庄村"樱桃品牌×骑行引流×三产融合"乡村振兴实施方案</w:t>
      </w:r>
    </w:p>
    <w:p w14:paraId="57A411AF">
      <w:pPr>
        <w:jc w:val="center"/>
        <w:rPr>
          <w:rFonts w:hint="eastAsia"/>
        </w:rPr>
      </w:pPr>
    </w:p>
    <w:p w14:paraId="4C474E20">
      <w:pPr>
        <w:jc w:val="center"/>
        <w:rPr>
          <w:rFonts w:hint="eastAsia"/>
          <w:sz w:val="30"/>
          <w:szCs w:val="30"/>
        </w:rPr>
      </w:pPr>
      <w:r>
        <w:rPr>
          <w:sz w:val="30"/>
          <w:szCs w:val="30"/>
        </w:rPr>
        <w:t>参赛类别：乡村振兴专项</w:t>
      </w:r>
    </w:p>
    <w:p w14:paraId="668CFC83">
      <w:pPr>
        <w:jc w:val="center"/>
        <w:rPr>
          <w:rFonts w:hint="eastAsia"/>
          <w:sz w:val="30"/>
          <w:szCs w:val="30"/>
        </w:rPr>
      </w:pPr>
      <w:r>
        <w:rPr>
          <w:sz w:val="30"/>
          <w:szCs w:val="30"/>
        </w:rPr>
        <w:t>参赛学校：[匿名]</w:t>
      </w:r>
      <w:bookmarkStart w:id="193" w:name="_GoBack"/>
      <w:bookmarkEnd w:id="193"/>
    </w:p>
    <w:p w14:paraId="49C01417">
      <w:pPr>
        <w:jc w:val="center"/>
        <w:rPr>
          <w:rFonts w:hint="eastAsia"/>
          <w:sz w:val="30"/>
          <w:szCs w:val="30"/>
        </w:rPr>
      </w:pPr>
      <w:r>
        <w:rPr>
          <w:sz w:val="30"/>
          <w:szCs w:val="30"/>
        </w:rPr>
        <w:t>团队名称：[匿名]</w:t>
      </w:r>
    </w:p>
    <w:p w14:paraId="68CFA2C6">
      <w:pPr>
        <w:jc w:val="center"/>
        <w:rPr>
          <w:rFonts w:hint="eastAsia"/>
          <w:sz w:val="30"/>
          <w:szCs w:val="30"/>
        </w:rPr>
      </w:pPr>
      <w:r>
        <w:rPr>
          <w:sz w:val="30"/>
          <w:szCs w:val="30"/>
        </w:rPr>
        <w:t>指导老师：[匿名]</w:t>
      </w:r>
    </w:p>
    <w:p w14:paraId="037802A4">
      <w:pPr>
        <w:pStyle w:val="2"/>
        <w:bidi w:val="0"/>
        <w:rPr>
          <w:szCs w:val="30"/>
        </w:rPr>
      </w:pPr>
      <w:r>
        <w:rPr>
          <w:szCs w:val="30"/>
        </w:rPr>
        <w:br w:type="page"/>
      </w:r>
    </w:p>
    <w:sdt>
      <w:sdtPr>
        <w:rPr>
          <w:rFonts w:ascii="宋体" w:hAnsi="宋体" w:eastAsia="宋体" w:cstheme="minorBidi"/>
          <w:kern w:val="2"/>
          <w:sz w:val="21"/>
          <w:szCs w:val="24"/>
          <w:lang w:val="en-US" w:eastAsia="zh-CN" w:bidi="ar-SA"/>
          <w14:ligatures w14:val="standardContextual"/>
        </w:rPr>
        <w:id w:val="147461059"/>
        <w15:color w:val="DBDBDB"/>
        <w:docPartObj>
          <w:docPartGallery w:val="Table of Contents"/>
          <w:docPartUnique/>
        </w:docPartObj>
      </w:sdtPr>
      <w:sdtEndPr>
        <w:rPr>
          <w:rFonts w:hint="eastAsia" w:ascii="宋体" w:hAnsi="宋体" w:eastAsia="宋体" w:cs="宋体"/>
          <w:b/>
          <w:kern w:val="44"/>
          <w:sz w:val="24"/>
          <w:szCs w:val="24"/>
          <w:lang w:val="en-US" w:eastAsia="zh-CN" w:bidi="ar-SA"/>
          <w14:ligatures w14:val="standardContextual"/>
        </w:rPr>
      </w:sdtEndPr>
      <w:sdtContent>
        <w:p w14:paraId="0FBDEB62">
          <w:pPr>
            <w:spacing w:before="0" w:beforeLines="0" w:after="0" w:afterLines="0" w:line="240" w:lineRule="auto"/>
            <w:ind w:left="0" w:leftChars="0" w:right="0" w:rightChars="0" w:firstLine="0" w:firstLineChars="0"/>
            <w:jc w:val="center"/>
            <w:rPr>
              <w:rFonts w:hint="eastAsia" w:ascii="宋体" w:hAnsi="宋体" w:eastAsia="宋体" w:cs="宋体"/>
              <w:b/>
              <w:bCs/>
              <w:sz w:val="44"/>
              <w:szCs w:val="44"/>
            </w:rPr>
          </w:pPr>
          <w:r>
            <w:rPr>
              <w:rFonts w:hint="eastAsia" w:ascii="宋体" w:hAnsi="宋体" w:eastAsia="宋体" w:cs="宋体"/>
              <w:b/>
              <w:bCs/>
              <w:sz w:val="44"/>
              <w:szCs w:val="44"/>
            </w:rPr>
            <w:t>目录</w:t>
          </w:r>
        </w:p>
        <w:p w14:paraId="71A578C8">
          <w:pPr>
            <w:pStyle w:val="11"/>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_Toc696 </w:instrText>
          </w:r>
          <w:r>
            <w:rPr>
              <w:rFonts w:hint="eastAsia" w:ascii="黑体" w:hAnsi="黑体" w:eastAsia="黑体" w:cs="黑体"/>
              <w:sz w:val="28"/>
              <w:szCs w:val="28"/>
            </w:rPr>
            <w:fldChar w:fldCharType="separate"/>
          </w:r>
          <w:r>
            <w:rPr>
              <w:rFonts w:hint="eastAsia" w:ascii="黑体" w:hAnsi="黑体" w:eastAsia="黑体" w:cs="黑体"/>
              <w:sz w:val="28"/>
              <w:szCs w:val="28"/>
            </w:rPr>
            <w:t>第一章  项目摘要</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_Toc696 \h </w:instrText>
          </w:r>
          <w:r>
            <w:rPr>
              <w:rFonts w:hint="eastAsia" w:ascii="黑体" w:hAnsi="黑体" w:eastAsia="黑体" w:cs="黑体"/>
              <w:sz w:val="28"/>
              <w:szCs w:val="28"/>
            </w:rPr>
            <w:fldChar w:fldCharType="separate"/>
          </w:r>
          <w:r>
            <w:rPr>
              <w:rFonts w:hint="eastAsia" w:ascii="黑体" w:hAnsi="黑体" w:eastAsia="黑体" w:cs="黑体"/>
              <w:sz w:val="28"/>
              <w:szCs w:val="28"/>
            </w:rPr>
            <w:t>8</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48DB0724">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_Toc25439 </w:instrText>
          </w:r>
          <w:r>
            <w:rPr>
              <w:rFonts w:hint="eastAsia" w:ascii="宋体" w:hAnsi="宋体" w:eastAsia="宋体" w:cs="宋体"/>
              <w:sz w:val="21"/>
              <w:szCs w:val="21"/>
            </w:rPr>
            <w:fldChar w:fldCharType="separate"/>
          </w:r>
          <w:r>
            <w:rPr>
              <w:rFonts w:hint="eastAsia" w:ascii="宋体" w:hAnsi="宋体" w:eastAsia="宋体" w:cs="宋体"/>
              <w:sz w:val="21"/>
              <w:szCs w:val="21"/>
            </w:rPr>
            <w:t>1.1  项目概述</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_Toc25439 \h </w:instrText>
          </w:r>
          <w:r>
            <w:rPr>
              <w:rFonts w:hint="eastAsia" w:ascii="宋体" w:hAnsi="宋体" w:eastAsia="宋体" w:cs="宋体"/>
              <w:sz w:val="21"/>
              <w:szCs w:val="21"/>
            </w:rPr>
            <w:fldChar w:fldCharType="separate"/>
          </w:r>
          <w:r>
            <w:rPr>
              <w:rFonts w:hint="eastAsia" w:ascii="宋体" w:hAnsi="宋体" w:eastAsia="宋体" w:cs="宋体"/>
              <w:sz w:val="21"/>
              <w:szCs w:val="21"/>
            </w:rPr>
            <w:t>8</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AB664FB">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_Toc24967 </w:instrText>
          </w:r>
          <w:r>
            <w:rPr>
              <w:rFonts w:hint="eastAsia" w:ascii="宋体" w:hAnsi="宋体" w:eastAsia="宋体" w:cs="宋体"/>
              <w:sz w:val="21"/>
              <w:szCs w:val="21"/>
            </w:rPr>
            <w:fldChar w:fldCharType="separate"/>
          </w:r>
          <w:r>
            <w:rPr>
              <w:rFonts w:hint="eastAsia" w:ascii="宋体" w:hAnsi="宋体" w:eastAsia="宋体" w:cs="宋体"/>
              <w:sz w:val="21"/>
              <w:szCs w:val="21"/>
            </w:rPr>
            <w:t>1.2  项目背景</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_Toc24967 \h </w:instrText>
          </w:r>
          <w:r>
            <w:rPr>
              <w:rFonts w:hint="eastAsia" w:ascii="宋体" w:hAnsi="宋体" w:eastAsia="宋体" w:cs="宋体"/>
              <w:sz w:val="21"/>
              <w:szCs w:val="21"/>
            </w:rPr>
            <w:fldChar w:fldCharType="separate"/>
          </w:r>
          <w:r>
            <w:rPr>
              <w:rFonts w:hint="eastAsia" w:ascii="宋体" w:hAnsi="宋体" w:eastAsia="宋体" w:cs="宋体"/>
              <w:sz w:val="21"/>
              <w:szCs w:val="21"/>
            </w:rPr>
            <w:t>9</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360F37EF">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_Toc29736 </w:instrText>
          </w:r>
          <w:r>
            <w:rPr>
              <w:rFonts w:hint="eastAsia" w:ascii="宋体" w:hAnsi="宋体" w:eastAsia="宋体" w:cs="宋体"/>
              <w:sz w:val="21"/>
              <w:szCs w:val="21"/>
            </w:rPr>
            <w:fldChar w:fldCharType="separate"/>
          </w:r>
          <w:r>
            <w:rPr>
              <w:rFonts w:hint="eastAsia" w:ascii="宋体" w:hAnsi="宋体" w:eastAsia="宋体" w:cs="宋体"/>
              <w:sz w:val="21"/>
              <w:szCs w:val="21"/>
            </w:rPr>
            <w:t>1.2.1宏观政策</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_Toc29736 \h </w:instrText>
          </w:r>
          <w:r>
            <w:rPr>
              <w:rFonts w:hint="eastAsia" w:ascii="宋体" w:hAnsi="宋体" w:eastAsia="宋体" w:cs="宋体"/>
              <w:sz w:val="21"/>
              <w:szCs w:val="21"/>
            </w:rPr>
            <w:fldChar w:fldCharType="separate"/>
          </w:r>
          <w:r>
            <w:rPr>
              <w:rFonts w:hint="eastAsia" w:ascii="宋体" w:hAnsi="宋体" w:eastAsia="宋体" w:cs="宋体"/>
              <w:sz w:val="21"/>
              <w:szCs w:val="21"/>
            </w:rPr>
            <w:t>9</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38BBF72B">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_Toc3238 </w:instrText>
          </w:r>
          <w:r>
            <w:rPr>
              <w:rFonts w:hint="eastAsia" w:ascii="宋体" w:hAnsi="宋体" w:eastAsia="宋体" w:cs="宋体"/>
              <w:sz w:val="21"/>
              <w:szCs w:val="21"/>
            </w:rPr>
            <w:fldChar w:fldCharType="separate"/>
          </w:r>
          <w:r>
            <w:rPr>
              <w:rFonts w:hint="eastAsia" w:ascii="宋体" w:hAnsi="宋体" w:eastAsia="宋体" w:cs="宋体"/>
              <w:sz w:val="21"/>
              <w:szCs w:val="21"/>
            </w:rPr>
            <w:t>1.2.2村庄发展困境</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_Toc3238 \h </w:instrText>
          </w:r>
          <w:r>
            <w:rPr>
              <w:rFonts w:hint="eastAsia" w:ascii="宋体" w:hAnsi="宋体" w:eastAsia="宋体" w:cs="宋体"/>
              <w:sz w:val="21"/>
              <w:szCs w:val="21"/>
            </w:rPr>
            <w:fldChar w:fldCharType="separate"/>
          </w:r>
          <w:r>
            <w:rPr>
              <w:rFonts w:hint="eastAsia" w:ascii="宋体" w:hAnsi="宋体" w:eastAsia="宋体" w:cs="宋体"/>
              <w:sz w:val="21"/>
              <w:szCs w:val="21"/>
            </w:rPr>
            <w:t>10</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38A93602">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_Toc11001 </w:instrText>
          </w:r>
          <w:r>
            <w:rPr>
              <w:rFonts w:hint="eastAsia" w:ascii="宋体" w:hAnsi="宋体" w:eastAsia="宋体" w:cs="宋体"/>
              <w:sz w:val="21"/>
              <w:szCs w:val="21"/>
            </w:rPr>
            <w:fldChar w:fldCharType="separate"/>
          </w:r>
          <w:r>
            <w:rPr>
              <w:rFonts w:hint="eastAsia" w:ascii="宋体" w:hAnsi="宋体" w:eastAsia="宋体" w:cs="宋体"/>
              <w:sz w:val="21"/>
              <w:szCs w:val="21"/>
            </w:rPr>
            <w:t>1.2.3 "挑战杯"赛制背景与出题方需求</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_Toc11001 \h </w:instrText>
          </w:r>
          <w:r>
            <w:rPr>
              <w:rFonts w:hint="eastAsia" w:ascii="宋体" w:hAnsi="宋体" w:eastAsia="宋体" w:cs="宋体"/>
              <w:sz w:val="21"/>
              <w:szCs w:val="21"/>
            </w:rPr>
            <w:fldChar w:fldCharType="separate"/>
          </w:r>
          <w:r>
            <w:rPr>
              <w:rFonts w:hint="eastAsia" w:ascii="宋体" w:hAnsi="宋体" w:eastAsia="宋体" w:cs="宋体"/>
              <w:sz w:val="21"/>
              <w:szCs w:val="21"/>
            </w:rPr>
            <w:t>10</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4B7B0375">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_Toc19917 </w:instrText>
          </w:r>
          <w:r>
            <w:rPr>
              <w:rFonts w:hint="eastAsia" w:ascii="宋体" w:hAnsi="宋体" w:eastAsia="宋体" w:cs="宋体"/>
              <w:sz w:val="21"/>
              <w:szCs w:val="21"/>
            </w:rPr>
            <w:fldChar w:fldCharType="separate"/>
          </w:r>
          <w:r>
            <w:rPr>
              <w:rFonts w:hint="eastAsia" w:ascii="宋体" w:hAnsi="宋体" w:eastAsia="宋体" w:cs="宋体"/>
              <w:sz w:val="21"/>
              <w:szCs w:val="21"/>
            </w:rPr>
            <w:t>1.3  研究意义</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_Toc19917 \h </w:instrText>
          </w:r>
          <w:r>
            <w:rPr>
              <w:rFonts w:hint="eastAsia" w:ascii="宋体" w:hAnsi="宋体" w:eastAsia="宋体" w:cs="宋体"/>
              <w:sz w:val="21"/>
              <w:szCs w:val="21"/>
            </w:rPr>
            <w:fldChar w:fldCharType="separate"/>
          </w:r>
          <w:r>
            <w:rPr>
              <w:rFonts w:hint="eastAsia" w:ascii="宋体" w:hAnsi="宋体" w:eastAsia="宋体" w:cs="宋体"/>
              <w:sz w:val="21"/>
              <w:szCs w:val="21"/>
            </w:rPr>
            <w:t>10</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7E4D8C7">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_Toc3160 </w:instrText>
          </w:r>
          <w:r>
            <w:rPr>
              <w:rFonts w:hint="eastAsia" w:ascii="宋体" w:hAnsi="宋体" w:eastAsia="宋体" w:cs="宋体"/>
              <w:sz w:val="21"/>
              <w:szCs w:val="21"/>
            </w:rPr>
            <w:fldChar w:fldCharType="separate"/>
          </w:r>
          <w:r>
            <w:rPr>
              <w:rFonts w:hint="eastAsia" w:ascii="宋体" w:hAnsi="宋体" w:eastAsia="宋体" w:cs="宋体"/>
              <w:sz w:val="21"/>
              <w:szCs w:val="21"/>
            </w:rPr>
            <w:t>1.3.1理论意义</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_Toc3160 \h </w:instrText>
          </w:r>
          <w:r>
            <w:rPr>
              <w:rFonts w:hint="eastAsia" w:ascii="宋体" w:hAnsi="宋体" w:eastAsia="宋体" w:cs="宋体"/>
              <w:sz w:val="21"/>
              <w:szCs w:val="21"/>
            </w:rPr>
            <w:fldChar w:fldCharType="separate"/>
          </w:r>
          <w:r>
            <w:rPr>
              <w:rFonts w:hint="eastAsia" w:ascii="宋体" w:hAnsi="宋体" w:eastAsia="宋体" w:cs="宋体"/>
              <w:sz w:val="21"/>
              <w:szCs w:val="21"/>
            </w:rPr>
            <w:t>10</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45FE50E">
          <w:pPr>
            <w:pStyle w:val="8"/>
            <w:tabs>
              <w:tab w:val="right" w:leader="dot" w:pos="8306"/>
            </w:tabs>
            <w:rPr>
              <w:rFonts w:hint="eastAsia" w:ascii="宋体" w:hAnsi="宋体" w:eastAsia="宋体" w:cs="宋体"/>
              <w:sz w:val="24"/>
              <w:szCs w:val="24"/>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_Toc14928 </w:instrText>
          </w:r>
          <w:r>
            <w:rPr>
              <w:rFonts w:hint="eastAsia" w:ascii="宋体" w:hAnsi="宋体" w:eastAsia="宋体" w:cs="宋体"/>
              <w:sz w:val="21"/>
              <w:szCs w:val="21"/>
            </w:rPr>
            <w:fldChar w:fldCharType="separate"/>
          </w:r>
          <w:r>
            <w:rPr>
              <w:rFonts w:hint="eastAsia" w:ascii="宋体" w:hAnsi="宋体" w:eastAsia="宋体" w:cs="宋体"/>
              <w:sz w:val="21"/>
              <w:szCs w:val="21"/>
            </w:rPr>
            <w:t>1.3.2实践意义</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_Toc14928 \h </w:instrText>
          </w:r>
          <w:r>
            <w:rPr>
              <w:rFonts w:hint="eastAsia" w:ascii="宋体" w:hAnsi="宋体" w:eastAsia="宋体" w:cs="宋体"/>
              <w:sz w:val="21"/>
              <w:szCs w:val="21"/>
            </w:rPr>
            <w:fldChar w:fldCharType="separate"/>
          </w:r>
          <w:r>
            <w:rPr>
              <w:rFonts w:hint="eastAsia" w:ascii="宋体" w:hAnsi="宋体" w:eastAsia="宋体" w:cs="宋体"/>
              <w:sz w:val="21"/>
              <w:szCs w:val="21"/>
            </w:rPr>
            <w:t>11</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65A8B7B">
          <w:pPr>
            <w:pStyle w:val="11"/>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_Toc6031 </w:instrText>
          </w:r>
          <w:r>
            <w:rPr>
              <w:rFonts w:hint="eastAsia" w:ascii="宋体" w:hAnsi="宋体" w:eastAsia="宋体" w:cs="宋体"/>
              <w:sz w:val="24"/>
              <w:szCs w:val="24"/>
            </w:rPr>
            <w:fldChar w:fldCharType="separate"/>
          </w:r>
          <w:r>
            <w:rPr>
              <w:rFonts w:hint="eastAsia" w:ascii="黑体" w:hAnsi="黑体" w:eastAsia="黑体" w:cs="黑体"/>
              <w:sz w:val="28"/>
              <w:szCs w:val="28"/>
            </w:rPr>
            <w:t>第二章  项目定位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_Toc6031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7A485ED">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_Toc7821 </w:instrText>
          </w:r>
          <w:r>
            <w:rPr>
              <w:rFonts w:hint="eastAsia" w:ascii="宋体" w:hAnsi="宋体" w:eastAsia="宋体" w:cs="宋体"/>
              <w:sz w:val="21"/>
              <w:szCs w:val="21"/>
            </w:rPr>
            <w:fldChar w:fldCharType="separate"/>
          </w:r>
          <w:r>
            <w:rPr>
              <w:rFonts w:hint="eastAsia" w:ascii="宋体" w:hAnsi="宋体" w:eastAsia="宋体" w:cs="宋体"/>
              <w:sz w:val="21"/>
              <w:szCs w:val="21"/>
            </w:rPr>
            <w:t>2.1  前期基础与未完成领域</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_Toc7821 \h </w:instrText>
          </w:r>
          <w:r>
            <w:rPr>
              <w:rFonts w:hint="eastAsia" w:ascii="宋体" w:hAnsi="宋体" w:eastAsia="宋体" w:cs="宋体"/>
              <w:sz w:val="21"/>
              <w:szCs w:val="21"/>
            </w:rPr>
            <w:fldChar w:fldCharType="separate"/>
          </w:r>
          <w:r>
            <w:rPr>
              <w:rFonts w:hint="eastAsia" w:ascii="宋体" w:hAnsi="宋体" w:eastAsia="宋体" w:cs="宋体"/>
              <w:sz w:val="21"/>
              <w:szCs w:val="21"/>
            </w:rPr>
            <w:t>12</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ACAE783">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_Toc28885 </w:instrText>
          </w:r>
          <w:r>
            <w:rPr>
              <w:rFonts w:hint="eastAsia" w:ascii="宋体" w:hAnsi="宋体" w:eastAsia="宋体" w:cs="宋体"/>
              <w:sz w:val="21"/>
              <w:szCs w:val="21"/>
            </w:rPr>
            <w:fldChar w:fldCharType="separate"/>
          </w:r>
          <w:r>
            <w:rPr>
              <w:rFonts w:hint="eastAsia" w:ascii="宋体" w:hAnsi="宋体" w:eastAsia="宋体" w:cs="宋体"/>
              <w:sz w:val="21"/>
              <w:szCs w:val="21"/>
            </w:rPr>
            <w:t>2.2  与前任擂主的差异化矩阵</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_Toc28885 \h </w:instrText>
          </w:r>
          <w:r>
            <w:rPr>
              <w:rFonts w:hint="eastAsia" w:ascii="宋体" w:hAnsi="宋体" w:eastAsia="宋体" w:cs="宋体"/>
              <w:sz w:val="21"/>
              <w:szCs w:val="21"/>
            </w:rPr>
            <w:fldChar w:fldCharType="separate"/>
          </w:r>
          <w:r>
            <w:rPr>
              <w:rFonts w:hint="eastAsia" w:ascii="宋体" w:hAnsi="宋体" w:eastAsia="宋体" w:cs="宋体"/>
              <w:sz w:val="21"/>
              <w:szCs w:val="21"/>
            </w:rPr>
            <w:t>12</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F7C7D33">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_Toc14822 </w:instrText>
          </w:r>
          <w:r>
            <w:rPr>
              <w:rFonts w:hint="eastAsia" w:ascii="宋体" w:hAnsi="宋体" w:eastAsia="宋体" w:cs="宋体"/>
              <w:sz w:val="21"/>
              <w:szCs w:val="21"/>
            </w:rPr>
            <w:fldChar w:fldCharType="separate"/>
          </w:r>
          <w:r>
            <w:rPr>
              <w:rFonts w:hint="eastAsia" w:ascii="宋体" w:hAnsi="宋体" w:eastAsia="宋体" w:cs="宋体"/>
              <w:sz w:val="21"/>
              <w:szCs w:val="21"/>
            </w:rPr>
            <w:t>2.3  本项目定位：从"品牌奠基"到"生态运营"</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_Toc14822 \h </w:instrText>
          </w:r>
          <w:r>
            <w:rPr>
              <w:rFonts w:hint="eastAsia" w:ascii="宋体" w:hAnsi="宋体" w:eastAsia="宋体" w:cs="宋体"/>
              <w:sz w:val="21"/>
              <w:szCs w:val="21"/>
            </w:rPr>
            <w:fldChar w:fldCharType="separate"/>
          </w:r>
          <w:r>
            <w:rPr>
              <w:rFonts w:hint="eastAsia" w:ascii="宋体" w:hAnsi="宋体" w:eastAsia="宋体" w:cs="宋体"/>
              <w:sz w:val="21"/>
              <w:szCs w:val="21"/>
            </w:rPr>
            <w:t>13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A1D21C3">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_Toc32226 </w:instrText>
          </w:r>
          <w:r>
            <w:rPr>
              <w:rFonts w:hint="eastAsia" w:ascii="宋体" w:hAnsi="宋体" w:eastAsia="宋体" w:cs="宋体"/>
              <w:sz w:val="21"/>
              <w:szCs w:val="21"/>
            </w:rPr>
            <w:fldChar w:fldCharType="separate"/>
          </w:r>
          <w:r>
            <w:rPr>
              <w:rFonts w:hint="eastAsia" w:ascii="宋体" w:hAnsi="宋体" w:eastAsia="宋体" w:cs="宋体"/>
              <w:sz w:val="21"/>
              <w:szCs w:val="21"/>
            </w:rPr>
            <w:t>2.3.1生态定位：从“政策约束区”转向“品质背书地”</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_Toc32226 \h </w:instrText>
          </w:r>
          <w:r>
            <w:rPr>
              <w:rFonts w:hint="eastAsia" w:ascii="宋体" w:hAnsi="宋体" w:eastAsia="宋体" w:cs="宋体"/>
              <w:sz w:val="21"/>
              <w:szCs w:val="21"/>
            </w:rPr>
            <w:fldChar w:fldCharType="separate"/>
          </w:r>
          <w:r>
            <w:rPr>
              <w:rFonts w:hint="eastAsia" w:ascii="宋体" w:hAnsi="宋体" w:eastAsia="宋体" w:cs="宋体"/>
              <w:sz w:val="21"/>
              <w:szCs w:val="21"/>
            </w:rPr>
            <w:t>13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3278BA8D">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_Toc30609 </w:instrText>
          </w:r>
          <w:r>
            <w:rPr>
              <w:rFonts w:hint="eastAsia" w:ascii="宋体" w:hAnsi="宋体" w:eastAsia="宋体" w:cs="宋体"/>
              <w:sz w:val="21"/>
              <w:szCs w:val="21"/>
            </w:rPr>
            <w:fldChar w:fldCharType="separate"/>
          </w:r>
          <w:r>
            <w:rPr>
              <w:rFonts w:hint="eastAsia" w:ascii="宋体" w:hAnsi="宋体" w:eastAsia="宋体" w:cs="宋体"/>
              <w:sz w:val="21"/>
              <w:szCs w:val="21"/>
            </w:rPr>
            <w:t>2.3.2产业定位：从“卖樱桃”转向“卖品牌、卖场景、卖体验”</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_Toc30609 \h </w:instrText>
          </w:r>
          <w:r>
            <w:rPr>
              <w:rFonts w:hint="eastAsia" w:ascii="宋体" w:hAnsi="宋体" w:eastAsia="宋体" w:cs="宋体"/>
              <w:sz w:val="21"/>
              <w:szCs w:val="21"/>
            </w:rPr>
            <w:fldChar w:fldCharType="separate"/>
          </w:r>
          <w:r>
            <w:rPr>
              <w:rFonts w:hint="eastAsia" w:ascii="宋体" w:hAnsi="宋体" w:eastAsia="宋体" w:cs="宋体"/>
              <w:sz w:val="21"/>
              <w:szCs w:val="21"/>
            </w:rPr>
            <w:t>13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B9D5586">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_Toc4108 </w:instrText>
          </w:r>
          <w:r>
            <w:rPr>
              <w:rFonts w:hint="eastAsia" w:ascii="宋体" w:hAnsi="宋体" w:eastAsia="宋体" w:cs="宋体"/>
              <w:sz w:val="21"/>
              <w:szCs w:val="21"/>
            </w:rPr>
            <w:fldChar w:fldCharType="separate"/>
          </w:r>
          <w:r>
            <w:rPr>
              <w:rFonts w:hint="eastAsia" w:ascii="宋体" w:hAnsi="宋体" w:eastAsia="宋体" w:cs="宋体"/>
              <w:sz w:val="21"/>
              <w:szCs w:val="21"/>
            </w:rPr>
            <w:t>2.3.3流量定位：从“自然来客”转向“主动引流”</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_Toc4108 \h </w:instrText>
          </w:r>
          <w:r>
            <w:rPr>
              <w:rFonts w:hint="eastAsia" w:ascii="宋体" w:hAnsi="宋体" w:eastAsia="宋体" w:cs="宋体"/>
              <w:sz w:val="21"/>
              <w:szCs w:val="21"/>
            </w:rPr>
            <w:fldChar w:fldCharType="separate"/>
          </w:r>
          <w:r>
            <w:rPr>
              <w:rFonts w:hint="eastAsia" w:ascii="宋体" w:hAnsi="宋体" w:eastAsia="宋体" w:cs="宋体"/>
              <w:sz w:val="21"/>
              <w:szCs w:val="21"/>
            </w:rPr>
            <w:t>13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91BF128">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_Toc29366 </w:instrText>
          </w:r>
          <w:r>
            <w:rPr>
              <w:rFonts w:hint="eastAsia" w:ascii="宋体" w:hAnsi="宋体" w:eastAsia="宋体" w:cs="宋体"/>
              <w:sz w:val="21"/>
              <w:szCs w:val="21"/>
            </w:rPr>
            <w:fldChar w:fldCharType="separate"/>
          </w:r>
          <w:r>
            <w:rPr>
              <w:rFonts w:hint="eastAsia" w:ascii="宋体" w:hAnsi="宋体" w:eastAsia="宋体" w:cs="宋体"/>
              <w:sz w:val="21"/>
              <w:szCs w:val="21"/>
            </w:rPr>
            <w:t>2.3.4功能定位：从“单一采摘点”转向“复合型目的地”</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_Toc29366 \h </w:instrText>
          </w:r>
          <w:r>
            <w:rPr>
              <w:rFonts w:hint="eastAsia" w:ascii="宋体" w:hAnsi="宋体" w:eastAsia="宋体" w:cs="宋体"/>
              <w:sz w:val="21"/>
              <w:szCs w:val="21"/>
            </w:rPr>
            <w:fldChar w:fldCharType="separate"/>
          </w:r>
          <w:r>
            <w:rPr>
              <w:rFonts w:hint="eastAsia" w:ascii="宋体" w:hAnsi="宋体" w:eastAsia="宋体" w:cs="宋体"/>
              <w:sz w:val="21"/>
              <w:szCs w:val="21"/>
            </w:rPr>
            <w:t>14</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11212BA">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_Toc20569 </w:instrText>
          </w:r>
          <w:r>
            <w:rPr>
              <w:rFonts w:hint="eastAsia" w:ascii="宋体" w:hAnsi="宋体" w:eastAsia="宋体" w:cs="宋体"/>
              <w:sz w:val="21"/>
              <w:szCs w:val="21"/>
            </w:rPr>
            <w:fldChar w:fldCharType="separate"/>
          </w:r>
          <w:r>
            <w:rPr>
              <w:rFonts w:hint="eastAsia" w:ascii="宋体" w:hAnsi="宋体" w:eastAsia="宋体" w:cs="宋体"/>
              <w:sz w:val="21"/>
              <w:szCs w:val="21"/>
            </w:rPr>
            <w:t>2.3.5运营定位：从“阶段性策划”转向“可持续生态运营”</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_Toc20569 \h </w:instrText>
          </w:r>
          <w:r>
            <w:rPr>
              <w:rFonts w:hint="eastAsia" w:ascii="宋体" w:hAnsi="宋体" w:eastAsia="宋体" w:cs="宋体"/>
              <w:sz w:val="21"/>
              <w:szCs w:val="21"/>
            </w:rPr>
            <w:fldChar w:fldCharType="separate"/>
          </w:r>
          <w:r>
            <w:rPr>
              <w:rFonts w:hint="eastAsia" w:ascii="宋体" w:hAnsi="宋体" w:eastAsia="宋体" w:cs="宋体"/>
              <w:sz w:val="21"/>
              <w:szCs w:val="21"/>
            </w:rPr>
            <w:t>14</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555A248">
          <w:pPr>
            <w:pStyle w:val="12"/>
            <w:tabs>
              <w:tab w:val="right" w:leader="dot" w:pos="8306"/>
            </w:tabs>
            <w:rPr>
              <w:rFonts w:hint="eastAsia" w:ascii="宋体" w:hAnsi="宋体" w:eastAsia="宋体" w:cs="宋体"/>
              <w:sz w:val="24"/>
              <w:szCs w:val="24"/>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_Toc18616 </w:instrText>
          </w:r>
          <w:r>
            <w:rPr>
              <w:rFonts w:hint="eastAsia" w:ascii="宋体" w:hAnsi="宋体" w:eastAsia="宋体" w:cs="宋体"/>
              <w:sz w:val="21"/>
              <w:szCs w:val="21"/>
            </w:rPr>
            <w:fldChar w:fldCharType="separate"/>
          </w:r>
          <w:r>
            <w:rPr>
              <w:rFonts w:hint="eastAsia" w:ascii="宋体" w:hAnsi="宋体" w:eastAsia="宋体" w:cs="宋体"/>
              <w:sz w:val="21"/>
              <w:szCs w:val="21"/>
            </w:rPr>
            <w:t>2.4  核心创新点</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_Toc18616 \h </w:instrText>
          </w:r>
          <w:r>
            <w:rPr>
              <w:rFonts w:hint="eastAsia" w:ascii="宋体" w:hAnsi="宋体" w:eastAsia="宋体" w:cs="宋体"/>
              <w:sz w:val="21"/>
              <w:szCs w:val="21"/>
            </w:rPr>
            <w:fldChar w:fldCharType="separate"/>
          </w:r>
          <w:r>
            <w:rPr>
              <w:rFonts w:hint="eastAsia" w:ascii="宋体" w:hAnsi="宋体" w:eastAsia="宋体" w:cs="宋体"/>
              <w:sz w:val="21"/>
              <w:szCs w:val="21"/>
            </w:rPr>
            <w:t>14</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67C7113">
          <w:pPr>
            <w:pStyle w:val="11"/>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_Toc1334 </w:instrText>
          </w:r>
          <w:r>
            <w:rPr>
              <w:rFonts w:hint="eastAsia" w:ascii="宋体" w:hAnsi="宋体" w:eastAsia="宋体" w:cs="宋体"/>
              <w:sz w:val="24"/>
              <w:szCs w:val="24"/>
            </w:rPr>
            <w:fldChar w:fldCharType="separate"/>
          </w:r>
          <w:r>
            <w:rPr>
              <w:rFonts w:hint="eastAsia" w:ascii="黑体" w:hAnsi="黑体" w:eastAsia="黑体" w:cs="黑体"/>
              <w:sz w:val="28"/>
              <w:szCs w:val="28"/>
            </w:rPr>
            <w:t>第三章  实践调研与问题诊断</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_Toc1334 \h </w:instrText>
          </w:r>
          <w:r>
            <w:rPr>
              <w:rFonts w:hint="eastAsia" w:ascii="宋体" w:hAnsi="宋体" w:eastAsia="宋体" w:cs="宋体"/>
              <w:sz w:val="24"/>
              <w:szCs w:val="24"/>
            </w:rPr>
            <w:fldChar w:fldCharType="separate"/>
          </w:r>
          <w:r>
            <w:rPr>
              <w:rFonts w:hint="eastAsia" w:ascii="宋体" w:hAnsi="宋体"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90A9C15">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_Toc4768 </w:instrText>
          </w:r>
          <w:r>
            <w:rPr>
              <w:rFonts w:hint="eastAsia" w:ascii="宋体" w:hAnsi="宋体" w:eastAsia="宋体" w:cs="宋体"/>
              <w:sz w:val="21"/>
              <w:szCs w:val="21"/>
            </w:rPr>
            <w:fldChar w:fldCharType="separate"/>
          </w:r>
          <w:r>
            <w:rPr>
              <w:rFonts w:hint="eastAsia" w:ascii="宋体" w:hAnsi="宋体" w:eastAsia="宋体" w:cs="宋体"/>
              <w:sz w:val="21"/>
              <w:szCs w:val="21"/>
            </w:rPr>
            <w:t>3.1  调研设计</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_Toc4768 \h </w:instrText>
          </w:r>
          <w:r>
            <w:rPr>
              <w:rFonts w:hint="eastAsia" w:ascii="宋体" w:hAnsi="宋体" w:eastAsia="宋体" w:cs="宋体"/>
              <w:sz w:val="21"/>
              <w:szCs w:val="21"/>
            </w:rPr>
            <w:fldChar w:fldCharType="separate"/>
          </w:r>
          <w:r>
            <w:rPr>
              <w:rFonts w:hint="eastAsia" w:ascii="宋体" w:hAnsi="宋体" w:eastAsia="宋体" w:cs="宋体"/>
              <w:sz w:val="21"/>
              <w:szCs w:val="21"/>
            </w:rPr>
            <w:t>17</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7CC9FA1">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_Toc18084 </w:instrText>
          </w:r>
          <w:r>
            <w:rPr>
              <w:rFonts w:hint="eastAsia" w:ascii="宋体" w:hAnsi="宋体" w:eastAsia="宋体" w:cs="宋体"/>
              <w:sz w:val="21"/>
              <w:szCs w:val="21"/>
            </w:rPr>
            <w:fldChar w:fldCharType="separate"/>
          </w:r>
          <w:r>
            <w:rPr>
              <w:rFonts w:hint="eastAsia" w:ascii="宋体" w:hAnsi="宋体" w:eastAsia="宋体" w:cs="宋体"/>
              <w:bCs/>
              <w:sz w:val="21"/>
              <w:szCs w:val="21"/>
            </w:rPr>
            <w:t>3.2 问卷调研与数据分析</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_Toc18084 \h </w:instrText>
          </w:r>
          <w:r>
            <w:rPr>
              <w:rFonts w:hint="eastAsia" w:ascii="宋体" w:hAnsi="宋体" w:eastAsia="宋体" w:cs="宋体"/>
              <w:sz w:val="21"/>
              <w:szCs w:val="21"/>
            </w:rPr>
            <w:fldChar w:fldCharType="separate"/>
          </w:r>
          <w:r>
            <w:rPr>
              <w:rFonts w:hint="eastAsia" w:ascii="宋体" w:hAnsi="宋体" w:eastAsia="宋体" w:cs="宋体"/>
              <w:sz w:val="21"/>
              <w:szCs w:val="21"/>
            </w:rPr>
            <w:t>17</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8C42317">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_Toc26369 </w:instrText>
          </w:r>
          <w:r>
            <w:rPr>
              <w:rFonts w:hint="eastAsia" w:ascii="宋体" w:hAnsi="宋体" w:eastAsia="宋体" w:cs="宋体"/>
              <w:sz w:val="21"/>
              <w:szCs w:val="21"/>
            </w:rPr>
            <w:fldChar w:fldCharType="separate"/>
          </w:r>
          <w:r>
            <w:rPr>
              <w:rFonts w:hint="eastAsia" w:ascii="宋体" w:hAnsi="宋体" w:eastAsia="宋体" w:cs="宋体"/>
              <w:sz w:val="21"/>
              <w:szCs w:val="21"/>
            </w:rPr>
            <w:t>3.2.1 调研设计与样本构成</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_Toc26369 \h </w:instrText>
          </w:r>
          <w:r>
            <w:rPr>
              <w:rFonts w:hint="eastAsia" w:ascii="宋体" w:hAnsi="宋体" w:eastAsia="宋体" w:cs="宋体"/>
              <w:sz w:val="21"/>
              <w:szCs w:val="21"/>
            </w:rPr>
            <w:fldChar w:fldCharType="separate"/>
          </w:r>
          <w:r>
            <w:rPr>
              <w:rFonts w:hint="eastAsia" w:ascii="宋体" w:hAnsi="宋体" w:eastAsia="宋体" w:cs="宋体"/>
              <w:sz w:val="21"/>
              <w:szCs w:val="21"/>
            </w:rPr>
            <w:t>17</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958CBE3">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_Toc7457 </w:instrText>
          </w:r>
          <w:r>
            <w:rPr>
              <w:rFonts w:hint="eastAsia" w:ascii="宋体" w:hAnsi="宋体" w:eastAsia="宋体" w:cs="宋体"/>
              <w:sz w:val="21"/>
              <w:szCs w:val="21"/>
            </w:rPr>
            <w:fldChar w:fldCharType="separate"/>
          </w:r>
          <w:r>
            <w:rPr>
              <w:rFonts w:hint="eastAsia" w:ascii="宋体" w:hAnsi="宋体" w:eastAsia="宋体" w:cs="宋体"/>
              <w:sz w:val="21"/>
              <w:szCs w:val="21"/>
            </w:rPr>
            <w:t>3.2.2 供给侧农户数据分析</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_Toc7457 \h </w:instrText>
          </w:r>
          <w:r>
            <w:rPr>
              <w:rFonts w:hint="eastAsia" w:ascii="宋体" w:hAnsi="宋体" w:eastAsia="宋体" w:cs="宋体"/>
              <w:sz w:val="21"/>
              <w:szCs w:val="21"/>
            </w:rPr>
            <w:fldChar w:fldCharType="separate"/>
          </w:r>
          <w:r>
            <w:rPr>
              <w:rFonts w:hint="eastAsia" w:ascii="宋体" w:hAnsi="宋体" w:eastAsia="宋体" w:cs="宋体"/>
              <w:sz w:val="21"/>
              <w:szCs w:val="21"/>
            </w:rPr>
            <w:t>18</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01BE6F4">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_Toc4042 </w:instrText>
          </w:r>
          <w:r>
            <w:rPr>
              <w:rFonts w:hint="eastAsia" w:ascii="宋体" w:hAnsi="宋体" w:eastAsia="宋体" w:cs="宋体"/>
              <w:sz w:val="21"/>
              <w:szCs w:val="21"/>
            </w:rPr>
            <w:fldChar w:fldCharType="separate"/>
          </w:r>
          <w:r>
            <w:rPr>
              <w:rFonts w:hint="eastAsia" w:ascii="宋体" w:hAnsi="宋体" w:eastAsia="宋体" w:cs="宋体"/>
              <w:sz w:val="21"/>
              <w:szCs w:val="21"/>
            </w:rPr>
            <w:t>3.2.3 需求侧综合数据分析</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_Toc4042 \h </w:instrText>
          </w:r>
          <w:r>
            <w:rPr>
              <w:rFonts w:hint="eastAsia" w:ascii="宋体" w:hAnsi="宋体" w:eastAsia="宋体" w:cs="宋体"/>
              <w:sz w:val="21"/>
              <w:szCs w:val="21"/>
            </w:rPr>
            <w:fldChar w:fldCharType="separate"/>
          </w:r>
          <w:r>
            <w:rPr>
              <w:rFonts w:hint="eastAsia" w:ascii="宋体" w:hAnsi="宋体" w:eastAsia="宋体" w:cs="宋体"/>
              <w:sz w:val="21"/>
              <w:szCs w:val="21"/>
            </w:rPr>
            <w:t>20</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F045AE0">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_Toc10399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eastAsia="zh-CN"/>
            </w:rPr>
            <w:t>3.3深度访谈</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_Toc10399 \h </w:instrText>
          </w:r>
          <w:r>
            <w:rPr>
              <w:rFonts w:hint="eastAsia" w:ascii="宋体" w:hAnsi="宋体" w:eastAsia="宋体" w:cs="宋体"/>
              <w:sz w:val="21"/>
              <w:szCs w:val="21"/>
            </w:rPr>
            <w:fldChar w:fldCharType="separate"/>
          </w:r>
          <w:r>
            <w:rPr>
              <w:rFonts w:hint="eastAsia" w:ascii="宋体" w:hAnsi="宋体" w:eastAsia="宋体" w:cs="宋体"/>
              <w:sz w:val="21"/>
              <w:szCs w:val="21"/>
            </w:rPr>
            <w:t>26</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305356F">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_Toc15333 </w:instrText>
          </w:r>
          <w:r>
            <w:rPr>
              <w:rFonts w:hint="eastAsia" w:ascii="宋体" w:hAnsi="宋体" w:eastAsia="宋体" w:cs="宋体"/>
              <w:sz w:val="21"/>
              <w:szCs w:val="21"/>
            </w:rPr>
            <w:fldChar w:fldCharType="separate"/>
          </w:r>
          <w:r>
            <w:rPr>
              <w:rFonts w:hint="eastAsia" w:ascii="宋体" w:hAnsi="宋体" w:eastAsia="宋体" w:cs="宋体"/>
              <w:sz w:val="21"/>
              <w:szCs w:val="21"/>
            </w:rPr>
            <w:t>3.4  实地考察</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_Toc15333 \h </w:instrText>
          </w:r>
          <w:r>
            <w:rPr>
              <w:rFonts w:hint="eastAsia" w:ascii="宋体" w:hAnsi="宋体" w:eastAsia="宋体" w:cs="宋体"/>
              <w:sz w:val="21"/>
              <w:szCs w:val="21"/>
            </w:rPr>
            <w:fldChar w:fldCharType="separate"/>
          </w:r>
          <w:r>
            <w:rPr>
              <w:rFonts w:hint="eastAsia" w:ascii="宋体" w:hAnsi="宋体" w:eastAsia="宋体" w:cs="宋体"/>
              <w:sz w:val="21"/>
              <w:szCs w:val="21"/>
            </w:rPr>
            <w:t>27</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C48A734">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_Toc6196 </w:instrText>
          </w:r>
          <w:r>
            <w:rPr>
              <w:rFonts w:hint="eastAsia" w:ascii="宋体" w:hAnsi="宋体" w:eastAsia="宋体" w:cs="宋体"/>
              <w:sz w:val="21"/>
              <w:szCs w:val="21"/>
            </w:rPr>
            <w:fldChar w:fldCharType="separate"/>
          </w:r>
          <w:r>
            <w:rPr>
              <w:rFonts w:hint="eastAsia" w:ascii="宋体" w:hAnsi="宋体" w:eastAsia="宋体" w:cs="宋体"/>
              <w:sz w:val="21"/>
              <w:szCs w:val="21"/>
            </w:rPr>
            <w:t>3.5  二手数据分析</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_Toc6196 \h </w:instrText>
          </w:r>
          <w:r>
            <w:rPr>
              <w:rFonts w:hint="eastAsia" w:ascii="宋体" w:hAnsi="宋体" w:eastAsia="宋体" w:cs="宋体"/>
              <w:sz w:val="21"/>
              <w:szCs w:val="21"/>
            </w:rPr>
            <w:fldChar w:fldCharType="separate"/>
          </w:r>
          <w:r>
            <w:rPr>
              <w:rFonts w:hint="eastAsia" w:ascii="宋体" w:hAnsi="宋体" w:eastAsia="宋体" w:cs="宋体"/>
              <w:sz w:val="21"/>
              <w:szCs w:val="21"/>
            </w:rPr>
            <w:t>29</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1F89FFD">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_Toc29333 </w:instrText>
          </w:r>
          <w:r>
            <w:rPr>
              <w:rFonts w:hint="eastAsia" w:ascii="宋体" w:hAnsi="宋体" w:eastAsia="宋体" w:cs="宋体"/>
              <w:sz w:val="21"/>
              <w:szCs w:val="21"/>
            </w:rPr>
            <w:fldChar w:fldCharType="separate"/>
          </w:r>
          <w:r>
            <w:rPr>
              <w:rFonts w:hint="eastAsia" w:ascii="宋体" w:hAnsi="宋体" w:eastAsia="宋体" w:cs="宋体"/>
              <w:sz w:val="21"/>
              <w:szCs w:val="21"/>
              <w:lang w:eastAsia="zh-CN"/>
            </w:rPr>
            <w:t>3.6 核心痛点诊断与数据验证</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_Toc29333 \h </w:instrText>
          </w:r>
          <w:r>
            <w:rPr>
              <w:rFonts w:hint="eastAsia" w:ascii="宋体" w:hAnsi="宋体" w:eastAsia="宋体" w:cs="宋体"/>
              <w:sz w:val="21"/>
              <w:szCs w:val="21"/>
            </w:rPr>
            <w:fldChar w:fldCharType="separate"/>
          </w:r>
          <w:r>
            <w:rPr>
              <w:rFonts w:hint="eastAsia" w:ascii="宋体" w:hAnsi="宋体" w:eastAsia="宋体" w:cs="宋体"/>
              <w:sz w:val="21"/>
              <w:szCs w:val="21"/>
            </w:rPr>
            <w:t>31</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2A6B809">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_Toc16505 </w:instrText>
          </w:r>
          <w:r>
            <w:rPr>
              <w:rFonts w:hint="eastAsia" w:ascii="宋体" w:hAnsi="宋体" w:eastAsia="宋体" w:cs="宋体"/>
              <w:sz w:val="21"/>
              <w:szCs w:val="21"/>
            </w:rPr>
            <w:fldChar w:fldCharType="separate"/>
          </w:r>
          <w:r>
            <w:rPr>
              <w:rFonts w:hint="eastAsia" w:ascii="宋体" w:hAnsi="宋体" w:eastAsia="宋体" w:cs="宋体"/>
              <w:sz w:val="21"/>
              <w:szCs w:val="21"/>
              <w:lang w:eastAsia="zh-CN"/>
            </w:rPr>
            <w:t>3.6.1 行为路径模型（SEM验证）</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_Toc16505 \h </w:instrText>
          </w:r>
          <w:r>
            <w:rPr>
              <w:rFonts w:hint="eastAsia" w:ascii="宋体" w:hAnsi="宋体" w:eastAsia="宋体" w:cs="宋体"/>
              <w:sz w:val="21"/>
              <w:szCs w:val="21"/>
            </w:rPr>
            <w:fldChar w:fldCharType="separate"/>
          </w:r>
          <w:r>
            <w:rPr>
              <w:rFonts w:hint="eastAsia" w:ascii="宋体" w:hAnsi="宋体" w:eastAsia="宋体" w:cs="宋体"/>
              <w:sz w:val="21"/>
              <w:szCs w:val="21"/>
            </w:rPr>
            <w:t>31</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A70B6EB">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_Toc32490 </w:instrText>
          </w:r>
          <w:r>
            <w:rPr>
              <w:rFonts w:hint="eastAsia" w:ascii="宋体" w:hAnsi="宋体" w:eastAsia="宋体" w:cs="宋体"/>
              <w:sz w:val="21"/>
              <w:szCs w:val="21"/>
            </w:rPr>
            <w:fldChar w:fldCharType="separate"/>
          </w:r>
          <w:r>
            <w:rPr>
              <w:rFonts w:hint="eastAsia" w:ascii="宋体" w:hAnsi="宋体" w:eastAsia="宋体" w:cs="宋体"/>
              <w:sz w:val="21"/>
              <w:szCs w:val="21"/>
              <w:lang w:eastAsia="zh-CN"/>
            </w:rPr>
            <w:t>3.6.2 八大痛点量化验证</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_Toc32490 \h </w:instrText>
          </w:r>
          <w:r>
            <w:rPr>
              <w:rFonts w:hint="eastAsia" w:ascii="宋体" w:hAnsi="宋体" w:eastAsia="宋体" w:cs="宋体"/>
              <w:sz w:val="21"/>
              <w:szCs w:val="21"/>
            </w:rPr>
            <w:fldChar w:fldCharType="separate"/>
          </w:r>
          <w:r>
            <w:rPr>
              <w:rFonts w:hint="eastAsia" w:ascii="宋体" w:hAnsi="宋体" w:eastAsia="宋体" w:cs="宋体"/>
              <w:sz w:val="21"/>
              <w:szCs w:val="21"/>
            </w:rPr>
            <w:t>32</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F71DB98">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_Toc19886 </w:instrText>
          </w:r>
          <w:r>
            <w:rPr>
              <w:rFonts w:hint="eastAsia" w:ascii="宋体" w:hAnsi="宋体" w:eastAsia="宋体" w:cs="宋体"/>
              <w:sz w:val="21"/>
              <w:szCs w:val="21"/>
            </w:rPr>
            <w:fldChar w:fldCharType="separate"/>
          </w:r>
          <w:r>
            <w:rPr>
              <w:rFonts w:hint="eastAsia" w:ascii="宋体" w:hAnsi="宋体" w:eastAsia="宋体" w:cs="宋体"/>
              <w:sz w:val="21"/>
              <w:szCs w:val="21"/>
            </w:rPr>
            <w:t>3.7  行业与市场环境分析</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_Toc19886 \h </w:instrText>
          </w:r>
          <w:r>
            <w:rPr>
              <w:rFonts w:hint="eastAsia" w:ascii="宋体" w:hAnsi="宋体" w:eastAsia="宋体" w:cs="宋体"/>
              <w:sz w:val="21"/>
              <w:szCs w:val="21"/>
            </w:rPr>
            <w:fldChar w:fldCharType="separate"/>
          </w:r>
          <w:r>
            <w:rPr>
              <w:rFonts w:hint="eastAsia" w:ascii="宋体" w:hAnsi="宋体" w:eastAsia="宋体" w:cs="宋体"/>
              <w:sz w:val="21"/>
              <w:szCs w:val="21"/>
            </w:rPr>
            <w:t>33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381EAC15">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_Toc31695 </w:instrText>
          </w:r>
          <w:r>
            <w:rPr>
              <w:rFonts w:hint="eastAsia" w:ascii="宋体" w:hAnsi="宋体" w:eastAsia="宋体" w:cs="宋体"/>
              <w:sz w:val="21"/>
              <w:szCs w:val="21"/>
            </w:rPr>
            <w:fldChar w:fldCharType="separate"/>
          </w:r>
          <w:r>
            <w:rPr>
              <w:rFonts w:hint="eastAsia" w:ascii="宋体" w:hAnsi="宋体" w:eastAsia="宋体" w:cs="宋体"/>
              <w:sz w:val="21"/>
              <w:szCs w:val="21"/>
            </w:rPr>
            <w:t>3.7.1京郊乡村旅游市场趋势</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_Toc31695 \h </w:instrText>
          </w:r>
          <w:r>
            <w:rPr>
              <w:rFonts w:hint="eastAsia" w:ascii="宋体" w:hAnsi="宋体" w:eastAsia="宋体" w:cs="宋体"/>
              <w:sz w:val="21"/>
              <w:szCs w:val="21"/>
            </w:rPr>
            <w:fldChar w:fldCharType="separate"/>
          </w:r>
          <w:r>
            <w:rPr>
              <w:rFonts w:hint="eastAsia" w:ascii="宋体" w:hAnsi="宋体" w:eastAsia="宋体" w:cs="宋体"/>
              <w:sz w:val="21"/>
              <w:szCs w:val="21"/>
            </w:rPr>
            <w:t>33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06CE905">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_Toc14357 </w:instrText>
          </w:r>
          <w:r>
            <w:rPr>
              <w:rFonts w:hint="eastAsia" w:ascii="宋体" w:hAnsi="宋体" w:eastAsia="宋体" w:cs="宋体"/>
              <w:sz w:val="21"/>
              <w:szCs w:val="21"/>
            </w:rPr>
            <w:fldChar w:fldCharType="separate"/>
          </w:r>
          <w:r>
            <w:rPr>
              <w:rFonts w:hint="eastAsia" w:ascii="宋体" w:hAnsi="宋体" w:eastAsia="宋体" w:cs="宋体"/>
              <w:sz w:val="21"/>
              <w:szCs w:val="21"/>
            </w:rPr>
            <w:t>3.7.2樱桃产业趋势</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_Toc14357 \h </w:instrText>
          </w:r>
          <w:r>
            <w:rPr>
              <w:rFonts w:hint="eastAsia" w:ascii="宋体" w:hAnsi="宋体" w:eastAsia="宋体" w:cs="宋体"/>
              <w:sz w:val="21"/>
              <w:szCs w:val="21"/>
            </w:rPr>
            <w:fldChar w:fldCharType="separate"/>
          </w:r>
          <w:r>
            <w:rPr>
              <w:rFonts w:hint="eastAsia" w:ascii="宋体" w:hAnsi="宋体" w:eastAsia="宋体" w:cs="宋体"/>
              <w:sz w:val="21"/>
              <w:szCs w:val="21"/>
            </w:rPr>
            <w:t>36</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5E9777A">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_Toc11637 </w:instrText>
          </w:r>
          <w:r>
            <w:rPr>
              <w:rFonts w:hint="eastAsia" w:ascii="宋体" w:hAnsi="宋体" w:eastAsia="宋体" w:cs="宋体"/>
              <w:sz w:val="21"/>
              <w:szCs w:val="21"/>
            </w:rPr>
            <w:fldChar w:fldCharType="separate"/>
          </w:r>
          <w:r>
            <w:rPr>
              <w:rFonts w:hint="eastAsia" w:ascii="宋体" w:hAnsi="宋体" w:eastAsia="宋体" w:cs="宋体"/>
              <w:sz w:val="21"/>
              <w:szCs w:val="21"/>
            </w:rPr>
            <w:t>3.7.3骑行休闲产业</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_Toc11637 \h </w:instrText>
          </w:r>
          <w:r>
            <w:rPr>
              <w:rFonts w:hint="eastAsia" w:ascii="宋体" w:hAnsi="宋体" w:eastAsia="宋体" w:cs="宋体"/>
              <w:sz w:val="21"/>
              <w:szCs w:val="21"/>
            </w:rPr>
            <w:fldChar w:fldCharType="separate"/>
          </w:r>
          <w:r>
            <w:rPr>
              <w:rFonts w:hint="eastAsia" w:ascii="宋体" w:hAnsi="宋体" w:eastAsia="宋体" w:cs="宋体"/>
              <w:sz w:val="21"/>
              <w:szCs w:val="21"/>
            </w:rPr>
            <w:t>37</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8320B9E">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_Toc5166 </w:instrText>
          </w:r>
          <w:r>
            <w:rPr>
              <w:rFonts w:hint="eastAsia" w:ascii="宋体" w:hAnsi="宋体" w:eastAsia="宋体" w:cs="宋体"/>
              <w:sz w:val="21"/>
              <w:szCs w:val="21"/>
            </w:rPr>
            <w:fldChar w:fldCharType="separate"/>
          </w:r>
          <w:r>
            <w:rPr>
              <w:rFonts w:hint="eastAsia" w:ascii="宋体" w:hAnsi="宋体" w:eastAsia="宋体" w:cs="宋体"/>
              <w:sz w:val="21"/>
              <w:szCs w:val="21"/>
            </w:rPr>
            <w:t>3.7.4 政策环境</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_Toc5166 \h </w:instrText>
          </w:r>
          <w:r>
            <w:rPr>
              <w:rFonts w:hint="eastAsia" w:ascii="宋体" w:hAnsi="宋体" w:eastAsia="宋体" w:cs="宋体"/>
              <w:sz w:val="21"/>
              <w:szCs w:val="21"/>
            </w:rPr>
            <w:fldChar w:fldCharType="separate"/>
          </w:r>
          <w:r>
            <w:rPr>
              <w:rFonts w:hint="eastAsia" w:ascii="宋体" w:hAnsi="宋体" w:eastAsia="宋体" w:cs="宋体"/>
              <w:sz w:val="21"/>
              <w:szCs w:val="21"/>
            </w:rPr>
            <w:t>39</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81F8F7F">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_Toc31530 </w:instrText>
          </w:r>
          <w:r>
            <w:rPr>
              <w:rFonts w:hint="eastAsia" w:ascii="宋体" w:hAnsi="宋体" w:eastAsia="宋体" w:cs="宋体"/>
              <w:sz w:val="21"/>
              <w:szCs w:val="21"/>
            </w:rPr>
            <w:fldChar w:fldCharType="separate"/>
          </w:r>
          <w:r>
            <w:rPr>
              <w:rFonts w:hint="eastAsia" w:ascii="宋体" w:hAnsi="宋体" w:eastAsia="宋体" w:cs="宋体"/>
              <w:sz w:val="21"/>
              <w:szCs w:val="21"/>
            </w:rPr>
            <w:t>3.7.5 竞品对标分析</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_Toc31530 \h </w:instrText>
          </w:r>
          <w:r>
            <w:rPr>
              <w:rFonts w:hint="eastAsia" w:ascii="宋体" w:hAnsi="宋体" w:eastAsia="宋体" w:cs="宋体"/>
              <w:sz w:val="21"/>
              <w:szCs w:val="21"/>
            </w:rPr>
            <w:fldChar w:fldCharType="separate"/>
          </w:r>
          <w:r>
            <w:rPr>
              <w:rFonts w:hint="eastAsia" w:ascii="宋体" w:hAnsi="宋体" w:eastAsia="宋体" w:cs="宋体"/>
              <w:sz w:val="21"/>
              <w:szCs w:val="21"/>
            </w:rPr>
            <w:t>40</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9A97221">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_Toc26032 </w:instrText>
          </w:r>
          <w:r>
            <w:rPr>
              <w:rFonts w:hint="eastAsia" w:ascii="宋体" w:hAnsi="宋体" w:eastAsia="宋体" w:cs="宋体"/>
              <w:sz w:val="21"/>
              <w:szCs w:val="21"/>
            </w:rPr>
            <w:fldChar w:fldCharType="separate"/>
          </w:r>
          <w:r>
            <w:rPr>
              <w:rFonts w:hint="eastAsia" w:ascii="宋体" w:hAnsi="宋体" w:eastAsia="宋体" w:cs="宋体"/>
              <w:sz w:val="21"/>
              <w:szCs w:val="21"/>
            </w:rPr>
            <w:t>3.8 SWOT分析</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_Toc26032 \h </w:instrText>
          </w:r>
          <w:r>
            <w:rPr>
              <w:rFonts w:hint="eastAsia" w:ascii="宋体" w:hAnsi="宋体" w:eastAsia="宋体" w:cs="宋体"/>
              <w:sz w:val="21"/>
              <w:szCs w:val="21"/>
            </w:rPr>
            <w:fldChar w:fldCharType="separate"/>
          </w:r>
          <w:r>
            <w:rPr>
              <w:rFonts w:hint="eastAsia" w:ascii="宋体" w:hAnsi="宋体" w:eastAsia="宋体" w:cs="宋体"/>
              <w:sz w:val="21"/>
              <w:szCs w:val="21"/>
            </w:rPr>
            <w:t>44</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354C652">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_Toc13535 </w:instrText>
          </w:r>
          <w:r>
            <w:rPr>
              <w:rFonts w:hint="eastAsia" w:ascii="宋体" w:hAnsi="宋体" w:eastAsia="宋体" w:cs="宋体"/>
              <w:sz w:val="21"/>
              <w:szCs w:val="21"/>
            </w:rPr>
            <w:fldChar w:fldCharType="separate"/>
          </w:r>
          <w:r>
            <w:rPr>
              <w:rFonts w:hint="eastAsia" w:ascii="宋体" w:hAnsi="宋体" w:eastAsia="宋体" w:cs="宋体"/>
              <w:sz w:val="21"/>
              <w:szCs w:val="21"/>
            </w:rPr>
            <w:t>3.9 需求矩阵</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_Toc13535 \h </w:instrText>
          </w:r>
          <w:r>
            <w:rPr>
              <w:rFonts w:hint="eastAsia" w:ascii="宋体" w:hAnsi="宋体" w:eastAsia="宋体" w:cs="宋体"/>
              <w:sz w:val="21"/>
              <w:szCs w:val="21"/>
            </w:rPr>
            <w:fldChar w:fldCharType="separate"/>
          </w:r>
          <w:r>
            <w:rPr>
              <w:rFonts w:hint="eastAsia" w:ascii="宋体" w:hAnsi="宋体" w:eastAsia="宋体" w:cs="宋体"/>
              <w:sz w:val="21"/>
              <w:szCs w:val="21"/>
            </w:rPr>
            <w:t>45</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FFBDAA1">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_Toc4984 </w:instrText>
          </w:r>
          <w:r>
            <w:rPr>
              <w:rFonts w:hint="eastAsia" w:ascii="宋体" w:hAnsi="宋体" w:eastAsia="宋体" w:cs="宋体"/>
              <w:sz w:val="21"/>
              <w:szCs w:val="21"/>
            </w:rPr>
            <w:fldChar w:fldCharType="separate"/>
          </w:r>
          <w:r>
            <w:rPr>
              <w:rFonts w:hint="eastAsia" w:ascii="宋体" w:hAnsi="宋体" w:eastAsia="宋体" w:cs="宋体"/>
              <w:sz w:val="21"/>
              <w:szCs w:val="21"/>
            </w:rPr>
            <w:t>3.10 STP分析</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_Toc4984 \h </w:instrText>
          </w:r>
          <w:r>
            <w:rPr>
              <w:rFonts w:hint="eastAsia" w:ascii="宋体" w:hAnsi="宋体" w:eastAsia="宋体" w:cs="宋体"/>
              <w:sz w:val="21"/>
              <w:szCs w:val="21"/>
            </w:rPr>
            <w:fldChar w:fldCharType="separate"/>
          </w:r>
          <w:r>
            <w:rPr>
              <w:rFonts w:hint="eastAsia" w:ascii="宋体" w:hAnsi="宋体" w:eastAsia="宋体" w:cs="宋体"/>
              <w:sz w:val="21"/>
              <w:szCs w:val="21"/>
            </w:rPr>
            <w:t>46</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7F94B80">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_Toc27116 </w:instrText>
          </w:r>
          <w:r>
            <w:rPr>
              <w:rFonts w:hint="eastAsia" w:ascii="宋体" w:hAnsi="宋体" w:eastAsia="宋体" w:cs="宋体"/>
              <w:sz w:val="21"/>
              <w:szCs w:val="21"/>
            </w:rPr>
            <w:fldChar w:fldCharType="separate"/>
          </w:r>
          <w:r>
            <w:rPr>
              <w:rFonts w:hint="eastAsia" w:ascii="宋体" w:hAnsi="宋体" w:eastAsia="宋体" w:cs="宋体"/>
              <w:sz w:val="21"/>
              <w:szCs w:val="21"/>
            </w:rPr>
            <w:t>3.10.1 S——市场细分</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_Toc27116 \h </w:instrText>
          </w:r>
          <w:r>
            <w:rPr>
              <w:rFonts w:hint="eastAsia" w:ascii="宋体" w:hAnsi="宋体" w:eastAsia="宋体" w:cs="宋体"/>
              <w:sz w:val="21"/>
              <w:szCs w:val="21"/>
            </w:rPr>
            <w:fldChar w:fldCharType="separate"/>
          </w:r>
          <w:r>
            <w:rPr>
              <w:rFonts w:hint="eastAsia" w:ascii="宋体" w:hAnsi="宋体" w:eastAsia="宋体" w:cs="宋体"/>
              <w:sz w:val="21"/>
              <w:szCs w:val="21"/>
            </w:rPr>
            <w:t>46</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7212B07">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_Toc19397 </w:instrText>
          </w:r>
          <w:r>
            <w:rPr>
              <w:rFonts w:hint="eastAsia" w:ascii="宋体" w:hAnsi="宋体" w:eastAsia="宋体" w:cs="宋体"/>
              <w:sz w:val="21"/>
              <w:szCs w:val="21"/>
            </w:rPr>
            <w:fldChar w:fldCharType="separate"/>
          </w:r>
          <w:r>
            <w:rPr>
              <w:rFonts w:hint="eastAsia" w:ascii="宋体" w:hAnsi="宋体" w:eastAsia="宋体" w:cs="宋体"/>
              <w:sz w:val="21"/>
              <w:szCs w:val="21"/>
            </w:rPr>
            <w:t>3.10.2 T——目标市场</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_Toc19397 \h </w:instrText>
          </w:r>
          <w:r>
            <w:rPr>
              <w:rFonts w:hint="eastAsia" w:ascii="宋体" w:hAnsi="宋体" w:eastAsia="宋体" w:cs="宋体"/>
              <w:sz w:val="21"/>
              <w:szCs w:val="21"/>
            </w:rPr>
            <w:fldChar w:fldCharType="separate"/>
          </w:r>
          <w:r>
            <w:rPr>
              <w:rFonts w:hint="eastAsia" w:ascii="宋体" w:hAnsi="宋体" w:eastAsia="宋体" w:cs="宋体"/>
              <w:sz w:val="21"/>
              <w:szCs w:val="21"/>
            </w:rPr>
            <w:t>49</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CEA3F15">
          <w:pPr>
            <w:pStyle w:val="8"/>
            <w:tabs>
              <w:tab w:val="right" w:leader="dot" w:pos="8306"/>
            </w:tabs>
            <w:rPr>
              <w:rFonts w:hint="eastAsia" w:ascii="宋体" w:hAnsi="宋体" w:eastAsia="宋体" w:cs="宋体"/>
              <w:sz w:val="24"/>
              <w:szCs w:val="24"/>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_Toc716 </w:instrText>
          </w:r>
          <w:r>
            <w:rPr>
              <w:rFonts w:hint="eastAsia" w:ascii="宋体" w:hAnsi="宋体" w:eastAsia="宋体" w:cs="宋体"/>
              <w:sz w:val="21"/>
              <w:szCs w:val="21"/>
            </w:rPr>
            <w:fldChar w:fldCharType="separate"/>
          </w:r>
          <w:r>
            <w:rPr>
              <w:rFonts w:hint="eastAsia" w:ascii="宋体" w:hAnsi="宋体" w:eastAsia="宋体" w:cs="宋体"/>
              <w:sz w:val="21"/>
              <w:szCs w:val="21"/>
            </w:rPr>
            <w:t>3.10.3 P——市场定位</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_Toc716 \h </w:instrText>
          </w:r>
          <w:r>
            <w:rPr>
              <w:rFonts w:hint="eastAsia" w:ascii="宋体" w:hAnsi="宋体" w:eastAsia="宋体" w:cs="宋体"/>
              <w:sz w:val="21"/>
              <w:szCs w:val="21"/>
            </w:rPr>
            <w:fldChar w:fldCharType="separate"/>
          </w:r>
          <w:r>
            <w:rPr>
              <w:rFonts w:hint="eastAsia" w:ascii="宋体" w:hAnsi="宋体" w:eastAsia="宋体" w:cs="宋体"/>
              <w:sz w:val="21"/>
              <w:szCs w:val="21"/>
            </w:rPr>
            <w:t>52</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7E8E3C2">
          <w:pPr>
            <w:pStyle w:val="11"/>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_Toc25462 </w:instrText>
          </w:r>
          <w:r>
            <w:rPr>
              <w:rFonts w:hint="eastAsia" w:ascii="宋体" w:hAnsi="宋体" w:eastAsia="宋体" w:cs="宋体"/>
              <w:sz w:val="24"/>
              <w:szCs w:val="24"/>
            </w:rPr>
            <w:fldChar w:fldCharType="separate"/>
          </w:r>
          <w:r>
            <w:rPr>
              <w:rFonts w:hint="eastAsia" w:ascii="黑体" w:hAnsi="黑体" w:eastAsia="黑体" w:cs="黑体"/>
              <w:sz w:val="28"/>
              <w:szCs w:val="28"/>
              <w:lang w:val="en-US" w:eastAsia="zh-CN"/>
            </w:rPr>
            <w:t>第四章 总体战略框架与目标体系</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_Toc25462 \h </w:instrText>
          </w:r>
          <w:r>
            <w:rPr>
              <w:rFonts w:hint="eastAsia" w:ascii="宋体" w:hAnsi="宋体" w:eastAsia="宋体" w:cs="宋体"/>
              <w:sz w:val="24"/>
              <w:szCs w:val="24"/>
            </w:rPr>
            <w:fldChar w:fldCharType="separate"/>
          </w:r>
          <w:r>
            <w:rPr>
              <w:rFonts w:hint="eastAsia" w:ascii="宋体" w:hAnsi="宋体" w:eastAsia="宋体" w:cs="宋体"/>
              <w:sz w:val="24"/>
              <w:szCs w:val="24"/>
            </w:rPr>
            <w:t>54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E93DCFC">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_Toc7657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eastAsia="zh-CN"/>
            </w:rPr>
            <w:t>4.1 战略定位</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_Toc7657 \h </w:instrText>
          </w:r>
          <w:r>
            <w:rPr>
              <w:rFonts w:hint="eastAsia" w:ascii="宋体" w:hAnsi="宋体" w:eastAsia="宋体" w:cs="宋体"/>
              <w:sz w:val="21"/>
              <w:szCs w:val="21"/>
            </w:rPr>
            <w:fldChar w:fldCharType="separate"/>
          </w:r>
          <w:r>
            <w:rPr>
              <w:rFonts w:hint="eastAsia" w:ascii="宋体" w:hAnsi="宋体" w:eastAsia="宋体" w:cs="宋体"/>
              <w:sz w:val="21"/>
              <w:szCs w:val="21"/>
            </w:rPr>
            <w:t>54</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DF567C6">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_Toc20525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eastAsia="zh-CN"/>
            </w:rPr>
            <w:t>4.2 战略框架：“一核两翼三引擎四季轮”</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_Toc20525 \h </w:instrText>
          </w:r>
          <w:r>
            <w:rPr>
              <w:rFonts w:hint="eastAsia" w:ascii="宋体" w:hAnsi="宋体" w:eastAsia="宋体" w:cs="宋体"/>
              <w:sz w:val="21"/>
              <w:szCs w:val="21"/>
            </w:rPr>
            <w:fldChar w:fldCharType="separate"/>
          </w:r>
          <w:r>
            <w:rPr>
              <w:rFonts w:hint="eastAsia" w:ascii="宋体" w:hAnsi="宋体" w:eastAsia="宋体" w:cs="宋体"/>
              <w:sz w:val="21"/>
              <w:szCs w:val="21"/>
            </w:rPr>
            <w:t>54</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3FF2109">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_Toc28600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eastAsia="zh-CN"/>
            </w:rPr>
            <w:t>4.3 品牌×骑行深度融合</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_Toc28600 \h </w:instrText>
          </w:r>
          <w:r>
            <w:rPr>
              <w:rFonts w:hint="eastAsia" w:ascii="宋体" w:hAnsi="宋体" w:eastAsia="宋体" w:cs="宋体"/>
              <w:sz w:val="21"/>
              <w:szCs w:val="21"/>
            </w:rPr>
            <w:fldChar w:fldCharType="separate"/>
          </w:r>
          <w:r>
            <w:rPr>
              <w:rFonts w:hint="eastAsia" w:ascii="宋体" w:hAnsi="宋体" w:eastAsia="宋体" w:cs="宋体"/>
              <w:sz w:val="21"/>
              <w:szCs w:val="21"/>
            </w:rPr>
            <w:t>55</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68A8645">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_Toc7293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eastAsia="zh-CN"/>
            </w:rPr>
            <w:t>4.4 商业模式画布</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_Toc7293 \h </w:instrText>
          </w:r>
          <w:r>
            <w:rPr>
              <w:rFonts w:hint="eastAsia" w:ascii="宋体" w:hAnsi="宋体" w:eastAsia="宋体" w:cs="宋体"/>
              <w:sz w:val="21"/>
              <w:szCs w:val="21"/>
            </w:rPr>
            <w:fldChar w:fldCharType="separate"/>
          </w:r>
          <w:r>
            <w:rPr>
              <w:rFonts w:hint="eastAsia" w:ascii="宋体" w:hAnsi="宋体" w:eastAsia="宋体" w:cs="宋体"/>
              <w:sz w:val="21"/>
              <w:szCs w:val="21"/>
            </w:rPr>
            <w:t>55</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913591E">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_Toc10414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eastAsia="zh-CN"/>
            </w:rPr>
            <w:t>4.5 目标体系</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_Toc10414 \h </w:instrText>
          </w:r>
          <w:r>
            <w:rPr>
              <w:rFonts w:hint="eastAsia" w:ascii="宋体" w:hAnsi="宋体" w:eastAsia="宋体" w:cs="宋体"/>
              <w:sz w:val="21"/>
              <w:szCs w:val="21"/>
            </w:rPr>
            <w:fldChar w:fldCharType="separate"/>
          </w:r>
          <w:r>
            <w:rPr>
              <w:rFonts w:hint="eastAsia" w:ascii="宋体" w:hAnsi="宋体" w:eastAsia="宋体" w:cs="宋体"/>
              <w:sz w:val="21"/>
              <w:szCs w:val="21"/>
            </w:rPr>
            <w:t>56</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61960F2">
          <w:pPr>
            <w:pStyle w:val="12"/>
            <w:tabs>
              <w:tab w:val="right" w:leader="dot" w:pos="8306"/>
            </w:tabs>
            <w:rPr>
              <w:rFonts w:hint="eastAsia" w:ascii="宋体" w:hAnsi="宋体" w:eastAsia="宋体" w:cs="宋体"/>
              <w:sz w:val="24"/>
              <w:szCs w:val="24"/>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_Toc28299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eastAsia="zh-CN"/>
            </w:rPr>
            <w:t>4.6 总体运营闭环模型</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_Toc28299 \h </w:instrText>
          </w:r>
          <w:r>
            <w:rPr>
              <w:rFonts w:hint="eastAsia" w:ascii="宋体" w:hAnsi="宋体" w:eastAsia="宋体" w:cs="宋体"/>
              <w:sz w:val="21"/>
              <w:szCs w:val="21"/>
            </w:rPr>
            <w:fldChar w:fldCharType="separate"/>
          </w:r>
          <w:r>
            <w:rPr>
              <w:rFonts w:hint="eastAsia" w:ascii="宋体" w:hAnsi="宋体" w:eastAsia="宋体" w:cs="宋体"/>
              <w:sz w:val="21"/>
              <w:szCs w:val="21"/>
            </w:rPr>
            <w:t>57</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1A04055">
          <w:pPr>
            <w:pStyle w:val="11"/>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_Toc14291 </w:instrText>
          </w:r>
          <w:r>
            <w:rPr>
              <w:rFonts w:hint="eastAsia" w:ascii="宋体" w:hAnsi="宋体" w:eastAsia="宋体" w:cs="宋体"/>
              <w:sz w:val="24"/>
              <w:szCs w:val="24"/>
            </w:rPr>
            <w:fldChar w:fldCharType="separate"/>
          </w:r>
          <w:r>
            <w:rPr>
              <w:rFonts w:hint="eastAsia" w:ascii="黑体" w:hAnsi="黑体" w:eastAsia="黑体" w:cs="黑体"/>
              <w:sz w:val="28"/>
              <w:szCs w:val="28"/>
            </w:rPr>
            <w:t>第五章 品牌价值体系建设</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_Toc14291 \h </w:instrText>
          </w:r>
          <w:r>
            <w:rPr>
              <w:rFonts w:hint="eastAsia" w:ascii="宋体" w:hAnsi="宋体" w:eastAsia="宋体" w:cs="宋体"/>
              <w:sz w:val="24"/>
              <w:szCs w:val="24"/>
            </w:rPr>
            <w:fldChar w:fldCharType="separate"/>
          </w:r>
          <w:r>
            <w:rPr>
              <w:rFonts w:hint="eastAsia" w:ascii="宋体" w:hAnsi="宋体" w:eastAsia="宋体" w:cs="宋体"/>
              <w:sz w:val="24"/>
              <w:szCs w:val="24"/>
            </w:rPr>
            <w:t>57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EE4D8C1">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_Toc15570 </w:instrText>
          </w:r>
          <w:r>
            <w:rPr>
              <w:rFonts w:hint="eastAsia" w:ascii="宋体" w:hAnsi="宋体" w:eastAsia="宋体" w:cs="宋体"/>
              <w:sz w:val="21"/>
              <w:szCs w:val="21"/>
            </w:rPr>
            <w:fldChar w:fldCharType="separate"/>
          </w:r>
          <w:r>
            <w:rPr>
              <w:rFonts w:hint="eastAsia" w:ascii="宋体" w:hAnsi="宋体" w:eastAsia="宋体" w:cs="宋体"/>
              <w:sz w:val="21"/>
              <w:szCs w:val="21"/>
            </w:rPr>
            <w:t>5.1 品牌升级</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_Toc15570 \h </w:instrText>
          </w:r>
          <w:r>
            <w:rPr>
              <w:rFonts w:hint="eastAsia" w:ascii="宋体" w:hAnsi="宋体" w:eastAsia="宋体" w:cs="宋体"/>
              <w:sz w:val="21"/>
              <w:szCs w:val="21"/>
            </w:rPr>
            <w:fldChar w:fldCharType="separate"/>
          </w:r>
          <w:r>
            <w:rPr>
              <w:rFonts w:hint="eastAsia" w:ascii="宋体" w:hAnsi="宋体" w:eastAsia="宋体" w:cs="宋体"/>
              <w:sz w:val="21"/>
              <w:szCs w:val="21"/>
            </w:rPr>
            <w:t>57</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42428F5A">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_Toc14080 </w:instrText>
          </w:r>
          <w:r>
            <w:rPr>
              <w:rFonts w:hint="eastAsia" w:ascii="宋体" w:hAnsi="宋体" w:eastAsia="宋体" w:cs="宋体"/>
              <w:sz w:val="21"/>
              <w:szCs w:val="21"/>
            </w:rPr>
            <w:fldChar w:fldCharType="separate"/>
          </w:r>
          <w:r>
            <w:rPr>
              <w:rFonts w:hint="eastAsia" w:ascii="宋体" w:hAnsi="宋体" w:eastAsia="宋体" w:cs="宋体"/>
              <w:sz w:val="21"/>
              <w:szCs w:val="21"/>
            </w:rPr>
            <w:t xml:space="preserve">5.1.1 </w:t>
          </w:r>
          <w:r>
            <w:rPr>
              <w:rFonts w:hint="eastAsia" w:ascii="宋体" w:hAnsi="宋体" w:eastAsia="宋体" w:cs="宋体"/>
              <w:sz w:val="21"/>
              <w:szCs w:val="21"/>
              <w:lang w:val="en-US" w:eastAsia="zh-CN"/>
            </w:rPr>
            <w:t>品牌故事</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_Toc14080 \h </w:instrText>
          </w:r>
          <w:r>
            <w:rPr>
              <w:rFonts w:hint="eastAsia" w:ascii="宋体" w:hAnsi="宋体" w:eastAsia="宋体" w:cs="宋体"/>
              <w:sz w:val="21"/>
              <w:szCs w:val="21"/>
            </w:rPr>
            <w:fldChar w:fldCharType="separate"/>
          </w:r>
          <w:r>
            <w:rPr>
              <w:rFonts w:hint="eastAsia" w:ascii="宋体" w:hAnsi="宋体" w:eastAsia="宋体" w:cs="宋体"/>
              <w:sz w:val="21"/>
              <w:szCs w:val="21"/>
            </w:rPr>
            <w:t>57</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F1F55B9">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_Toc27111 </w:instrText>
          </w:r>
          <w:r>
            <w:rPr>
              <w:rFonts w:hint="eastAsia" w:ascii="宋体" w:hAnsi="宋体" w:eastAsia="宋体" w:cs="宋体"/>
              <w:sz w:val="21"/>
              <w:szCs w:val="21"/>
            </w:rPr>
            <w:fldChar w:fldCharType="separate"/>
          </w:r>
          <w:r>
            <w:rPr>
              <w:rFonts w:hint="eastAsia" w:ascii="宋体" w:hAnsi="宋体" w:eastAsia="宋体" w:cs="宋体"/>
              <w:sz w:val="21"/>
              <w:szCs w:val="21"/>
            </w:rPr>
            <w:t>5.1.2 品牌</w:t>
          </w:r>
          <w:r>
            <w:rPr>
              <w:rFonts w:hint="eastAsia" w:ascii="宋体" w:hAnsi="宋体" w:eastAsia="宋体" w:cs="宋体"/>
              <w:sz w:val="21"/>
              <w:szCs w:val="21"/>
              <w:lang w:val="en-US" w:eastAsia="zh-CN"/>
            </w:rPr>
            <w:t>slogan</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_Toc27111 \h </w:instrText>
          </w:r>
          <w:r>
            <w:rPr>
              <w:rFonts w:hint="eastAsia" w:ascii="宋体" w:hAnsi="宋体" w:eastAsia="宋体" w:cs="宋体"/>
              <w:sz w:val="21"/>
              <w:szCs w:val="21"/>
            </w:rPr>
            <w:fldChar w:fldCharType="separate"/>
          </w:r>
          <w:r>
            <w:rPr>
              <w:rFonts w:hint="eastAsia" w:ascii="宋体" w:hAnsi="宋体" w:eastAsia="宋体" w:cs="宋体"/>
              <w:sz w:val="21"/>
              <w:szCs w:val="21"/>
            </w:rPr>
            <w:t>58</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73A28F4">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_Toc30223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eastAsia="zh-CN"/>
            </w:rPr>
            <w:t>5.1.3 摄影海报</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_Toc30223 \h </w:instrText>
          </w:r>
          <w:r>
            <w:rPr>
              <w:rFonts w:hint="eastAsia" w:ascii="宋体" w:hAnsi="宋体" w:eastAsia="宋体" w:cs="宋体"/>
              <w:sz w:val="21"/>
              <w:szCs w:val="21"/>
            </w:rPr>
            <w:fldChar w:fldCharType="separate"/>
          </w:r>
          <w:r>
            <w:rPr>
              <w:rFonts w:hint="eastAsia" w:ascii="宋体" w:hAnsi="宋体" w:eastAsia="宋体" w:cs="宋体"/>
              <w:sz w:val="21"/>
              <w:szCs w:val="21"/>
            </w:rPr>
            <w:t>59</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38287BDA">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_Toc1901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eastAsia="zh-CN"/>
            </w:rPr>
            <w:t>5.1.4 漫画海报</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_Toc1901 \h </w:instrText>
          </w:r>
          <w:r>
            <w:rPr>
              <w:rFonts w:hint="eastAsia" w:ascii="宋体" w:hAnsi="宋体" w:eastAsia="宋体" w:cs="宋体"/>
              <w:sz w:val="21"/>
              <w:szCs w:val="21"/>
            </w:rPr>
            <w:fldChar w:fldCharType="separate"/>
          </w:r>
          <w:r>
            <w:rPr>
              <w:rFonts w:hint="eastAsia" w:ascii="宋体" w:hAnsi="宋体" w:eastAsia="宋体" w:cs="宋体"/>
              <w:sz w:val="21"/>
              <w:szCs w:val="21"/>
            </w:rPr>
            <w:t>60</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A2C8C48">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_Toc1157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eastAsia="zh-CN"/>
            </w:rPr>
            <w:t>5.3 产品结构：三档认养加分级管护</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_Toc1157 \h </w:instrText>
          </w:r>
          <w:r>
            <w:rPr>
              <w:rFonts w:hint="eastAsia" w:ascii="宋体" w:hAnsi="宋体" w:eastAsia="宋体" w:cs="宋体"/>
              <w:sz w:val="21"/>
              <w:szCs w:val="21"/>
            </w:rPr>
            <w:fldChar w:fldCharType="separate"/>
          </w:r>
          <w:r>
            <w:rPr>
              <w:rFonts w:hint="eastAsia" w:ascii="宋体" w:hAnsi="宋体" w:eastAsia="宋体" w:cs="宋体"/>
              <w:sz w:val="21"/>
              <w:szCs w:val="21"/>
            </w:rPr>
            <w:t>62</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910644E">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_Toc16793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eastAsia="zh-CN"/>
            </w:rPr>
            <w:t>5.3.1数字孪生与互动增值体系</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_Toc16793 \h </w:instrText>
          </w:r>
          <w:r>
            <w:rPr>
              <w:rFonts w:hint="eastAsia" w:ascii="宋体" w:hAnsi="宋体" w:eastAsia="宋体" w:cs="宋体"/>
              <w:sz w:val="21"/>
              <w:szCs w:val="21"/>
            </w:rPr>
            <w:fldChar w:fldCharType="separate"/>
          </w:r>
          <w:r>
            <w:rPr>
              <w:rFonts w:hint="eastAsia" w:ascii="宋体" w:hAnsi="宋体" w:eastAsia="宋体" w:cs="宋体"/>
              <w:sz w:val="21"/>
              <w:szCs w:val="21"/>
            </w:rPr>
            <w:t>62</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D9162E5">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_Toc21879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eastAsia="zh-CN"/>
            </w:rPr>
            <w:t>5.3.2减产风险对冲机制</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_Toc21879 \h </w:instrText>
          </w:r>
          <w:r>
            <w:rPr>
              <w:rFonts w:hint="eastAsia" w:ascii="宋体" w:hAnsi="宋体" w:eastAsia="宋体" w:cs="宋体"/>
              <w:sz w:val="21"/>
              <w:szCs w:val="21"/>
            </w:rPr>
            <w:fldChar w:fldCharType="separate"/>
          </w:r>
          <w:r>
            <w:rPr>
              <w:rFonts w:hint="eastAsia" w:ascii="宋体" w:hAnsi="宋体" w:eastAsia="宋体" w:cs="宋体"/>
              <w:sz w:val="21"/>
              <w:szCs w:val="21"/>
            </w:rPr>
            <w:t>63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666B981">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_Toc16380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eastAsia="zh-CN"/>
            </w:rPr>
            <w:t>5.3.3物流三选一：用户自付，村里零投入</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_Toc16380 \h </w:instrText>
          </w:r>
          <w:r>
            <w:rPr>
              <w:rFonts w:hint="eastAsia" w:ascii="宋体" w:hAnsi="宋体" w:eastAsia="宋体" w:cs="宋体"/>
              <w:sz w:val="21"/>
              <w:szCs w:val="21"/>
            </w:rPr>
            <w:fldChar w:fldCharType="separate"/>
          </w:r>
          <w:r>
            <w:rPr>
              <w:rFonts w:hint="eastAsia" w:ascii="宋体" w:hAnsi="宋体" w:eastAsia="宋体" w:cs="宋体"/>
              <w:sz w:val="21"/>
              <w:szCs w:val="21"/>
            </w:rPr>
            <w:t>64</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4D338A7">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_Toc14272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eastAsia="zh-CN"/>
            </w:rPr>
            <w:t>5.3.4认养管家运营体系</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_Toc14272 \h </w:instrText>
          </w:r>
          <w:r>
            <w:rPr>
              <w:rFonts w:hint="eastAsia" w:ascii="宋体" w:hAnsi="宋体" w:eastAsia="宋体" w:cs="宋体"/>
              <w:sz w:val="21"/>
              <w:szCs w:val="21"/>
            </w:rPr>
            <w:fldChar w:fldCharType="separate"/>
          </w:r>
          <w:r>
            <w:rPr>
              <w:rFonts w:hint="eastAsia" w:ascii="宋体" w:hAnsi="宋体" w:eastAsia="宋体" w:cs="宋体"/>
              <w:sz w:val="21"/>
              <w:szCs w:val="21"/>
            </w:rPr>
            <w:t>65</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4F9FF341">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_Toc28009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eastAsia="zh-CN"/>
            </w:rPr>
            <w:t>5.3.5预售验证与动态定价策略</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_Toc28009 \h </w:instrText>
          </w:r>
          <w:r>
            <w:rPr>
              <w:rFonts w:hint="eastAsia" w:ascii="宋体" w:hAnsi="宋体" w:eastAsia="宋体" w:cs="宋体"/>
              <w:sz w:val="21"/>
              <w:szCs w:val="21"/>
            </w:rPr>
            <w:fldChar w:fldCharType="separate"/>
          </w:r>
          <w:r>
            <w:rPr>
              <w:rFonts w:hint="eastAsia" w:ascii="宋体" w:hAnsi="宋体" w:eastAsia="宋体" w:cs="宋体"/>
              <w:sz w:val="21"/>
              <w:szCs w:val="21"/>
            </w:rPr>
            <w:t>66</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3CFC42E">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_Toc27842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eastAsia="zh-CN"/>
            </w:rPr>
            <w:t>5.3.6三年规划与收益测算</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_Toc27842 \h </w:instrText>
          </w:r>
          <w:r>
            <w:rPr>
              <w:rFonts w:hint="eastAsia" w:ascii="宋体" w:hAnsi="宋体" w:eastAsia="宋体" w:cs="宋体"/>
              <w:sz w:val="21"/>
              <w:szCs w:val="21"/>
            </w:rPr>
            <w:fldChar w:fldCharType="separate"/>
          </w:r>
          <w:r>
            <w:rPr>
              <w:rFonts w:hint="eastAsia" w:ascii="宋体" w:hAnsi="宋体" w:eastAsia="宋体" w:cs="宋体"/>
              <w:sz w:val="21"/>
              <w:szCs w:val="21"/>
            </w:rPr>
            <w:t>66</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4C7FBE7E">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_Toc26667 </w:instrText>
          </w:r>
          <w:r>
            <w:rPr>
              <w:rFonts w:hint="eastAsia" w:ascii="宋体" w:hAnsi="宋体" w:eastAsia="宋体" w:cs="宋体"/>
              <w:sz w:val="21"/>
              <w:szCs w:val="21"/>
            </w:rPr>
            <w:fldChar w:fldCharType="separate"/>
          </w:r>
          <w:r>
            <w:rPr>
              <w:rFonts w:hint="eastAsia" w:ascii="宋体" w:hAnsi="宋体" w:eastAsia="宋体" w:cs="宋体"/>
              <w:sz w:val="21"/>
              <w:szCs w:val="21"/>
            </w:rPr>
            <w:t>5.</w:t>
          </w:r>
          <w:r>
            <w:rPr>
              <w:rFonts w:hint="eastAsia" w:ascii="宋体" w:hAnsi="宋体" w:eastAsia="宋体" w:cs="宋体"/>
              <w:sz w:val="21"/>
              <w:szCs w:val="21"/>
              <w:lang w:val="en-US" w:eastAsia="zh-CN"/>
            </w:rPr>
            <w:t>4</w:t>
          </w:r>
          <w:r>
            <w:rPr>
              <w:rFonts w:hint="eastAsia" w:ascii="宋体" w:hAnsi="宋体" w:eastAsia="宋体" w:cs="宋体"/>
              <w:sz w:val="21"/>
              <w:szCs w:val="21"/>
            </w:rPr>
            <w:t xml:space="preserve"> 产品分级与数字化身份证</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_Toc26667 \h </w:instrText>
          </w:r>
          <w:r>
            <w:rPr>
              <w:rFonts w:hint="eastAsia" w:ascii="宋体" w:hAnsi="宋体" w:eastAsia="宋体" w:cs="宋体"/>
              <w:sz w:val="21"/>
              <w:szCs w:val="21"/>
            </w:rPr>
            <w:fldChar w:fldCharType="separate"/>
          </w:r>
          <w:r>
            <w:rPr>
              <w:rFonts w:hint="eastAsia" w:ascii="宋体" w:hAnsi="宋体" w:eastAsia="宋体" w:cs="宋体"/>
              <w:sz w:val="21"/>
              <w:szCs w:val="21"/>
            </w:rPr>
            <w:t>67</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B11851E">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_Toc14915 </w:instrText>
          </w:r>
          <w:r>
            <w:rPr>
              <w:rFonts w:hint="eastAsia" w:ascii="宋体" w:hAnsi="宋体" w:eastAsia="宋体" w:cs="宋体"/>
              <w:sz w:val="21"/>
              <w:szCs w:val="21"/>
            </w:rPr>
            <w:fldChar w:fldCharType="separate"/>
          </w:r>
          <w:r>
            <w:rPr>
              <w:rFonts w:hint="eastAsia" w:ascii="宋体" w:hAnsi="宋体" w:eastAsia="宋体" w:cs="宋体"/>
              <w:sz w:val="21"/>
              <w:szCs w:val="21"/>
            </w:rPr>
            <w:t>5.</w:t>
          </w:r>
          <w:r>
            <w:rPr>
              <w:rFonts w:hint="eastAsia" w:ascii="宋体" w:hAnsi="宋体" w:eastAsia="宋体" w:cs="宋体"/>
              <w:sz w:val="21"/>
              <w:szCs w:val="21"/>
              <w:lang w:val="en-US" w:eastAsia="zh-CN"/>
            </w:rPr>
            <w:t>4</w:t>
          </w:r>
          <w:r>
            <w:rPr>
              <w:rFonts w:hint="eastAsia" w:ascii="宋体" w:hAnsi="宋体" w:eastAsia="宋体" w:cs="宋体"/>
              <w:sz w:val="21"/>
              <w:szCs w:val="21"/>
            </w:rPr>
            <w:t>.1 S/A/B/C四级产品体系</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_Toc14915 \h </w:instrText>
          </w:r>
          <w:r>
            <w:rPr>
              <w:rFonts w:hint="eastAsia" w:ascii="宋体" w:hAnsi="宋体" w:eastAsia="宋体" w:cs="宋体"/>
              <w:sz w:val="21"/>
              <w:szCs w:val="21"/>
            </w:rPr>
            <w:fldChar w:fldCharType="separate"/>
          </w:r>
          <w:r>
            <w:rPr>
              <w:rFonts w:hint="eastAsia" w:ascii="宋体" w:hAnsi="宋体" w:eastAsia="宋体" w:cs="宋体"/>
              <w:sz w:val="21"/>
              <w:szCs w:val="21"/>
            </w:rPr>
            <w:t>67</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B64FEA9">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_Toc9460 </w:instrText>
          </w:r>
          <w:r>
            <w:rPr>
              <w:rFonts w:hint="eastAsia" w:ascii="宋体" w:hAnsi="宋体" w:eastAsia="宋体" w:cs="宋体"/>
              <w:sz w:val="21"/>
              <w:szCs w:val="21"/>
            </w:rPr>
            <w:fldChar w:fldCharType="separate"/>
          </w:r>
          <w:r>
            <w:rPr>
              <w:rFonts w:hint="eastAsia" w:ascii="宋体" w:hAnsi="宋体" w:eastAsia="宋体" w:cs="宋体"/>
              <w:sz w:val="21"/>
              <w:szCs w:val="21"/>
            </w:rPr>
            <w:t>5.</w:t>
          </w:r>
          <w:r>
            <w:rPr>
              <w:rFonts w:hint="eastAsia" w:ascii="宋体" w:hAnsi="宋体" w:eastAsia="宋体" w:cs="宋体"/>
              <w:sz w:val="21"/>
              <w:szCs w:val="21"/>
              <w:lang w:val="en-US" w:eastAsia="zh-CN"/>
            </w:rPr>
            <w:t>4</w:t>
          </w:r>
          <w:r>
            <w:rPr>
              <w:rFonts w:hint="eastAsia" w:ascii="宋体" w:hAnsi="宋体" w:eastAsia="宋体" w:cs="宋体"/>
              <w:sz w:val="21"/>
              <w:szCs w:val="21"/>
            </w:rPr>
            <w:t>.2 溯源二维码与</w:t>
          </w:r>
          <w:r>
            <w:rPr>
              <w:rFonts w:hint="eastAsia" w:ascii="宋体" w:hAnsi="宋体" w:eastAsia="宋体" w:cs="宋体"/>
              <w:sz w:val="21"/>
              <w:szCs w:val="21"/>
              <w:lang w:val="en-US" w:eastAsia="zh-CN"/>
            </w:rPr>
            <w:t>樱桃</w:t>
          </w:r>
          <w:r>
            <w:rPr>
              <w:rFonts w:hint="eastAsia" w:ascii="宋体" w:hAnsi="宋体" w:eastAsia="宋体" w:cs="宋体"/>
              <w:sz w:val="21"/>
              <w:szCs w:val="21"/>
            </w:rPr>
            <w:t>身份证</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_Toc9460 \h </w:instrText>
          </w:r>
          <w:r>
            <w:rPr>
              <w:rFonts w:hint="eastAsia" w:ascii="宋体" w:hAnsi="宋体" w:eastAsia="宋体" w:cs="宋体"/>
              <w:sz w:val="21"/>
              <w:szCs w:val="21"/>
            </w:rPr>
            <w:fldChar w:fldCharType="separate"/>
          </w:r>
          <w:r>
            <w:rPr>
              <w:rFonts w:hint="eastAsia" w:ascii="宋体" w:hAnsi="宋体" w:eastAsia="宋体" w:cs="宋体"/>
              <w:sz w:val="21"/>
              <w:szCs w:val="21"/>
            </w:rPr>
            <w:t>68</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0ED857D">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_Toc30760 </w:instrText>
          </w:r>
          <w:r>
            <w:rPr>
              <w:rFonts w:hint="eastAsia" w:ascii="宋体" w:hAnsi="宋体" w:eastAsia="宋体" w:cs="宋体"/>
              <w:sz w:val="21"/>
              <w:szCs w:val="21"/>
            </w:rPr>
            <w:fldChar w:fldCharType="separate"/>
          </w:r>
          <w:r>
            <w:rPr>
              <w:rFonts w:hint="eastAsia" w:ascii="宋体" w:hAnsi="宋体" w:eastAsia="宋体" w:cs="宋体"/>
              <w:sz w:val="21"/>
              <w:szCs w:val="21"/>
            </w:rPr>
            <w:t>5.</w:t>
          </w:r>
          <w:r>
            <w:rPr>
              <w:rFonts w:hint="eastAsia" w:ascii="宋体" w:hAnsi="宋体" w:eastAsia="宋体" w:cs="宋体"/>
              <w:sz w:val="21"/>
              <w:szCs w:val="21"/>
              <w:lang w:val="en-US" w:eastAsia="zh-CN"/>
            </w:rPr>
            <w:t>5</w:t>
          </w:r>
          <w:r>
            <w:rPr>
              <w:rFonts w:hint="eastAsia" w:ascii="宋体" w:hAnsi="宋体" w:eastAsia="宋体" w:cs="宋体"/>
              <w:sz w:val="21"/>
              <w:szCs w:val="21"/>
            </w:rPr>
            <w:t xml:space="preserve"> 数字营销矩阵</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_Toc30760 \h </w:instrText>
          </w:r>
          <w:r>
            <w:rPr>
              <w:rFonts w:hint="eastAsia" w:ascii="宋体" w:hAnsi="宋体" w:eastAsia="宋体" w:cs="宋体"/>
              <w:sz w:val="21"/>
              <w:szCs w:val="21"/>
            </w:rPr>
            <w:fldChar w:fldCharType="separate"/>
          </w:r>
          <w:r>
            <w:rPr>
              <w:rFonts w:hint="eastAsia" w:ascii="宋体" w:hAnsi="宋体" w:eastAsia="宋体" w:cs="宋体"/>
              <w:sz w:val="21"/>
              <w:szCs w:val="21"/>
            </w:rPr>
            <w:t>69</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53971DE">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_Toc25123 </w:instrText>
          </w:r>
          <w:r>
            <w:rPr>
              <w:rFonts w:hint="eastAsia" w:ascii="宋体" w:hAnsi="宋体" w:eastAsia="宋体" w:cs="宋体"/>
              <w:sz w:val="21"/>
              <w:szCs w:val="21"/>
            </w:rPr>
            <w:fldChar w:fldCharType="separate"/>
          </w:r>
          <w:r>
            <w:rPr>
              <w:rFonts w:hint="eastAsia" w:ascii="宋体" w:hAnsi="宋体" w:eastAsia="宋体" w:cs="宋体"/>
              <w:sz w:val="21"/>
              <w:szCs w:val="21"/>
            </w:rPr>
            <w:t>5.</w:t>
          </w:r>
          <w:r>
            <w:rPr>
              <w:rFonts w:hint="eastAsia" w:ascii="宋体" w:hAnsi="宋体" w:eastAsia="宋体" w:cs="宋体"/>
              <w:sz w:val="21"/>
              <w:szCs w:val="21"/>
              <w:lang w:val="en-US" w:eastAsia="zh-CN"/>
            </w:rPr>
            <w:t>5</w:t>
          </w:r>
          <w:r>
            <w:rPr>
              <w:rFonts w:hint="eastAsia" w:ascii="宋体" w:hAnsi="宋体" w:eastAsia="宋体" w:cs="宋体"/>
              <w:sz w:val="21"/>
              <w:szCs w:val="21"/>
            </w:rPr>
            <w:t xml:space="preserve">.1 </w:t>
          </w:r>
          <w:r>
            <w:rPr>
              <w:rFonts w:hint="eastAsia" w:ascii="宋体" w:hAnsi="宋体" w:eastAsia="宋体" w:cs="宋体"/>
              <w:sz w:val="21"/>
              <w:szCs w:val="21"/>
              <w:lang w:val="en-US" w:eastAsia="zh-CN"/>
            </w:rPr>
            <w:t>新媒体矩阵</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_Toc25123 \h </w:instrText>
          </w:r>
          <w:r>
            <w:rPr>
              <w:rFonts w:hint="eastAsia" w:ascii="宋体" w:hAnsi="宋体" w:eastAsia="宋体" w:cs="宋体"/>
              <w:sz w:val="21"/>
              <w:szCs w:val="21"/>
            </w:rPr>
            <w:fldChar w:fldCharType="separate"/>
          </w:r>
          <w:r>
            <w:rPr>
              <w:rFonts w:hint="eastAsia" w:ascii="宋体" w:hAnsi="宋体" w:eastAsia="宋体" w:cs="宋体"/>
              <w:sz w:val="21"/>
              <w:szCs w:val="21"/>
            </w:rPr>
            <w:t>69</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4C05CAF">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_Toc24863 </w:instrText>
          </w:r>
          <w:r>
            <w:rPr>
              <w:rFonts w:hint="eastAsia" w:ascii="宋体" w:hAnsi="宋体" w:eastAsia="宋体" w:cs="宋体"/>
              <w:sz w:val="21"/>
              <w:szCs w:val="21"/>
            </w:rPr>
            <w:fldChar w:fldCharType="separate"/>
          </w:r>
          <w:r>
            <w:rPr>
              <w:rFonts w:hint="eastAsia" w:ascii="宋体" w:hAnsi="宋体" w:eastAsia="宋体" w:cs="宋体"/>
              <w:sz w:val="21"/>
              <w:szCs w:val="21"/>
            </w:rPr>
            <w:t>5.</w:t>
          </w:r>
          <w:r>
            <w:rPr>
              <w:rFonts w:hint="eastAsia" w:ascii="宋体" w:hAnsi="宋体" w:eastAsia="宋体" w:cs="宋体"/>
              <w:sz w:val="21"/>
              <w:szCs w:val="21"/>
              <w:lang w:val="en-US" w:eastAsia="zh-CN"/>
            </w:rPr>
            <w:t>5</w:t>
          </w:r>
          <w:r>
            <w:rPr>
              <w:rFonts w:hint="eastAsia" w:ascii="宋体" w:hAnsi="宋体" w:eastAsia="宋体" w:cs="宋体"/>
              <w:sz w:val="21"/>
              <w:szCs w:val="21"/>
            </w:rPr>
            <w:t>.</w:t>
          </w:r>
          <w:r>
            <w:rPr>
              <w:rFonts w:hint="eastAsia" w:ascii="宋体" w:hAnsi="宋体" w:eastAsia="宋体" w:cs="宋体"/>
              <w:sz w:val="21"/>
              <w:szCs w:val="21"/>
              <w:lang w:val="en-US" w:eastAsia="zh-CN"/>
            </w:rPr>
            <w:t>2</w:t>
          </w:r>
          <w:r>
            <w:rPr>
              <w:rFonts w:hint="eastAsia" w:ascii="宋体" w:hAnsi="宋体" w:eastAsia="宋体" w:cs="宋体"/>
              <w:sz w:val="21"/>
              <w:szCs w:val="21"/>
            </w:rPr>
            <w:t xml:space="preserve"> 微信小程序</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_Toc24863 \h </w:instrText>
          </w:r>
          <w:r>
            <w:rPr>
              <w:rFonts w:hint="eastAsia" w:ascii="宋体" w:hAnsi="宋体" w:eastAsia="宋体" w:cs="宋体"/>
              <w:sz w:val="21"/>
              <w:szCs w:val="21"/>
            </w:rPr>
            <w:fldChar w:fldCharType="separate"/>
          </w:r>
          <w:r>
            <w:rPr>
              <w:rFonts w:hint="eastAsia" w:ascii="宋体" w:hAnsi="宋体" w:eastAsia="宋体" w:cs="宋体"/>
              <w:sz w:val="21"/>
              <w:szCs w:val="21"/>
            </w:rPr>
            <w:t>73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E4B9A97">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_Toc13906 </w:instrText>
          </w:r>
          <w:r>
            <w:rPr>
              <w:rFonts w:hint="eastAsia" w:ascii="宋体" w:hAnsi="宋体" w:eastAsia="宋体" w:cs="宋体"/>
              <w:sz w:val="21"/>
              <w:szCs w:val="21"/>
            </w:rPr>
            <w:fldChar w:fldCharType="separate"/>
          </w:r>
          <w:r>
            <w:rPr>
              <w:rFonts w:hint="eastAsia" w:ascii="宋体" w:hAnsi="宋体" w:eastAsia="宋体" w:cs="宋体"/>
              <w:sz w:val="21"/>
              <w:szCs w:val="21"/>
            </w:rPr>
            <w:t>5.</w:t>
          </w:r>
          <w:r>
            <w:rPr>
              <w:rFonts w:hint="eastAsia" w:ascii="宋体" w:hAnsi="宋体" w:eastAsia="宋体" w:cs="宋体"/>
              <w:sz w:val="21"/>
              <w:szCs w:val="21"/>
              <w:lang w:val="en-US" w:eastAsia="zh-CN"/>
            </w:rPr>
            <w:t>5</w:t>
          </w:r>
          <w:r>
            <w:rPr>
              <w:rFonts w:hint="eastAsia" w:ascii="宋体" w:hAnsi="宋体" w:eastAsia="宋体" w:cs="宋体"/>
              <w:sz w:val="21"/>
              <w:szCs w:val="21"/>
            </w:rPr>
            <w:t>.</w:t>
          </w:r>
          <w:r>
            <w:rPr>
              <w:rFonts w:hint="eastAsia" w:ascii="宋体" w:hAnsi="宋体" w:eastAsia="宋体" w:cs="宋体"/>
              <w:sz w:val="21"/>
              <w:szCs w:val="21"/>
              <w:lang w:val="en-US" w:eastAsia="zh-CN"/>
            </w:rPr>
            <w:t>3</w:t>
          </w:r>
          <w:r>
            <w:rPr>
              <w:rFonts w:hint="eastAsia" w:ascii="宋体" w:hAnsi="宋体" w:eastAsia="宋体" w:cs="宋体"/>
              <w:sz w:val="21"/>
              <w:szCs w:val="21"/>
            </w:rPr>
            <w:t xml:space="preserve"> 社群</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_Toc13906 \h </w:instrText>
          </w:r>
          <w:r>
            <w:rPr>
              <w:rFonts w:hint="eastAsia" w:ascii="宋体" w:hAnsi="宋体" w:eastAsia="宋体" w:cs="宋体"/>
              <w:sz w:val="21"/>
              <w:szCs w:val="21"/>
            </w:rPr>
            <w:fldChar w:fldCharType="separate"/>
          </w:r>
          <w:r>
            <w:rPr>
              <w:rFonts w:hint="eastAsia" w:ascii="宋体" w:hAnsi="宋体" w:eastAsia="宋体" w:cs="宋体"/>
              <w:sz w:val="21"/>
              <w:szCs w:val="21"/>
            </w:rPr>
            <w:t>74</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3654E4E2">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_Toc25972 </w:instrText>
          </w:r>
          <w:r>
            <w:rPr>
              <w:rFonts w:hint="eastAsia" w:ascii="宋体" w:hAnsi="宋体" w:eastAsia="宋体" w:cs="宋体"/>
              <w:sz w:val="21"/>
              <w:szCs w:val="21"/>
            </w:rPr>
            <w:fldChar w:fldCharType="separate"/>
          </w:r>
          <w:r>
            <w:rPr>
              <w:rFonts w:hint="eastAsia" w:ascii="宋体" w:hAnsi="宋体" w:eastAsia="宋体" w:cs="宋体"/>
              <w:kern w:val="2"/>
              <w:sz w:val="21"/>
              <w:szCs w:val="21"/>
              <w:lang w:val="en-US" w:eastAsia="zh-CN" w:bidi="ar-SA"/>
            </w:rPr>
            <w:t>5.6 “东庄四季”全年营销日历</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_Toc25972 \h </w:instrText>
          </w:r>
          <w:r>
            <w:rPr>
              <w:rFonts w:hint="eastAsia" w:ascii="宋体" w:hAnsi="宋体" w:eastAsia="宋体" w:cs="宋体"/>
              <w:sz w:val="21"/>
              <w:szCs w:val="21"/>
            </w:rPr>
            <w:fldChar w:fldCharType="separate"/>
          </w:r>
          <w:r>
            <w:rPr>
              <w:rFonts w:hint="eastAsia" w:ascii="宋体" w:hAnsi="宋体" w:eastAsia="宋体" w:cs="宋体"/>
              <w:sz w:val="21"/>
              <w:szCs w:val="21"/>
            </w:rPr>
            <w:t>75</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38DD9298">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_Toc7248 </w:instrText>
          </w:r>
          <w:r>
            <w:rPr>
              <w:rFonts w:hint="eastAsia" w:ascii="宋体" w:hAnsi="宋体" w:eastAsia="宋体" w:cs="宋体"/>
              <w:sz w:val="21"/>
              <w:szCs w:val="21"/>
            </w:rPr>
            <w:fldChar w:fldCharType="separate"/>
          </w:r>
          <w:r>
            <w:rPr>
              <w:rFonts w:hint="eastAsia" w:ascii="宋体" w:hAnsi="宋体" w:eastAsia="宋体" w:cs="宋体"/>
              <w:sz w:val="21"/>
              <w:szCs w:val="21"/>
            </w:rPr>
            <w:t>5.</w:t>
          </w:r>
          <w:r>
            <w:rPr>
              <w:rFonts w:hint="eastAsia" w:ascii="宋体" w:hAnsi="宋体" w:eastAsia="宋体" w:cs="宋体"/>
              <w:sz w:val="21"/>
              <w:szCs w:val="21"/>
              <w:lang w:val="en-US" w:eastAsia="zh-CN"/>
            </w:rPr>
            <w:t>7</w:t>
          </w:r>
          <w:r>
            <w:rPr>
              <w:rFonts w:hint="eastAsia" w:ascii="宋体" w:hAnsi="宋体" w:eastAsia="宋体" w:cs="宋体"/>
              <w:sz w:val="21"/>
              <w:szCs w:val="21"/>
            </w:rPr>
            <w:t xml:space="preserve"> KOL与</w:t>
          </w:r>
          <w:r>
            <w:rPr>
              <w:rFonts w:hint="eastAsia" w:ascii="宋体" w:hAnsi="宋体" w:eastAsia="宋体" w:cs="宋体"/>
              <w:sz w:val="21"/>
              <w:szCs w:val="21"/>
              <w:lang w:eastAsia="zh-CN"/>
            </w:rPr>
            <w:t>“</w:t>
          </w:r>
          <w:r>
            <w:rPr>
              <w:rFonts w:hint="eastAsia" w:ascii="宋体" w:hAnsi="宋体" w:eastAsia="宋体" w:cs="宋体"/>
              <w:sz w:val="21"/>
              <w:szCs w:val="21"/>
            </w:rPr>
            <w:t>东庄体验官</w:t>
          </w:r>
          <w:r>
            <w:rPr>
              <w:rFonts w:hint="eastAsia" w:ascii="宋体" w:hAnsi="宋体" w:eastAsia="宋体" w:cs="宋体"/>
              <w:sz w:val="21"/>
              <w:szCs w:val="21"/>
              <w:lang w:eastAsia="zh-CN"/>
            </w:rPr>
            <w:t>”</w:t>
          </w:r>
          <w:r>
            <w:rPr>
              <w:rFonts w:hint="eastAsia" w:ascii="宋体" w:hAnsi="宋体" w:eastAsia="宋体" w:cs="宋体"/>
              <w:sz w:val="21"/>
              <w:szCs w:val="21"/>
            </w:rPr>
            <w:t>计划</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_Toc7248 \h </w:instrText>
          </w:r>
          <w:r>
            <w:rPr>
              <w:rFonts w:hint="eastAsia" w:ascii="宋体" w:hAnsi="宋体" w:eastAsia="宋体" w:cs="宋体"/>
              <w:sz w:val="21"/>
              <w:szCs w:val="21"/>
            </w:rPr>
            <w:fldChar w:fldCharType="separate"/>
          </w:r>
          <w:r>
            <w:rPr>
              <w:rFonts w:hint="eastAsia" w:ascii="宋体" w:hAnsi="宋体" w:eastAsia="宋体" w:cs="宋体"/>
              <w:sz w:val="21"/>
              <w:szCs w:val="21"/>
            </w:rPr>
            <w:t>76</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3B75E05">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_Toc31136 </w:instrText>
          </w:r>
          <w:r>
            <w:rPr>
              <w:rFonts w:hint="eastAsia" w:ascii="宋体" w:hAnsi="宋体" w:eastAsia="宋体" w:cs="宋体"/>
              <w:sz w:val="21"/>
              <w:szCs w:val="21"/>
            </w:rPr>
            <w:fldChar w:fldCharType="separate"/>
          </w:r>
          <w:r>
            <w:rPr>
              <w:rFonts w:hint="eastAsia" w:ascii="宋体" w:hAnsi="宋体" w:eastAsia="宋体" w:cs="宋体"/>
              <w:sz w:val="21"/>
              <w:szCs w:val="21"/>
            </w:rPr>
            <w:t>5.</w:t>
          </w:r>
          <w:r>
            <w:rPr>
              <w:rFonts w:hint="eastAsia" w:ascii="宋体" w:hAnsi="宋体" w:eastAsia="宋体" w:cs="宋体"/>
              <w:sz w:val="21"/>
              <w:szCs w:val="21"/>
              <w:lang w:val="en-US" w:eastAsia="zh-CN"/>
            </w:rPr>
            <w:t>7</w:t>
          </w:r>
          <w:r>
            <w:rPr>
              <w:rFonts w:hint="eastAsia" w:ascii="宋体" w:hAnsi="宋体" w:eastAsia="宋体" w:cs="宋体"/>
              <w:sz w:val="21"/>
              <w:szCs w:val="21"/>
            </w:rPr>
            <w:t>.1 三层传播体系</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_Toc31136 \h </w:instrText>
          </w:r>
          <w:r>
            <w:rPr>
              <w:rFonts w:hint="eastAsia" w:ascii="宋体" w:hAnsi="宋体" w:eastAsia="宋体" w:cs="宋体"/>
              <w:sz w:val="21"/>
              <w:szCs w:val="21"/>
            </w:rPr>
            <w:fldChar w:fldCharType="separate"/>
          </w:r>
          <w:r>
            <w:rPr>
              <w:rFonts w:hint="eastAsia" w:ascii="宋体" w:hAnsi="宋体" w:eastAsia="宋体" w:cs="宋体"/>
              <w:sz w:val="21"/>
              <w:szCs w:val="21"/>
            </w:rPr>
            <w:t>76</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33E8FB7">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_Toc12277 </w:instrText>
          </w:r>
          <w:r>
            <w:rPr>
              <w:rFonts w:hint="eastAsia" w:ascii="宋体" w:hAnsi="宋体" w:eastAsia="宋体" w:cs="宋体"/>
              <w:sz w:val="21"/>
              <w:szCs w:val="21"/>
            </w:rPr>
            <w:fldChar w:fldCharType="separate"/>
          </w:r>
          <w:r>
            <w:rPr>
              <w:rFonts w:hint="eastAsia" w:ascii="宋体" w:hAnsi="宋体" w:eastAsia="宋体" w:cs="宋体"/>
              <w:sz w:val="21"/>
              <w:szCs w:val="21"/>
            </w:rPr>
            <w:t>5.</w:t>
          </w:r>
          <w:r>
            <w:rPr>
              <w:rFonts w:hint="eastAsia" w:ascii="宋体" w:hAnsi="宋体" w:eastAsia="宋体" w:cs="宋体"/>
              <w:sz w:val="21"/>
              <w:szCs w:val="21"/>
              <w:lang w:val="en-US" w:eastAsia="zh-CN"/>
            </w:rPr>
            <w:t>7</w:t>
          </w:r>
          <w:r>
            <w:rPr>
              <w:rFonts w:hint="eastAsia" w:ascii="宋体" w:hAnsi="宋体" w:eastAsia="宋体" w:cs="宋体"/>
              <w:sz w:val="21"/>
              <w:szCs w:val="21"/>
            </w:rPr>
            <w:t>.2 执行节奏与激励机制</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_Toc12277 \h </w:instrText>
          </w:r>
          <w:r>
            <w:rPr>
              <w:rFonts w:hint="eastAsia" w:ascii="宋体" w:hAnsi="宋体" w:eastAsia="宋体" w:cs="宋体"/>
              <w:sz w:val="21"/>
              <w:szCs w:val="21"/>
            </w:rPr>
            <w:fldChar w:fldCharType="separate"/>
          </w:r>
          <w:r>
            <w:rPr>
              <w:rFonts w:hint="eastAsia" w:ascii="宋体" w:hAnsi="宋体" w:eastAsia="宋体" w:cs="宋体"/>
              <w:sz w:val="21"/>
              <w:szCs w:val="21"/>
            </w:rPr>
            <w:t>77</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70DA73E">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_Toc26203 </w:instrText>
          </w:r>
          <w:r>
            <w:rPr>
              <w:rFonts w:hint="eastAsia" w:ascii="宋体" w:hAnsi="宋体" w:eastAsia="宋体" w:cs="宋体"/>
              <w:sz w:val="21"/>
              <w:szCs w:val="21"/>
            </w:rPr>
            <w:fldChar w:fldCharType="separate"/>
          </w:r>
          <w:r>
            <w:rPr>
              <w:rFonts w:hint="eastAsia" w:ascii="宋体" w:hAnsi="宋体" w:eastAsia="宋体" w:cs="宋体"/>
              <w:sz w:val="21"/>
              <w:szCs w:val="21"/>
            </w:rPr>
            <w:t>5.</w:t>
          </w:r>
          <w:r>
            <w:rPr>
              <w:rFonts w:hint="eastAsia" w:ascii="宋体" w:hAnsi="宋体" w:eastAsia="宋体" w:cs="宋体"/>
              <w:sz w:val="21"/>
              <w:szCs w:val="21"/>
              <w:lang w:val="en-US" w:eastAsia="zh-CN"/>
            </w:rPr>
            <w:t>8</w:t>
          </w:r>
          <w:r>
            <w:rPr>
              <w:rFonts w:hint="eastAsia" w:ascii="宋体" w:hAnsi="宋体" w:eastAsia="宋体" w:cs="宋体"/>
              <w:sz w:val="21"/>
              <w:szCs w:val="21"/>
            </w:rPr>
            <w:t xml:space="preserve"> 收益预测与落地节奏</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_Toc26203 \h </w:instrText>
          </w:r>
          <w:r>
            <w:rPr>
              <w:rFonts w:hint="eastAsia" w:ascii="宋体" w:hAnsi="宋体" w:eastAsia="宋体" w:cs="宋体"/>
              <w:sz w:val="21"/>
              <w:szCs w:val="21"/>
            </w:rPr>
            <w:fldChar w:fldCharType="separate"/>
          </w:r>
          <w:r>
            <w:rPr>
              <w:rFonts w:hint="eastAsia" w:ascii="宋体" w:hAnsi="宋体" w:eastAsia="宋体" w:cs="宋体"/>
              <w:sz w:val="21"/>
              <w:szCs w:val="21"/>
            </w:rPr>
            <w:t>78</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E97077B">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_Toc10856 </w:instrText>
          </w:r>
          <w:r>
            <w:rPr>
              <w:rFonts w:hint="eastAsia" w:ascii="宋体" w:hAnsi="宋体" w:eastAsia="宋体" w:cs="宋体"/>
              <w:sz w:val="21"/>
              <w:szCs w:val="21"/>
            </w:rPr>
            <w:fldChar w:fldCharType="separate"/>
          </w:r>
          <w:r>
            <w:rPr>
              <w:rFonts w:hint="eastAsia" w:ascii="宋体" w:hAnsi="宋体" w:eastAsia="宋体" w:cs="宋体"/>
              <w:sz w:val="21"/>
              <w:szCs w:val="21"/>
            </w:rPr>
            <w:t>5.</w:t>
          </w:r>
          <w:r>
            <w:rPr>
              <w:rFonts w:hint="eastAsia" w:ascii="宋体" w:hAnsi="宋体" w:eastAsia="宋体" w:cs="宋体"/>
              <w:sz w:val="21"/>
              <w:szCs w:val="21"/>
              <w:lang w:val="en-US" w:eastAsia="zh-CN"/>
            </w:rPr>
            <w:t>8</w:t>
          </w:r>
          <w:r>
            <w:rPr>
              <w:rFonts w:hint="eastAsia" w:ascii="宋体" w:hAnsi="宋体" w:eastAsia="宋体" w:cs="宋体"/>
              <w:sz w:val="21"/>
              <w:szCs w:val="21"/>
            </w:rPr>
            <w:t>.1 直接收益来源</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_Toc10856 \h </w:instrText>
          </w:r>
          <w:r>
            <w:rPr>
              <w:rFonts w:hint="eastAsia" w:ascii="宋体" w:hAnsi="宋体" w:eastAsia="宋体" w:cs="宋体"/>
              <w:sz w:val="21"/>
              <w:szCs w:val="21"/>
            </w:rPr>
            <w:fldChar w:fldCharType="separate"/>
          </w:r>
          <w:r>
            <w:rPr>
              <w:rFonts w:hint="eastAsia" w:ascii="宋体" w:hAnsi="宋体" w:eastAsia="宋体" w:cs="宋体"/>
              <w:sz w:val="21"/>
              <w:szCs w:val="21"/>
            </w:rPr>
            <w:t>78</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3D0A8F8">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_Toc3639 </w:instrText>
          </w:r>
          <w:r>
            <w:rPr>
              <w:rFonts w:hint="eastAsia" w:ascii="宋体" w:hAnsi="宋体" w:eastAsia="宋体" w:cs="宋体"/>
              <w:sz w:val="21"/>
              <w:szCs w:val="21"/>
            </w:rPr>
            <w:fldChar w:fldCharType="separate"/>
          </w:r>
          <w:r>
            <w:rPr>
              <w:rFonts w:hint="eastAsia" w:ascii="宋体" w:hAnsi="宋体" w:eastAsia="宋体" w:cs="宋体"/>
              <w:sz w:val="21"/>
              <w:szCs w:val="21"/>
            </w:rPr>
            <w:t>5.</w:t>
          </w:r>
          <w:r>
            <w:rPr>
              <w:rFonts w:hint="eastAsia" w:ascii="宋体" w:hAnsi="宋体" w:eastAsia="宋体" w:cs="宋体"/>
              <w:sz w:val="21"/>
              <w:szCs w:val="21"/>
              <w:lang w:val="en-US" w:eastAsia="zh-CN"/>
            </w:rPr>
            <w:t>8</w:t>
          </w:r>
          <w:r>
            <w:rPr>
              <w:rFonts w:hint="eastAsia" w:ascii="宋体" w:hAnsi="宋体" w:eastAsia="宋体" w:cs="宋体"/>
              <w:sz w:val="21"/>
              <w:szCs w:val="21"/>
            </w:rPr>
            <w:t>.2 就业带动</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_Toc3639 \h </w:instrText>
          </w:r>
          <w:r>
            <w:rPr>
              <w:rFonts w:hint="eastAsia" w:ascii="宋体" w:hAnsi="宋体" w:eastAsia="宋体" w:cs="宋体"/>
              <w:sz w:val="21"/>
              <w:szCs w:val="21"/>
            </w:rPr>
            <w:fldChar w:fldCharType="separate"/>
          </w:r>
          <w:r>
            <w:rPr>
              <w:rFonts w:hint="eastAsia" w:ascii="宋体" w:hAnsi="宋体" w:eastAsia="宋体" w:cs="宋体"/>
              <w:sz w:val="21"/>
              <w:szCs w:val="21"/>
            </w:rPr>
            <w:t>78</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03F74BC">
          <w:pPr>
            <w:pStyle w:val="8"/>
            <w:tabs>
              <w:tab w:val="right" w:leader="dot" w:pos="8306"/>
            </w:tabs>
            <w:rPr>
              <w:rFonts w:hint="eastAsia" w:ascii="宋体" w:hAnsi="宋体" w:eastAsia="宋体" w:cs="宋体"/>
              <w:sz w:val="24"/>
              <w:szCs w:val="24"/>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_Toc25044 </w:instrText>
          </w:r>
          <w:r>
            <w:rPr>
              <w:rFonts w:hint="eastAsia" w:ascii="宋体" w:hAnsi="宋体" w:eastAsia="宋体" w:cs="宋体"/>
              <w:sz w:val="21"/>
              <w:szCs w:val="21"/>
            </w:rPr>
            <w:fldChar w:fldCharType="separate"/>
          </w:r>
          <w:r>
            <w:rPr>
              <w:rFonts w:hint="eastAsia" w:ascii="宋体" w:hAnsi="宋体" w:eastAsia="宋体" w:cs="宋体"/>
              <w:sz w:val="21"/>
              <w:szCs w:val="21"/>
            </w:rPr>
            <w:t>5.</w:t>
          </w:r>
          <w:r>
            <w:rPr>
              <w:rFonts w:hint="eastAsia" w:ascii="宋体" w:hAnsi="宋体" w:eastAsia="宋体" w:cs="宋体"/>
              <w:sz w:val="21"/>
              <w:szCs w:val="21"/>
              <w:lang w:val="en-US" w:eastAsia="zh-CN"/>
            </w:rPr>
            <w:t>8</w:t>
          </w:r>
          <w:r>
            <w:rPr>
              <w:rFonts w:hint="eastAsia" w:ascii="宋体" w:hAnsi="宋体" w:eastAsia="宋体" w:cs="宋体"/>
              <w:sz w:val="21"/>
              <w:szCs w:val="21"/>
            </w:rPr>
            <w:t>.3 分阶段实施时间表</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_Toc25044 \h </w:instrText>
          </w:r>
          <w:r>
            <w:rPr>
              <w:rFonts w:hint="eastAsia" w:ascii="宋体" w:hAnsi="宋体" w:eastAsia="宋体" w:cs="宋体"/>
              <w:sz w:val="21"/>
              <w:szCs w:val="21"/>
            </w:rPr>
            <w:fldChar w:fldCharType="separate"/>
          </w:r>
          <w:r>
            <w:rPr>
              <w:rFonts w:hint="eastAsia" w:ascii="宋体" w:hAnsi="宋体" w:eastAsia="宋体" w:cs="宋体"/>
              <w:sz w:val="21"/>
              <w:szCs w:val="21"/>
            </w:rPr>
            <w:t>78</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2C33842">
          <w:pPr>
            <w:pStyle w:val="11"/>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_Toc32012 </w:instrText>
          </w:r>
          <w:r>
            <w:rPr>
              <w:rFonts w:hint="eastAsia" w:ascii="宋体" w:hAnsi="宋体" w:eastAsia="宋体" w:cs="宋体"/>
              <w:sz w:val="24"/>
              <w:szCs w:val="24"/>
            </w:rPr>
            <w:fldChar w:fldCharType="separate"/>
          </w:r>
          <w:r>
            <w:rPr>
              <w:rFonts w:hint="eastAsia" w:ascii="黑体" w:hAnsi="黑体" w:eastAsia="黑体" w:cs="黑体"/>
              <w:sz w:val="28"/>
              <w:szCs w:val="28"/>
            </w:rPr>
            <w:t>第六章  骑行流量体系建设</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_Toc32012 \h </w:instrText>
          </w:r>
          <w:r>
            <w:rPr>
              <w:rFonts w:hint="eastAsia" w:ascii="宋体" w:hAnsi="宋体" w:eastAsia="宋体" w:cs="宋体"/>
              <w:sz w:val="24"/>
              <w:szCs w:val="24"/>
            </w:rPr>
            <w:fldChar w:fldCharType="separate"/>
          </w:r>
          <w:r>
            <w:rPr>
              <w:rFonts w:hint="eastAsia" w:ascii="宋体" w:hAnsi="宋体" w:eastAsia="宋体" w:cs="宋体"/>
              <w:sz w:val="24"/>
              <w:szCs w:val="24"/>
            </w:rPr>
            <w:t>79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CB79155">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_Toc28585 </w:instrText>
          </w:r>
          <w:r>
            <w:rPr>
              <w:rFonts w:hint="eastAsia" w:ascii="宋体" w:hAnsi="宋体" w:eastAsia="宋体" w:cs="宋体"/>
              <w:sz w:val="21"/>
              <w:szCs w:val="21"/>
            </w:rPr>
            <w:fldChar w:fldCharType="separate"/>
          </w:r>
          <w:r>
            <w:rPr>
              <w:rFonts w:hint="eastAsia" w:ascii="宋体" w:hAnsi="宋体" w:eastAsia="宋体" w:cs="宋体"/>
              <w:sz w:val="21"/>
              <w:szCs w:val="21"/>
            </w:rPr>
            <w:t>6.1  为什么是骑行</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_Toc28585 \h </w:instrText>
          </w:r>
          <w:r>
            <w:rPr>
              <w:rFonts w:hint="eastAsia" w:ascii="宋体" w:hAnsi="宋体" w:eastAsia="宋体" w:cs="宋体"/>
              <w:sz w:val="21"/>
              <w:szCs w:val="21"/>
            </w:rPr>
            <w:fldChar w:fldCharType="separate"/>
          </w:r>
          <w:r>
            <w:rPr>
              <w:rFonts w:hint="eastAsia" w:ascii="宋体" w:hAnsi="宋体" w:eastAsia="宋体" w:cs="宋体"/>
              <w:sz w:val="21"/>
              <w:szCs w:val="21"/>
            </w:rPr>
            <w:t>79</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5C38D4F">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_Toc30648 </w:instrText>
          </w:r>
          <w:r>
            <w:rPr>
              <w:rFonts w:hint="eastAsia" w:ascii="宋体" w:hAnsi="宋体" w:eastAsia="宋体" w:cs="宋体"/>
              <w:sz w:val="21"/>
              <w:szCs w:val="21"/>
            </w:rPr>
            <w:fldChar w:fldCharType="separate"/>
          </w:r>
          <w:r>
            <w:rPr>
              <w:rFonts w:hint="eastAsia" w:ascii="宋体" w:hAnsi="宋体" w:eastAsia="宋体" w:cs="宋体"/>
              <w:sz w:val="21"/>
              <w:szCs w:val="21"/>
            </w:rPr>
            <w:t>6.2  路线设计</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_Toc30648 \h </w:instrText>
          </w:r>
          <w:r>
            <w:rPr>
              <w:rFonts w:hint="eastAsia" w:ascii="宋体" w:hAnsi="宋体" w:eastAsia="宋体" w:cs="宋体"/>
              <w:sz w:val="21"/>
              <w:szCs w:val="21"/>
            </w:rPr>
            <w:fldChar w:fldCharType="separate"/>
          </w:r>
          <w:r>
            <w:rPr>
              <w:rFonts w:hint="eastAsia" w:ascii="宋体" w:hAnsi="宋体" w:eastAsia="宋体" w:cs="宋体"/>
              <w:sz w:val="21"/>
              <w:szCs w:val="21"/>
            </w:rPr>
            <w:t>80</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482AC3C">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_Toc31177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eastAsia="zh-CN"/>
            </w:rPr>
            <w:t>6.2.1 A线「樱桃漫道」—— 亲子休闲线（6-8km）</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_Toc31177 \h </w:instrText>
          </w:r>
          <w:r>
            <w:rPr>
              <w:rFonts w:hint="eastAsia" w:ascii="宋体" w:hAnsi="宋体" w:eastAsia="宋体" w:cs="宋体"/>
              <w:sz w:val="21"/>
              <w:szCs w:val="21"/>
            </w:rPr>
            <w:fldChar w:fldCharType="separate"/>
          </w:r>
          <w:r>
            <w:rPr>
              <w:rFonts w:hint="eastAsia" w:ascii="宋体" w:hAnsi="宋体" w:eastAsia="宋体" w:cs="宋体"/>
              <w:sz w:val="21"/>
              <w:szCs w:val="21"/>
            </w:rPr>
            <w:t>80</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3BF652EE">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_Toc14088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eastAsia="zh-CN"/>
            </w:rPr>
            <w:t>6.</w:t>
          </w:r>
          <w:r>
            <w:rPr>
              <w:rFonts w:hint="eastAsia" w:ascii="宋体" w:hAnsi="宋体" w:eastAsia="宋体" w:cs="宋体"/>
              <w:sz w:val="21"/>
              <w:szCs w:val="21"/>
            </w:rPr>
            <w:t>2.2 B线「</w:t>
          </w:r>
          <w:r>
            <w:rPr>
              <w:rFonts w:hint="eastAsia" w:ascii="宋体" w:hAnsi="宋体" w:eastAsia="宋体" w:cs="宋体"/>
              <w:sz w:val="21"/>
              <w:szCs w:val="21"/>
              <w:lang w:val="en-US" w:eastAsia="zh-CN"/>
            </w:rPr>
            <w:t>非遗体验</w:t>
          </w:r>
          <w:r>
            <w:rPr>
              <w:rFonts w:hint="eastAsia" w:ascii="宋体" w:hAnsi="宋体" w:eastAsia="宋体" w:cs="宋体"/>
              <w:sz w:val="21"/>
              <w:szCs w:val="21"/>
            </w:rPr>
            <w:t>」—— 推荐线（18-22km）</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_Toc14088 \h </w:instrText>
          </w:r>
          <w:r>
            <w:rPr>
              <w:rFonts w:hint="eastAsia" w:ascii="宋体" w:hAnsi="宋体" w:eastAsia="宋体" w:cs="宋体"/>
              <w:sz w:val="21"/>
              <w:szCs w:val="21"/>
            </w:rPr>
            <w:fldChar w:fldCharType="separate"/>
          </w:r>
          <w:r>
            <w:rPr>
              <w:rFonts w:hint="eastAsia" w:ascii="宋体" w:hAnsi="宋体" w:eastAsia="宋体" w:cs="宋体"/>
              <w:sz w:val="21"/>
              <w:szCs w:val="21"/>
            </w:rPr>
            <w:t>80</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A4CD00F">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_Toc15970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eastAsia="zh-CN"/>
            </w:rPr>
            <w:t>6.2.3 C线「北山穿越」—— 挑战线（30-35km）</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_Toc15970 \h </w:instrText>
          </w:r>
          <w:r>
            <w:rPr>
              <w:rFonts w:hint="eastAsia" w:ascii="宋体" w:hAnsi="宋体" w:eastAsia="宋体" w:cs="宋体"/>
              <w:sz w:val="21"/>
              <w:szCs w:val="21"/>
            </w:rPr>
            <w:fldChar w:fldCharType="separate"/>
          </w:r>
          <w:r>
            <w:rPr>
              <w:rFonts w:hint="eastAsia" w:ascii="宋体" w:hAnsi="宋体" w:eastAsia="宋体" w:cs="宋体"/>
              <w:sz w:val="21"/>
              <w:szCs w:val="21"/>
            </w:rPr>
            <w:t>81</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395B9329">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_Toc3781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eastAsia="zh-CN"/>
            </w:rPr>
            <w:t>6.3  打卡节点设计</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_Toc3781 \h </w:instrText>
          </w:r>
          <w:r>
            <w:rPr>
              <w:rFonts w:hint="eastAsia" w:ascii="宋体" w:hAnsi="宋体" w:eastAsia="宋体" w:cs="宋体"/>
              <w:sz w:val="21"/>
              <w:szCs w:val="21"/>
            </w:rPr>
            <w:fldChar w:fldCharType="separate"/>
          </w:r>
          <w:r>
            <w:rPr>
              <w:rFonts w:hint="eastAsia" w:ascii="宋体" w:hAnsi="宋体" w:eastAsia="宋体" w:cs="宋体"/>
              <w:sz w:val="21"/>
              <w:szCs w:val="21"/>
            </w:rPr>
            <w:t>82</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4B75A8A">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_Toc16184 </w:instrText>
          </w:r>
          <w:r>
            <w:rPr>
              <w:rFonts w:hint="eastAsia" w:ascii="宋体" w:hAnsi="宋体" w:eastAsia="宋体" w:cs="宋体"/>
              <w:sz w:val="21"/>
              <w:szCs w:val="21"/>
            </w:rPr>
            <w:fldChar w:fldCharType="separate"/>
          </w:r>
          <w:r>
            <w:rPr>
              <w:rFonts w:hint="eastAsia" w:ascii="宋体" w:hAnsi="宋体" w:eastAsia="宋体" w:cs="宋体"/>
              <w:sz w:val="21"/>
              <w:szCs w:val="21"/>
            </w:rPr>
            <w:t>6.4  打卡激励系统</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_Toc16184 \h </w:instrText>
          </w:r>
          <w:r>
            <w:rPr>
              <w:rFonts w:hint="eastAsia" w:ascii="宋体" w:hAnsi="宋体" w:eastAsia="宋体" w:cs="宋体"/>
              <w:sz w:val="21"/>
              <w:szCs w:val="21"/>
            </w:rPr>
            <w:fldChar w:fldCharType="separate"/>
          </w:r>
          <w:r>
            <w:rPr>
              <w:rFonts w:hint="eastAsia" w:ascii="宋体" w:hAnsi="宋体" w:eastAsia="宋体" w:cs="宋体"/>
              <w:sz w:val="21"/>
              <w:szCs w:val="21"/>
            </w:rPr>
            <w:t>83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08768CE">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_Toc2612 </w:instrText>
          </w:r>
          <w:r>
            <w:rPr>
              <w:rFonts w:hint="eastAsia" w:ascii="宋体" w:hAnsi="宋体" w:eastAsia="宋体" w:cs="宋体"/>
              <w:sz w:val="21"/>
              <w:szCs w:val="21"/>
            </w:rPr>
            <w:fldChar w:fldCharType="separate"/>
          </w:r>
          <w:r>
            <w:rPr>
              <w:rFonts w:hint="eastAsia" w:ascii="宋体" w:hAnsi="宋体" w:eastAsia="宋体" w:cs="宋体"/>
              <w:sz w:val="21"/>
              <w:szCs w:val="21"/>
            </w:rPr>
            <w:t>6.4.1实体打卡</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_Toc2612 \h </w:instrText>
          </w:r>
          <w:r>
            <w:rPr>
              <w:rFonts w:hint="eastAsia" w:ascii="宋体" w:hAnsi="宋体" w:eastAsia="宋体" w:cs="宋体"/>
              <w:sz w:val="21"/>
              <w:szCs w:val="21"/>
            </w:rPr>
            <w:fldChar w:fldCharType="separate"/>
          </w:r>
          <w:r>
            <w:rPr>
              <w:rFonts w:hint="eastAsia" w:ascii="宋体" w:hAnsi="宋体" w:eastAsia="宋体" w:cs="宋体"/>
              <w:sz w:val="21"/>
              <w:szCs w:val="21"/>
            </w:rPr>
            <w:t>83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D082A7D">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_Toc4276 </w:instrText>
          </w:r>
          <w:r>
            <w:rPr>
              <w:rFonts w:hint="eastAsia" w:ascii="宋体" w:hAnsi="宋体" w:eastAsia="宋体" w:cs="宋体"/>
              <w:sz w:val="21"/>
              <w:szCs w:val="21"/>
            </w:rPr>
            <w:fldChar w:fldCharType="separate"/>
          </w:r>
          <w:r>
            <w:rPr>
              <w:rFonts w:hint="eastAsia" w:ascii="宋体" w:hAnsi="宋体" w:eastAsia="宋体" w:cs="宋体"/>
              <w:sz w:val="21"/>
              <w:szCs w:val="21"/>
            </w:rPr>
            <w:t>6.4.2数字打卡</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_Toc4276 \h </w:instrText>
          </w:r>
          <w:r>
            <w:rPr>
              <w:rFonts w:hint="eastAsia" w:ascii="宋体" w:hAnsi="宋体" w:eastAsia="宋体" w:cs="宋体"/>
              <w:sz w:val="21"/>
              <w:szCs w:val="21"/>
            </w:rPr>
            <w:fldChar w:fldCharType="separate"/>
          </w:r>
          <w:r>
            <w:rPr>
              <w:rFonts w:hint="eastAsia" w:ascii="宋体" w:hAnsi="宋体" w:eastAsia="宋体" w:cs="宋体"/>
              <w:sz w:val="21"/>
              <w:szCs w:val="21"/>
            </w:rPr>
            <w:t>84</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3434F096">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_Toc4490 </w:instrText>
          </w:r>
          <w:r>
            <w:rPr>
              <w:rFonts w:hint="eastAsia" w:ascii="宋体" w:hAnsi="宋体" w:eastAsia="宋体" w:cs="宋体"/>
              <w:sz w:val="21"/>
              <w:szCs w:val="21"/>
            </w:rPr>
            <w:fldChar w:fldCharType="separate"/>
          </w:r>
          <w:r>
            <w:rPr>
              <w:rFonts w:hint="eastAsia" w:ascii="宋体" w:hAnsi="宋体" w:eastAsia="宋体" w:cs="宋体"/>
              <w:sz w:val="21"/>
              <w:szCs w:val="21"/>
            </w:rPr>
            <w:t>6.5骑行驿站：基于“合规突破”的无人自助补给方案</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_Toc4490 \h </w:instrText>
          </w:r>
          <w:r>
            <w:rPr>
              <w:rFonts w:hint="eastAsia" w:ascii="宋体" w:hAnsi="宋体" w:eastAsia="宋体" w:cs="宋体"/>
              <w:sz w:val="21"/>
              <w:szCs w:val="21"/>
            </w:rPr>
            <w:fldChar w:fldCharType="separate"/>
          </w:r>
          <w:r>
            <w:rPr>
              <w:rFonts w:hint="eastAsia" w:ascii="宋体" w:hAnsi="宋体" w:eastAsia="宋体" w:cs="宋体"/>
              <w:sz w:val="21"/>
              <w:szCs w:val="21"/>
            </w:rPr>
            <w:t>85</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58BBA68">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_Toc12786 </w:instrText>
          </w:r>
          <w:r>
            <w:rPr>
              <w:rFonts w:hint="eastAsia" w:ascii="宋体" w:hAnsi="宋体" w:eastAsia="宋体" w:cs="宋体"/>
              <w:sz w:val="21"/>
              <w:szCs w:val="21"/>
            </w:rPr>
            <w:fldChar w:fldCharType="separate"/>
          </w:r>
          <w:r>
            <w:rPr>
              <w:rFonts w:hint="eastAsia" w:ascii="宋体" w:hAnsi="宋体" w:eastAsia="宋体" w:cs="宋体"/>
              <w:sz w:val="21"/>
              <w:szCs w:val="21"/>
            </w:rPr>
            <w:t>6.5.1 合规路径三选一</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_Toc12786 \h </w:instrText>
          </w:r>
          <w:r>
            <w:rPr>
              <w:rFonts w:hint="eastAsia" w:ascii="宋体" w:hAnsi="宋体" w:eastAsia="宋体" w:cs="宋体"/>
              <w:sz w:val="21"/>
              <w:szCs w:val="21"/>
            </w:rPr>
            <w:fldChar w:fldCharType="separate"/>
          </w:r>
          <w:r>
            <w:rPr>
              <w:rFonts w:hint="eastAsia" w:ascii="宋体" w:hAnsi="宋体" w:eastAsia="宋体" w:cs="宋体"/>
              <w:sz w:val="21"/>
              <w:szCs w:val="21"/>
            </w:rPr>
            <w:t>85</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358EBE0">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_Toc2092 </w:instrText>
          </w:r>
          <w:r>
            <w:rPr>
              <w:rFonts w:hint="eastAsia" w:ascii="宋体" w:hAnsi="宋体" w:eastAsia="宋体" w:cs="宋体"/>
              <w:sz w:val="21"/>
              <w:szCs w:val="21"/>
            </w:rPr>
            <w:fldChar w:fldCharType="separate"/>
          </w:r>
          <w:r>
            <w:rPr>
              <w:rFonts w:hint="eastAsia" w:ascii="宋体" w:hAnsi="宋体" w:eastAsia="宋体" w:cs="宋体"/>
              <w:sz w:val="21"/>
              <w:szCs w:val="21"/>
            </w:rPr>
            <w:t>6.5.2 选址与流量真实测算</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_Toc2092 \h </w:instrText>
          </w:r>
          <w:r>
            <w:rPr>
              <w:rFonts w:hint="eastAsia" w:ascii="宋体" w:hAnsi="宋体" w:eastAsia="宋体" w:cs="宋体"/>
              <w:sz w:val="21"/>
              <w:szCs w:val="21"/>
            </w:rPr>
            <w:fldChar w:fldCharType="separate"/>
          </w:r>
          <w:r>
            <w:rPr>
              <w:rFonts w:hint="eastAsia" w:ascii="宋体" w:hAnsi="宋体" w:eastAsia="宋体" w:cs="宋体"/>
              <w:sz w:val="21"/>
              <w:szCs w:val="21"/>
            </w:rPr>
            <w:t>85</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CCE025E">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_Toc16026 </w:instrText>
          </w:r>
          <w:r>
            <w:rPr>
              <w:rFonts w:hint="eastAsia" w:ascii="宋体" w:hAnsi="宋体" w:eastAsia="宋体" w:cs="宋体"/>
              <w:sz w:val="21"/>
              <w:szCs w:val="21"/>
            </w:rPr>
            <w:fldChar w:fldCharType="separate"/>
          </w:r>
          <w:r>
            <w:rPr>
              <w:rFonts w:hint="eastAsia" w:ascii="宋体" w:hAnsi="宋体" w:eastAsia="宋体" w:cs="宋体"/>
              <w:sz w:val="21"/>
              <w:szCs w:val="21"/>
            </w:rPr>
            <w:t>6.5.3 合作方案与收益结构</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_Toc16026 \h </w:instrText>
          </w:r>
          <w:r>
            <w:rPr>
              <w:rFonts w:hint="eastAsia" w:ascii="宋体" w:hAnsi="宋体" w:eastAsia="宋体" w:cs="宋体"/>
              <w:sz w:val="21"/>
              <w:szCs w:val="21"/>
            </w:rPr>
            <w:fldChar w:fldCharType="separate"/>
          </w:r>
          <w:r>
            <w:rPr>
              <w:rFonts w:hint="eastAsia" w:ascii="宋体" w:hAnsi="宋体" w:eastAsia="宋体" w:cs="宋体"/>
              <w:sz w:val="21"/>
              <w:szCs w:val="21"/>
            </w:rPr>
            <w:t>86</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33AFC079">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_Toc4524 </w:instrText>
          </w:r>
          <w:r>
            <w:rPr>
              <w:rFonts w:hint="eastAsia" w:ascii="宋体" w:hAnsi="宋体" w:eastAsia="宋体" w:cs="宋体"/>
              <w:sz w:val="21"/>
              <w:szCs w:val="21"/>
            </w:rPr>
            <w:fldChar w:fldCharType="separate"/>
          </w:r>
          <w:r>
            <w:rPr>
              <w:rFonts w:hint="eastAsia" w:ascii="宋体" w:hAnsi="宋体" w:eastAsia="宋体" w:cs="宋体"/>
              <w:sz w:val="21"/>
              <w:szCs w:val="21"/>
            </w:rPr>
            <w:t xml:space="preserve">6.5.4 </w:t>
          </w:r>
          <w:r>
            <w:rPr>
              <w:rFonts w:hint="eastAsia" w:ascii="宋体" w:hAnsi="宋体" w:eastAsia="宋体" w:cs="宋体"/>
              <w:sz w:val="21"/>
              <w:szCs w:val="21"/>
              <w:lang w:val="en-US" w:eastAsia="zh-CN"/>
            </w:rPr>
            <w:t>功能升级：</w:t>
          </w:r>
          <w:r>
            <w:rPr>
              <w:rFonts w:hint="eastAsia" w:ascii="宋体" w:hAnsi="宋体" w:eastAsia="宋体" w:cs="宋体"/>
              <w:sz w:val="21"/>
              <w:szCs w:val="21"/>
            </w:rPr>
            <w:t>不只是卖货:复合节点升级</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_Toc4524 \h </w:instrText>
          </w:r>
          <w:r>
            <w:rPr>
              <w:rFonts w:hint="eastAsia" w:ascii="宋体" w:hAnsi="宋体" w:eastAsia="宋体" w:cs="宋体"/>
              <w:sz w:val="21"/>
              <w:szCs w:val="21"/>
            </w:rPr>
            <w:fldChar w:fldCharType="separate"/>
          </w:r>
          <w:r>
            <w:rPr>
              <w:rFonts w:hint="eastAsia" w:ascii="宋体" w:hAnsi="宋体" w:eastAsia="宋体" w:cs="宋体"/>
              <w:sz w:val="21"/>
              <w:szCs w:val="21"/>
            </w:rPr>
            <w:t>87</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3C37B5F9">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_Toc4185 </w:instrText>
          </w:r>
          <w:r>
            <w:rPr>
              <w:rFonts w:hint="eastAsia" w:ascii="宋体" w:hAnsi="宋体" w:eastAsia="宋体" w:cs="宋体"/>
              <w:sz w:val="21"/>
              <w:szCs w:val="21"/>
            </w:rPr>
            <w:fldChar w:fldCharType="separate"/>
          </w:r>
          <w:r>
            <w:rPr>
              <w:rFonts w:hint="eastAsia" w:ascii="宋体" w:hAnsi="宋体" w:eastAsia="宋体" w:cs="宋体"/>
              <w:sz w:val="21"/>
              <w:szCs w:val="21"/>
            </w:rPr>
            <w:t>6.5.5 与小程序深度联动</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_Toc4185 \h </w:instrText>
          </w:r>
          <w:r>
            <w:rPr>
              <w:rFonts w:hint="eastAsia" w:ascii="宋体" w:hAnsi="宋体" w:eastAsia="宋体" w:cs="宋体"/>
              <w:sz w:val="21"/>
              <w:szCs w:val="21"/>
            </w:rPr>
            <w:fldChar w:fldCharType="separate"/>
          </w:r>
          <w:r>
            <w:rPr>
              <w:rFonts w:hint="eastAsia" w:ascii="宋体" w:hAnsi="宋体" w:eastAsia="宋体" w:cs="宋体"/>
              <w:sz w:val="21"/>
              <w:szCs w:val="21"/>
            </w:rPr>
            <w:t>88</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0665844">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_Toc23515 </w:instrText>
          </w:r>
          <w:r>
            <w:rPr>
              <w:rFonts w:hint="eastAsia" w:ascii="宋体" w:hAnsi="宋体" w:eastAsia="宋体" w:cs="宋体"/>
              <w:sz w:val="21"/>
              <w:szCs w:val="21"/>
            </w:rPr>
            <w:fldChar w:fldCharType="separate"/>
          </w:r>
          <w:r>
            <w:rPr>
              <w:rFonts w:hint="eastAsia" w:ascii="宋体" w:hAnsi="宋体" w:eastAsia="宋体" w:cs="宋体"/>
              <w:sz w:val="21"/>
              <w:szCs w:val="21"/>
            </w:rPr>
            <w:t>6.5.6 季节性运营与风险控制</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_Toc23515 \h </w:instrText>
          </w:r>
          <w:r>
            <w:rPr>
              <w:rFonts w:hint="eastAsia" w:ascii="宋体" w:hAnsi="宋体" w:eastAsia="宋体" w:cs="宋体"/>
              <w:sz w:val="21"/>
              <w:szCs w:val="21"/>
            </w:rPr>
            <w:fldChar w:fldCharType="separate"/>
          </w:r>
          <w:r>
            <w:rPr>
              <w:rFonts w:hint="eastAsia" w:ascii="宋体" w:hAnsi="宋体" w:eastAsia="宋体" w:cs="宋体"/>
              <w:sz w:val="21"/>
              <w:szCs w:val="21"/>
            </w:rPr>
            <w:t>88</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B0DEA32">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_Toc21799 </w:instrText>
          </w:r>
          <w:r>
            <w:rPr>
              <w:rFonts w:hint="eastAsia" w:ascii="宋体" w:hAnsi="宋体" w:eastAsia="宋体" w:cs="宋体"/>
              <w:sz w:val="21"/>
              <w:szCs w:val="21"/>
            </w:rPr>
            <w:fldChar w:fldCharType="separate"/>
          </w:r>
          <w:r>
            <w:rPr>
              <w:rFonts w:hint="eastAsia" w:ascii="宋体" w:hAnsi="宋体" w:eastAsia="宋体" w:cs="宋体"/>
              <w:sz w:val="21"/>
              <w:szCs w:val="21"/>
            </w:rPr>
            <w:t>6.6  活动策划</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_Toc21799 \h </w:instrText>
          </w:r>
          <w:r>
            <w:rPr>
              <w:rFonts w:hint="eastAsia" w:ascii="宋体" w:hAnsi="宋体" w:eastAsia="宋体" w:cs="宋体"/>
              <w:sz w:val="21"/>
              <w:szCs w:val="21"/>
            </w:rPr>
            <w:fldChar w:fldCharType="separate"/>
          </w:r>
          <w:r>
            <w:rPr>
              <w:rFonts w:hint="eastAsia" w:ascii="宋体" w:hAnsi="宋体" w:eastAsia="宋体" w:cs="宋体"/>
              <w:sz w:val="21"/>
              <w:szCs w:val="21"/>
            </w:rPr>
            <w:t>88</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178BF38">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_Toc32379 </w:instrText>
          </w:r>
          <w:r>
            <w:rPr>
              <w:rFonts w:hint="eastAsia" w:ascii="宋体" w:hAnsi="宋体" w:eastAsia="宋体" w:cs="宋体"/>
              <w:sz w:val="21"/>
              <w:szCs w:val="21"/>
            </w:rPr>
            <w:fldChar w:fldCharType="separate"/>
          </w:r>
          <w:r>
            <w:rPr>
              <w:rFonts w:hint="eastAsia" w:ascii="宋体" w:hAnsi="宋体" w:eastAsia="宋体" w:cs="宋体"/>
              <w:sz w:val="21"/>
              <w:szCs w:val="21"/>
            </w:rPr>
            <w:t>6.6.1常态化活动</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_Toc32379 \h </w:instrText>
          </w:r>
          <w:r>
            <w:rPr>
              <w:rFonts w:hint="eastAsia" w:ascii="宋体" w:hAnsi="宋体" w:eastAsia="宋体" w:cs="宋体"/>
              <w:sz w:val="21"/>
              <w:szCs w:val="21"/>
            </w:rPr>
            <w:fldChar w:fldCharType="separate"/>
          </w:r>
          <w:r>
            <w:rPr>
              <w:rFonts w:hint="eastAsia" w:ascii="宋体" w:hAnsi="宋体" w:eastAsia="宋体" w:cs="宋体"/>
              <w:sz w:val="21"/>
              <w:szCs w:val="21"/>
            </w:rPr>
            <w:t>88</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30A09F5">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_Toc2244 </w:instrText>
          </w:r>
          <w:r>
            <w:rPr>
              <w:rFonts w:hint="eastAsia" w:ascii="宋体" w:hAnsi="宋体" w:eastAsia="宋体" w:cs="宋体"/>
              <w:sz w:val="21"/>
              <w:szCs w:val="21"/>
            </w:rPr>
            <w:fldChar w:fldCharType="separate"/>
          </w:r>
          <w:r>
            <w:rPr>
              <w:rFonts w:hint="eastAsia" w:ascii="宋体" w:hAnsi="宋体" w:eastAsia="宋体" w:cs="宋体"/>
              <w:sz w:val="21"/>
              <w:szCs w:val="21"/>
            </w:rPr>
            <w:t>6.6.2季节性活动</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_Toc2244 \h </w:instrText>
          </w:r>
          <w:r>
            <w:rPr>
              <w:rFonts w:hint="eastAsia" w:ascii="宋体" w:hAnsi="宋体" w:eastAsia="宋体" w:cs="宋体"/>
              <w:sz w:val="21"/>
              <w:szCs w:val="21"/>
            </w:rPr>
            <w:fldChar w:fldCharType="separate"/>
          </w:r>
          <w:r>
            <w:rPr>
              <w:rFonts w:hint="eastAsia" w:ascii="宋体" w:hAnsi="宋体" w:eastAsia="宋体" w:cs="宋体"/>
              <w:sz w:val="21"/>
              <w:szCs w:val="21"/>
            </w:rPr>
            <w:t>89</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D7997CD">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_Toc17737 </w:instrText>
          </w:r>
          <w:r>
            <w:rPr>
              <w:rFonts w:hint="eastAsia" w:ascii="宋体" w:hAnsi="宋体" w:eastAsia="宋体" w:cs="宋体"/>
              <w:sz w:val="21"/>
              <w:szCs w:val="21"/>
            </w:rPr>
            <w:fldChar w:fldCharType="separate"/>
          </w:r>
          <w:r>
            <w:rPr>
              <w:rFonts w:hint="eastAsia" w:ascii="宋体" w:hAnsi="宋体" w:eastAsia="宋体" w:cs="宋体"/>
              <w:sz w:val="21"/>
              <w:szCs w:val="21"/>
            </w:rPr>
            <w:t>6.6.3年度赛事IP</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_Toc17737 \h </w:instrText>
          </w:r>
          <w:r>
            <w:rPr>
              <w:rFonts w:hint="eastAsia" w:ascii="宋体" w:hAnsi="宋体" w:eastAsia="宋体" w:cs="宋体"/>
              <w:sz w:val="21"/>
              <w:szCs w:val="21"/>
            </w:rPr>
            <w:fldChar w:fldCharType="separate"/>
          </w:r>
          <w:r>
            <w:rPr>
              <w:rFonts w:hint="eastAsia" w:ascii="宋体" w:hAnsi="宋体" w:eastAsia="宋体" w:cs="宋体"/>
              <w:sz w:val="21"/>
              <w:szCs w:val="21"/>
            </w:rPr>
            <w:t>90</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A83A069">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_Toc29455 </w:instrText>
          </w:r>
          <w:r>
            <w:rPr>
              <w:rFonts w:hint="eastAsia" w:ascii="宋体" w:hAnsi="宋体" w:eastAsia="宋体" w:cs="宋体"/>
              <w:sz w:val="21"/>
              <w:szCs w:val="21"/>
            </w:rPr>
            <w:fldChar w:fldCharType="separate"/>
          </w:r>
          <w:r>
            <w:rPr>
              <w:rFonts w:hint="eastAsia" w:ascii="宋体" w:hAnsi="宋体" w:eastAsia="宋体" w:cs="宋体"/>
              <w:sz w:val="21"/>
              <w:szCs w:val="21"/>
            </w:rPr>
            <w:t>6.7  与周边区域联动</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_Toc29455 \h </w:instrText>
          </w:r>
          <w:r>
            <w:rPr>
              <w:rFonts w:hint="eastAsia" w:ascii="宋体" w:hAnsi="宋体" w:eastAsia="宋体" w:cs="宋体"/>
              <w:sz w:val="21"/>
              <w:szCs w:val="21"/>
            </w:rPr>
            <w:fldChar w:fldCharType="separate"/>
          </w:r>
          <w:r>
            <w:rPr>
              <w:rFonts w:hint="eastAsia" w:ascii="宋体" w:hAnsi="宋体" w:eastAsia="宋体" w:cs="宋体"/>
              <w:sz w:val="21"/>
              <w:szCs w:val="21"/>
            </w:rPr>
            <w:t>91</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B4E2BDA">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_Toc8047 </w:instrText>
          </w:r>
          <w:r>
            <w:rPr>
              <w:rFonts w:hint="eastAsia" w:ascii="宋体" w:hAnsi="宋体" w:eastAsia="宋体" w:cs="宋体"/>
              <w:sz w:val="21"/>
              <w:szCs w:val="21"/>
            </w:rPr>
            <w:fldChar w:fldCharType="separate"/>
          </w:r>
          <w:r>
            <w:rPr>
              <w:rFonts w:hint="eastAsia" w:ascii="宋体" w:hAnsi="宋体" w:eastAsia="宋体" w:cs="宋体"/>
              <w:sz w:val="21"/>
              <w:szCs w:val="21"/>
            </w:rPr>
            <w:t>6.8  预期效果</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_Toc8047 \h </w:instrText>
          </w:r>
          <w:r>
            <w:rPr>
              <w:rFonts w:hint="eastAsia" w:ascii="宋体" w:hAnsi="宋体" w:eastAsia="宋体" w:cs="宋体"/>
              <w:sz w:val="21"/>
              <w:szCs w:val="21"/>
            </w:rPr>
            <w:fldChar w:fldCharType="separate"/>
          </w:r>
          <w:r>
            <w:rPr>
              <w:rFonts w:hint="eastAsia" w:ascii="宋体" w:hAnsi="宋体" w:eastAsia="宋体" w:cs="宋体"/>
              <w:sz w:val="21"/>
              <w:szCs w:val="21"/>
            </w:rPr>
            <w:t>91</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0866EBD">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_Toc6693 </w:instrText>
          </w:r>
          <w:r>
            <w:rPr>
              <w:rFonts w:hint="eastAsia" w:ascii="宋体" w:hAnsi="宋体" w:eastAsia="宋体" w:cs="宋体"/>
              <w:sz w:val="21"/>
              <w:szCs w:val="21"/>
            </w:rPr>
            <w:fldChar w:fldCharType="separate"/>
          </w:r>
          <w:r>
            <w:rPr>
              <w:rFonts w:hint="eastAsia" w:ascii="宋体" w:hAnsi="宋体" w:eastAsia="宋体" w:cs="宋体"/>
              <w:sz w:val="21"/>
              <w:szCs w:val="21"/>
            </w:rPr>
            <w:t>6.9 北京水源地骑行联盟机制</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_Toc6693 \h </w:instrText>
          </w:r>
          <w:r>
            <w:rPr>
              <w:rFonts w:hint="eastAsia" w:ascii="宋体" w:hAnsi="宋体" w:eastAsia="宋体" w:cs="宋体"/>
              <w:sz w:val="21"/>
              <w:szCs w:val="21"/>
            </w:rPr>
            <w:fldChar w:fldCharType="separate"/>
          </w:r>
          <w:r>
            <w:rPr>
              <w:rFonts w:hint="eastAsia" w:ascii="宋体" w:hAnsi="宋体" w:eastAsia="宋体" w:cs="宋体"/>
              <w:sz w:val="21"/>
              <w:szCs w:val="21"/>
            </w:rPr>
            <w:t>91</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72D7EBD">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_Toc1971 </w:instrText>
          </w:r>
          <w:r>
            <w:rPr>
              <w:rFonts w:hint="eastAsia" w:ascii="宋体" w:hAnsi="宋体" w:eastAsia="宋体" w:cs="宋体"/>
              <w:sz w:val="21"/>
              <w:szCs w:val="21"/>
            </w:rPr>
            <w:fldChar w:fldCharType="separate"/>
          </w:r>
          <w:r>
            <w:rPr>
              <w:rFonts w:hint="eastAsia" w:ascii="宋体" w:hAnsi="宋体" w:eastAsia="宋体" w:cs="宋体"/>
              <w:sz w:val="21"/>
              <w:szCs w:val="21"/>
            </w:rPr>
            <w:t>6.9.1 战略定位:组织者而非承接者</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_Toc1971 \h </w:instrText>
          </w:r>
          <w:r>
            <w:rPr>
              <w:rFonts w:hint="eastAsia" w:ascii="宋体" w:hAnsi="宋体" w:eastAsia="宋体" w:cs="宋体"/>
              <w:sz w:val="21"/>
              <w:szCs w:val="21"/>
            </w:rPr>
            <w:fldChar w:fldCharType="separate"/>
          </w:r>
          <w:r>
            <w:rPr>
              <w:rFonts w:hint="eastAsia" w:ascii="宋体" w:hAnsi="宋体" w:eastAsia="宋体" w:cs="宋体"/>
              <w:sz w:val="21"/>
              <w:szCs w:val="21"/>
            </w:rPr>
            <w:t>92</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D35CB3E">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_Toc20073 </w:instrText>
          </w:r>
          <w:r>
            <w:rPr>
              <w:rFonts w:hint="eastAsia" w:ascii="宋体" w:hAnsi="宋体" w:eastAsia="宋体" w:cs="宋体"/>
              <w:sz w:val="21"/>
              <w:szCs w:val="21"/>
            </w:rPr>
            <w:fldChar w:fldCharType="separate"/>
          </w:r>
          <w:r>
            <w:rPr>
              <w:rFonts w:hint="eastAsia" w:ascii="宋体" w:hAnsi="宋体" w:eastAsia="宋体" w:cs="宋体"/>
              <w:sz w:val="21"/>
              <w:szCs w:val="21"/>
            </w:rPr>
            <w:t>6.9.2 三层机制设计</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_Toc20073 \h </w:instrText>
          </w:r>
          <w:r>
            <w:rPr>
              <w:rFonts w:hint="eastAsia" w:ascii="宋体" w:hAnsi="宋体" w:eastAsia="宋体" w:cs="宋体"/>
              <w:sz w:val="21"/>
              <w:szCs w:val="21"/>
            </w:rPr>
            <w:fldChar w:fldCharType="separate"/>
          </w:r>
          <w:r>
            <w:rPr>
              <w:rFonts w:hint="eastAsia" w:ascii="宋体" w:hAnsi="宋体" w:eastAsia="宋体" w:cs="宋体"/>
              <w:sz w:val="21"/>
              <w:szCs w:val="21"/>
            </w:rPr>
            <w:t>92</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DB9D9A9">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_Toc4818 </w:instrText>
          </w:r>
          <w:r>
            <w:rPr>
              <w:rFonts w:hint="eastAsia" w:ascii="宋体" w:hAnsi="宋体" w:eastAsia="宋体" w:cs="宋体"/>
              <w:sz w:val="21"/>
              <w:szCs w:val="21"/>
            </w:rPr>
            <w:fldChar w:fldCharType="separate"/>
          </w:r>
          <w:r>
            <w:rPr>
              <w:rFonts w:hint="eastAsia" w:ascii="宋体" w:hAnsi="宋体" w:eastAsia="宋体" w:cs="宋体"/>
              <w:sz w:val="21"/>
              <w:szCs w:val="21"/>
            </w:rPr>
            <w:t>6.9.3 三种分润模型</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_Toc4818 \h </w:instrText>
          </w:r>
          <w:r>
            <w:rPr>
              <w:rFonts w:hint="eastAsia" w:ascii="宋体" w:hAnsi="宋体" w:eastAsia="宋体" w:cs="宋体"/>
              <w:sz w:val="21"/>
              <w:szCs w:val="21"/>
            </w:rPr>
            <w:fldChar w:fldCharType="separate"/>
          </w:r>
          <w:r>
            <w:rPr>
              <w:rFonts w:hint="eastAsia" w:ascii="宋体" w:hAnsi="宋体" w:eastAsia="宋体" w:cs="宋体"/>
              <w:sz w:val="21"/>
              <w:szCs w:val="21"/>
            </w:rPr>
            <w:t>93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DA68AA4">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_Toc26601 </w:instrText>
          </w:r>
          <w:r>
            <w:rPr>
              <w:rFonts w:hint="eastAsia" w:ascii="宋体" w:hAnsi="宋体" w:eastAsia="宋体" w:cs="宋体"/>
              <w:sz w:val="21"/>
              <w:szCs w:val="21"/>
            </w:rPr>
            <w:fldChar w:fldCharType="separate"/>
          </w:r>
          <w:r>
            <w:rPr>
              <w:rFonts w:hint="eastAsia" w:ascii="宋体" w:hAnsi="宋体" w:eastAsia="宋体" w:cs="宋体"/>
              <w:sz w:val="21"/>
              <w:szCs w:val="21"/>
            </w:rPr>
            <w:t>6.9.4 实施路径:从双村试点到北片全域</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_Toc26601 \h </w:instrText>
          </w:r>
          <w:r>
            <w:rPr>
              <w:rFonts w:hint="eastAsia" w:ascii="宋体" w:hAnsi="宋体" w:eastAsia="宋体" w:cs="宋体"/>
              <w:sz w:val="21"/>
              <w:szCs w:val="21"/>
            </w:rPr>
            <w:fldChar w:fldCharType="separate"/>
          </w:r>
          <w:r>
            <w:rPr>
              <w:rFonts w:hint="eastAsia" w:ascii="宋体" w:hAnsi="宋体" w:eastAsia="宋体" w:cs="宋体"/>
              <w:sz w:val="21"/>
              <w:szCs w:val="21"/>
            </w:rPr>
            <w:t>93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1637041">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_Toc32225 </w:instrText>
          </w:r>
          <w:r>
            <w:rPr>
              <w:rFonts w:hint="eastAsia" w:ascii="宋体" w:hAnsi="宋体" w:eastAsia="宋体" w:cs="宋体"/>
              <w:sz w:val="21"/>
              <w:szCs w:val="21"/>
            </w:rPr>
            <w:fldChar w:fldCharType="separate"/>
          </w:r>
          <w:r>
            <w:rPr>
              <w:rFonts w:hint="eastAsia" w:ascii="宋体" w:hAnsi="宋体" w:eastAsia="宋体" w:cs="宋体"/>
              <w:sz w:val="21"/>
              <w:szCs w:val="21"/>
            </w:rPr>
            <w:t>6.9.5 村书记与联盟村的顾虑应对</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_Toc32225 \h </w:instrText>
          </w:r>
          <w:r>
            <w:rPr>
              <w:rFonts w:hint="eastAsia" w:ascii="宋体" w:hAnsi="宋体" w:eastAsia="宋体" w:cs="宋体"/>
              <w:sz w:val="21"/>
              <w:szCs w:val="21"/>
            </w:rPr>
            <w:fldChar w:fldCharType="separate"/>
          </w:r>
          <w:r>
            <w:rPr>
              <w:rFonts w:hint="eastAsia" w:ascii="宋体" w:hAnsi="宋体" w:eastAsia="宋体" w:cs="宋体"/>
              <w:sz w:val="21"/>
              <w:szCs w:val="21"/>
            </w:rPr>
            <w:t>94</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F6F4A75">
          <w:pPr>
            <w:pStyle w:val="8"/>
            <w:tabs>
              <w:tab w:val="right" w:leader="dot" w:pos="8306"/>
            </w:tabs>
            <w:rPr>
              <w:rFonts w:hint="eastAsia" w:ascii="宋体" w:hAnsi="宋体" w:eastAsia="宋体" w:cs="宋体"/>
              <w:sz w:val="24"/>
              <w:szCs w:val="24"/>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_Toc18355 </w:instrText>
          </w:r>
          <w:r>
            <w:rPr>
              <w:rFonts w:hint="eastAsia" w:ascii="宋体" w:hAnsi="宋体" w:eastAsia="宋体" w:cs="宋体"/>
              <w:sz w:val="21"/>
              <w:szCs w:val="21"/>
            </w:rPr>
            <w:fldChar w:fldCharType="separate"/>
          </w:r>
          <w:r>
            <w:rPr>
              <w:rFonts w:hint="eastAsia" w:ascii="宋体" w:hAnsi="宋体" w:eastAsia="宋体" w:cs="宋体"/>
              <w:sz w:val="21"/>
              <w:szCs w:val="21"/>
            </w:rPr>
            <w:t>6.9.6 联盟收益测算</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_Toc18355 \h </w:instrText>
          </w:r>
          <w:r>
            <w:rPr>
              <w:rFonts w:hint="eastAsia" w:ascii="宋体" w:hAnsi="宋体" w:eastAsia="宋体" w:cs="宋体"/>
              <w:sz w:val="21"/>
              <w:szCs w:val="21"/>
            </w:rPr>
            <w:fldChar w:fldCharType="separate"/>
          </w:r>
          <w:r>
            <w:rPr>
              <w:rFonts w:hint="eastAsia" w:ascii="宋体" w:hAnsi="宋体" w:eastAsia="宋体" w:cs="宋体"/>
              <w:sz w:val="21"/>
              <w:szCs w:val="21"/>
            </w:rPr>
            <w:t>94</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271BA0B">
          <w:pPr>
            <w:pStyle w:val="11"/>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_Toc9402 </w:instrText>
          </w:r>
          <w:r>
            <w:rPr>
              <w:rFonts w:hint="eastAsia" w:ascii="宋体" w:hAnsi="宋体" w:eastAsia="宋体" w:cs="宋体"/>
              <w:sz w:val="24"/>
              <w:szCs w:val="24"/>
            </w:rPr>
            <w:fldChar w:fldCharType="separate"/>
          </w:r>
          <w:r>
            <w:rPr>
              <w:rFonts w:hint="eastAsia" w:ascii="黑体" w:hAnsi="黑体" w:eastAsia="黑体" w:cs="黑体"/>
              <w:sz w:val="28"/>
              <w:szCs w:val="28"/>
              <w:lang w:val="en-US" w:eastAsia="zh-CN"/>
            </w:rPr>
            <w:t>第七章 场景体验体系建设</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_Toc9402 \h </w:instrText>
          </w:r>
          <w:r>
            <w:rPr>
              <w:rFonts w:hint="eastAsia" w:ascii="宋体" w:hAnsi="宋体" w:eastAsia="宋体" w:cs="宋体"/>
              <w:sz w:val="24"/>
              <w:szCs w:val="24"/>
            </w:rPr>
            <w:fldChar w:fldCharType="separate"/>
          </w:r>
          <w:r>
            <w:rPr>
              <w:rFonts w:hint="eastAsia" w:ascii="宋体" w:hAnsi="宋体" w:eastAsia="宋体" w:cs="宋体"/>
              <w:sz w:val="24"/>
              <w:szCs w:val="24"/>
            </w:rPr>
            <w:t>95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110A4D9">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_Toc1311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eastAsia="zh-CN"/>
            </w:rPr>
            <w:t>7.1 场景设计逻辑</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_Toc1311 \h </w:instrText>
          </w:r>
          <w:r>
            <w:rPr>
              <w:rFonts w:hint="eastAsia" w:ascii="宋体" w:hAnsi="宋体" w:eastAsia="宋体" w:cs="宋体"/>
              <w:sz w:val="21"/>
              <w:szCs w:val="21"/>
            </w:rPr>
            <w:fldChar w:fldCharType="separate"/>
          </w:r>
          <w:r>
            <w:rPr>
              <w:rFonts w:hint="eastAsia" w:ascii="宋体" w:hAnsi="宋体" w:eastAsia="宋体" w:cs="宋体"/>
              <w:sz w:val="21"/>
              <w:szCs w:val="21"/>
            </w:rPr>
            <w:t>95</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21C9B4F">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_Toc18612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eastAsia="zh-CN"/>
            </w:rPr>
            <w:t>7.2 客群画像与产品匹配矩阵</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_Toc18612 \h </w:instrText>
          </w:r>
          <w:r>
            <w:rPr>
              <w:rFonts w:hint="eastAsia" w:ascii="宋体" w:hAnsi="宋体" w:eastAsia="宋体" w:cs="宋体"/>
              <w:sz w:val="21"/>
              <w:szCs w:val="21"/>
            </w:rPr>
            <w:fldChar w:fldCharType="separate"/>
          </w:r>
          <w:r>
            <w:rPr>
              <w:rFonts w:hint="eastAsia" w:ascii="宋体" w:hAnsi="宋体" w:eastAsia="宋体" w:cs="宋体"/>
              <w:sz w:val="21"/>
              <w:szCs w:val="21"/>
            </w:rPr>
            <w:t>95</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D1294F3">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_Toc11799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eastAsia="zh-CN"/>
            </w:rPr>
            <w:t>7.3 四大体验场景详细设计</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_Toc11799 \h </w:instrText>
          </w:r>
          <w:r>
            <w:rPr>
              <w:rFonts w:hint="eastAsia" w:ascii="宋体" w:hAnsi="宋体" w:eastAsia="宋体" w:cs="宋体"/>
              <w:sz w:val="21"/>
              <w:szCs w:val="21"/>
            </w:rPr>
            <w:fldChar w:fldCharType="separate"/>
          </w:r>
          <w:r>
            <w:rPr>
              <w:rFonts w:hint="eastAsia" w:ascii="宋体" w:hAnsi="宋体" w:eastAsia="宋体" w:cs="宋体"/>
              <w:sz w:val="21"/>
              <w:szCs w:val="21"/>
            </w:rPr>
            <w:t>96</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C330CF4">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_Toc4666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eastAsia="zh-CN"/>
            </w:rPr>
            <w:t>7.3.1 樱桃全链体验场景</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_Toc4666 \h </w:instrText>
          </w:r>
          <w:r>
            <w:rPr>
              <w:rFonts w:hint="eastAsia" w:ascii="宋体" w:hAnsi="宋体" w:eastAsia="宋体" w:cs="宋体"/>
              <w:sz w:val="21"/>
              <w:szCs w:val="21"/>
            </w:rPr>
            <w:fldChar w:fldCharType="separate"/>
          </w:r>
          <w:r>
            <w:rPr>
              <w:rFonts w:hint="eastAsia" w:ascii="宋体" w:hAnsi="宋体" w:eastAsia="宋体" w:cs="宋体"/>
              <w:sz w:val="21"/>
              <w:szCs w:val="21"/>
            </w:rPr>
            <w:t>96</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84635EA">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_Toc31453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eastAsia="zh-CN"/>
            </w:rPr>
            <w:t>7.3.2 水源生态科普场景</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_Toc31453 \h </w:instrText>
          </w:r>
          <w:r>
            <w:rPr>
              <w:rFonts w:hint="eastAsia" w:ascii="宋体" w:hAnsi="宋体" w:eastAsia="宋体" w:cs="宋体"/>
              <w:sz w:val="21"/>
              <w:szCs w:val="21"/>
            </w:rPr>
            <w:fldChar w:fldCharType="separate"/>
          </w:r>
          <w:r>
            <w:rPr>
              <w:rFonts w:hint="eastAsia" w:ascii="宋体" w:hAnsi="宋体" w:eastAsia="宋体" w:cs="宋体"/>
              <w:sz w:val="21"/>
              <w:szCs w:val="21"/>
            </w:rPr>
            <w:t>96</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041ECAF">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_Toc19455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eastAsia="zh-CN"/>
            </w:rPr>
            <w:t>7.3.3 东庄骑行+采摘一日套餐场景</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_Toc19455 \h </w:instrText>
          </w:r>
          <w:r>
            <w:rPr>
              <w:rFonts w:hint="eastAsia" w:ascii="宋体" w:hAnsi="宋体" w:eastAsia="宋体" w:cs="宋体"/>
              <w:sz w:val="21"/>
              <w:szCs w:val="21"/>
            </w:rPr>
            <w:fldChar w:fldCharType="separate"/>
          </w:r>
          <w:r>
            <w:rPr>
              <w:rFonts w:hint="eastAsia" w:ascii="宋体" w:hAnsi="宋体" w:eastAsia="宋体" w:cs="宋体"/>
              <w:sz w:val="21"/>
              <w:szCs w:val="21"/>
            </w:rPr>
            <w:t>97</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B4CD583">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_Toc6380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eastAsia="zh-CN"/>
            </w:rPr>
            <w:t>7.3.4 樱桃骑行研学闯关场景</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_Toc6380 \h </w:instrText>
          </w:r>
          <w:r>
            <w:rPr>
              <w:rFonts w:hint="eastAsia" w:ascii="宋体" w:hAnsi="宋体" w:eastAsia="宋体" w:cs="宋体"/>
              <w:sz w:val="21"/>
              <w:szCs w:val="21"/>
            </w:rPr>
            <w:fldChar w:fldCharType="separate"/>
          </w:r>
          <w:r>
            <w:rPr>
              <w:rFonts w:hint="eastAsia" w:ascii="宋体" w:hAnsi="宋体" w:eastAsia="宋体" w:cs="宋体"/>
              <w:sz w:val="21"/>
              <w:szCs w:val="21"/>
            </w:rPr>
            <w:t>97</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81DA6DE">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_Toc3289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eastAsia="zh-CN"/>
            </w:rPr>
            <w:t>7.4 用户旅程地图</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_Toc3289 \h </w:instrText>
          </w:r>
          <w:r>
            <w:rPr>
              <w:rFonts w:hint="eastAsia" w:ascii="宋体" w:hAnsi="宋体" w:eastAsia="宋体" w:cs="宋体"/>
              <w:sz w:val="21"/>
              <w:szCs w:val="21"/>
            </w:rPr>
            <w:fldChar w:fldCharType="separate"/>
          </w:r>
          <w:r>
            <w:rPr>
              <w:rFonts w:hint="eastAsia" w:ascii="宋体" w:hAnsi="宋体" w:eastAsia="宋体" w:cs="宋体"/>
              <w:sz w:val="21"/>
              <w:szCs w:val="21"/>
            </w:rPr>
            <w:t>98</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06511FE">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_Toc3551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eastAsia="zh-CN"/>
            </w:rPr>
            <w:t>7.5 四季产品矩阵</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_Toc3551 \h </w:instrText>
          </w:r>
          <w:r>
            <w:rPr>
              <w:rFonts w:hint="eastAsia" w:ascii="宋体" w:hAnsi="宋体" w:eastAsia="宋体" w:cs="宋体"/>
              <w:sz w:val="21"/>
              <w:szCs w:val="21"/>
            </w:rPr>
            <w:fldChar w:fldCharType="separate"/>
          </w:r>
          <w:r>
            <w:rPr>
              <w:rFonts w:hint="eastAsia" w:ascii="宋体" w:hAnsi="宋体" w:eastAsia="宋体" w:cs="宋体"/>
              <w:sz w:val="21"/>
              <w:szCs w:val="21"/>
            </w:rPr>
            <w:t>98</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EC29B2C">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_Toc28055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eastAsia="zh-CN"/>
            </w:rPr>
            <w:t>7.6 三产融合路径</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_Toc28055 \h </w:instrText>
          </w:r>
          <w:r>
            <w:rPr>
              <w:rFonts w:hint="eastAsia" w:ascii="宋体" w:hAnsi="宋体" w:eastAsia="宋体" w:cs="宋体"/>
              <w:sz w:val="21"/>
              <w:szCs w:val="21"/>
            </w:rPr>
            <w:fldChar w:fldCharType="separate"/>
          </w:r>
          <w:r>
            <w:rPr>
              <w:rFonts w:hint="eastAsia" w:ascii="宋体" w:hAnsi="宋体" w:eastAsia="宋体" w:cs="宋体"/>
              <w:sz w:val="21"/>
              <w:szCs w:val="21"/>
            </w:rPr>
            <w:t>99</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27B2CB0">
          <w:pPr>
            <w:pStyle w:val="12"/>
            <w:tabs>
              <w:tab w:val="right" w:leader="dot" w:pos="8306"/>
            </w:tabs>
            <w:rPr>
              <w:rFonts w:hint="eastAsia" w:ascii="宋体" w:hAnsi="宋体" w:eastAsia="宋体" w:cs="宋体"/>
              <w:sz w:val="24"/>
              <w:szCs w:val="24"/>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_Toc31360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eastAsia="zh-CN"/>
            </w:rPr>
            <w:t>7.7 场景收益模型</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_Toc31360 \h </w:instrText>
          </w:r>
          <w:r>
            <w:rPr>
              <w:rFonts w:hint="eastAsia" w:ascii="宋体" w:hAnsi="宋体" w:eastAsia="宋体" w:cs="宋体"/>
              <w:sz w:val="21"/>
              <w:szCs w:val="21"/>
            </w:rPr>
            <w:fldChar w:fldCharType="separate"/>
          </w:r>
          <w:r>
            <w:rPr>
              <w:rFonts w:hint="eastAsia" w:ascii="宋体" w:hAnsi="宋体" w:eastAsia="宋体" w:cs="宋体"/>
              <w:sz w:val="21"/>
              <w:szCs w:val="21"/>
            </w:rPr>
            <w:t>99</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3917F83">
          <w:pPr>
            <w:pStyle w:val="11"/>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_Toc4675 </w:instrText>
          </w:r>
          <w:r>
            <w:rPr>
              <w:rFonts w:hint="eastAsia" w:ascii="宋体" w:hAnsi="宋体" w:eastAsia="宋体" w:cs="宋体"/>
              <w:sz w:val="24"/>
              <w:szCs w:val="24"/>
            </w:rPr>
            <w:fldChar w:fldCharType="separate"/>
          </w:r>
          <w:r>
            <w:rPr>
              <w:rFonts w:hint="eastAsia" w:ascii="黑体" w:hAnsi="黑体" w:eastAsia="黑体" w:cs="黑体"/>
              <w:bCs/>
              <w:sz w:val="28"/>
              <w:szCs w:val="28"/>
              <w:lang w:val="en-US" w:eastAsia="zh-CN" w:bidi="ar-SA"/>
            </w:rPr>
            <w:t>第八章  数字化平台建设方案</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_Toc4675 \h </w:instrText>
          </w:r>
          <w:r>
            <w:rPr>
              <w:rFonts w:hint="eastAsia" w:ascii="宋体" w:hAnsi="宋体" w:eastAsia="宋体" w:cs="宋体"/>
              <w:sz w:val="24"/>
              <w:szCs w:val="24"/>
            </w:rPr>
            <w:fldChar w:fldCharType="separate"/>
          </w:r>
          <w:r>
            <w:rPr>
              <w:rFonts w:hint="eastAsia" w:ascii="宋体" w:hAnsi="宋体" w:eastAsia="宋体" w:cs="宋体"/>
              <w:sz w:val="24"/>
              <w:szCs w:val="24"/>
            </w:rPr>
            <w:t>101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CD0A4EA">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_Toc1906 </w:instrText>
          </w:r>
          <w:r>
            <w:rPr>
              <w:rFonts w:hint="eastAsia" w:ascii="宋体" w:hAnsi="宋体" w:eastAsia="宋体" w:cs="宋体"/>
              <w:sz w:val="21"/>
              <w:szCs w:val="21"/>
            </w:rPr>
            <w:fldChar w:fldCharType="separate"/>
          </w:r>
          <w:r>
            <w:rPr>
              <w:rFonts w:hint="eastAsia" w:ascii="宋体" w:hAnsi="宋体" w:eastAsia="宋体" w:cs="宋体"/>
              <w:bCs/>
              <w:sz w:val="21"/>
              <w:szCs w:val="21"/>
              <w:lang w:val="en-US" w:eastAsia="zh-CN" w:bidi="ar-SA"/>
            </w:rPr>
            <w:t>8.1  平台定位</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_Toc1906 \h </w:instrText>
          </w:r>
          <w:r>
            <w:rPr>
              <w:rFonts w:hint="eastAsia" w:ascii="宋体" w:hAnsi="宋体" w:eastAsia="宋体" w:cs="宋体"/>
              <w:sz w:val="21"/>
              <w:szCs w:val="21"/>
            </w:rPr>
            <w:fldChar w:fldCharType="separate"/>
          </w:r>
          <w:r>
            <w:rPr>
              <w:rFonts w:hint="eastAsia" w:ascii="宋体" w:hAnsi="宋体" w:eastAsia="宋体" w:cs="宋体"/>
              <w:sz w:val="21"/>
              <w:szCs w:val="21"/>
            </w:rPr>
            <w:t>101</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2996975">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_Toc19118 </w:instrText>
          </w:r>
          <w:r>
            <w:rPr>
              <w:rFonts w:hint="eastAsia" w:ascii="宋体" w:hAnsi="宋体" w:eastAsia="宋体" w:cs="宋体"/>
              <w:sz w:val="21"/>
              <w:szCs w:val="21"/>
            </w:rPr>
            <w:fldChar w:fldCharType="separate"/>
          </w:r>
          <w:r>
            <w:rPr>
              <w:rFonts w:hint="eastAsia" w:ascii="宋体" w:hAnsi="宋体" w:eastAsia="宋体" w:cs="宋体"/>
              <w:bCs/>
              <w:sz w:val="21"/>
              <w:szCs w:val="21"/>
              <w:lang w:val="en-US" w:eastAsia="zh-CN" w:bidi="ar-SA"/>
            </w:rPr>
            <w:t>8.2  功能架构</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_Toc19118 \h </w:instrText>
          </w:r>
          <w:r>
            <w:rPr>
              <w:rFonts w:hint="eastAsia" w:ascii="宋体" w:hAnsi="宋体" w:eastAsia="宋体" w:cs="宋体"/>
              <w:sz w:val="21"/>
              <w:szCs w:val="21"/>
            </w:rPr>
            <w:fldChar w:fldCharType="separate"/>
          </w:r>
          <w:r>
            <w:rPr>
              <w:rFonts w:hint="eastAsia" w:ascii="宋体" w:hAnsi="宋体" w:eastAsia="宋体" w:cs="宋体"/>
              <w:sz w:val="21"/>
              <w:szCs w:val="21"/>
            </w:rPr>
            <w:t>101</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252FA69">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_Toc20501 </w:instrText>
          </w:r>
          <w:r>
            <w:rPr>
              <w:rFonts w:hint="eastAsia" w:ascii="宋体" w:hAnsi="宋体" w:eastAsia="宋体" w:cs="宋体"/>
              <w:sz w:val="21"/>
              <w:szCs w:val="21"/>
            </w:rPr>
            <w:fldChar w:fldCharType="separate"/>
          </w:r>
          <w:r>
            <w:rPr>
              <w:rFonts w:hint="eastAsia" w:ascii="宋体" w:hAnsi="宋体" w:eastAsia="宋体" w:cs="宋体"/>
              <w:bCs/>
              <w:sz w:val="21"/>
              <w:szCs w:val="21"/>
              <w:lang w:val="en-US" w:eastAsia="en-US" w:bidi="ar-SA"/>
            </w:rPr>
            <w:t>8.2.1  功能模块总览</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_Toc20501 \h </w:instrText>
          </w:r>
          <w:r>
            <w:rPr>
              <w:rFonts w:hint="eastAsia" w:ascii="宋体" w:hAnsi="宋体" w:eastAsia="宋体" w:cs="宋体"/>
              <w:sz w:val="21"/>
              <w:szCs w:val="21"/>
            </w:rPr>
            <w:fldChar w:fldCharType="separate"/>
          </w:r>
          <w:r>
            <w:rPr>
              <w:rFonts w:hint="eastAsia" w:ascii="宋体" w:hAnsi="宋体" w:eastAsia="宋体" w:cs="宋体"/>
              <w:sz w:val="21"/>
              <w:szCs w:val="21"/>
            </w:rPr>
            <w:t>101</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7E05E74">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_Toc27711 </w:instrText>
          </w:r>
          <w:r>
            <w:rPr>
              <w:rFonts w:hint="eastAsia" w:ascii="宋体" w:hAnsi="宋体" w:eastAsia="宋体" w:cs="宋体"/>
              <w:sz w:val="21"/>
              <w:szCs w:val="21"/>
            </w:rPr>
            <w:fldChar w:fldCharType="separate"/>
          </w:r>
          <w:r>
            <w:rPr>
              <w:rFonts w:hint="eastAsia" w:ascii="宋体" w:hAnsi="宋体" w:eastAsia="宋体" w:cs="宋体"/>
              <w:bCs/>
              <w:sz w:val="21"/>
              <w:szCs w:val="21"/>
              <w:lang w:val="en-US" w:eastAsia="en-US" w:bidi="ar-SA"/>
            </w:rPr>
            <w:t>8.2.2  五Tab导航结构</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_Toc27711 \h </w:instrText>
          </w:r>
          <w:r>
            <w:rPr>
              <w:rFonts w:hint="eastAsia" w:ascii="宋体" w:hAnsi="宋体" w:eastAsia="宋体" w:cs="宋体"/>
              <w:sz w:val="21"/>
              <w:szCs w:val="21"/>
            </w:rPr>
            <w:fldChar w:fldCharType="separate"/>
          </w:r>
          <w:r>
            <w:rPr>
              <w:rFonts w:hint="eastAsia" w:ascii="宋体" w:hAnsi="宋体" w:eastAsia="宋体" w:cs="宋体"/>
              <w:sz w:val="21"/>
              <w:szCs w:val="21"/>
            </w:rPr>
            <w:t>102</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45DEB77">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_Toc1424 </w:instrText>
          </w:r>
          <w:r>
            <w:rPr>
              <w:rFonts w:hint="eastAsia" w:ascii="宋体" w:hAnsi="宋体" w:eastAsia="宋体" w:cs="宋体"/>
              <w:sz w:val="21"/>
              <w:szCs w:val="21"/>
            </w:rPr>
            <w:fldChar w:fldCharType="separate"/>
          </w:r>
          <w:r>
            <w:rPr>
              <w:rFonts w:hint="eastAsia" w:ascii="宋体" w:hAnsi="宋体" w:eastAsia="宋体" w:cs="宋体"/>
              <w:bCs/>
              <w:sz w:val="21"/>
              <w:szCs w:val="21"/>
              <w:lang w:val="en-US" w:eastAsia="zh-CN" w:bidi="ar-SA"/>
            </w:rPr>
            <w:t>8.3  技术方案</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_Toc1424 \h </w:instrText>
          </w:r>
          <w:r>
            <w:rPr>
              <w:rFonts w:hint="eastAsia" w:ascii="宋体" w:hAnsi="宋体" w:eastAsia="宋体" w:cs="宋体"/>
              <w:sz w:val="21"/>
              <w:szCs w:val="21"/>
            </w:rPr>
            <w:fldChar w:fldCharType="separate"/>
          </w:r>
          <w:r>
            <w:rPr>
              <w:rFonts w:hint="eastAsia" w:ascii="宋体" w:hAnsi="宋体" w:eastAsia="宋体" w:cs="宋体"/>
              <w:sz w:val="21"/>
              <w:szCs w:val="21"/>
            </w:rPr>
            <w:t>103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64518C6">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_Toc22364 </w:instrText>
          </w:r>
          <w:r>
            <w:rPr>
              <w:rFonts w:hint="eastAsia" w:ascii="宋体" w:hAnsi="宋体" w:eastAsia="宋体" w:cs="宋体"/>
              <w:sz w:val="21"/>
              <w:szCs w:val="21"/>
            </w:rPr>
            <w:fldChar w:fldCharType="separate"/>
          </w:r>
          <w:r>
            <w:rPr>
              <w:rFonts w:hint="eastAsia" w:ascii="宋体" w:hAnsi="宋体" w:eastAsia="宋体" w:cs="宋体"/>
              <w:bCs/>
              <w:sz w:val="21"/>
              <w:szCs w:val="21"/>
              <w:lang w:val="en-US" w:eastAsia="zh-CN" w:bidi="ar-SA"/>
            </w:rPr>
            <w:t>8.4  核心功能设计</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_Toc22364 \h </w:instrText>
          </w:r>
          <w:r>
            <w:rPr>
              <w:rFonts w:hint="eastAsia" w:ascii="宋体" w:hAnsi="宋体" w:eastAsia="宋体" w:cs="宋体"/>
              <w:sz w:val="21"/>
              <w:szCs w:val="21"/>
            </w:rPr>
            <w:fldChar w:fldCharType="separate"/>
          </w:r>
          <w:r>
            <w:rPr>
              <w:rFonts w:hint="eastAsia" w:ascii="宋体" w:hAnsi="宋体" w:eastAsia="宋体" w:cs="宋体"/>
              <w:sz w:val="21"/>
              <w:szCs w:val="21"/>
            </w:rPr>
            <w:t>103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ACC106D">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_Toc4905 </w:instrText>
          </w:r>
          <w:r>
            <w:rPr>
              <w:rFonts w:hint="eastAsia" w:ascii="宋体" w:hAnsi="宋体" w:eastAsia="宋体" w:cs="宋体"/>
              <w:sz w:val="21"/>
              <w:szCs w:val="21"/>
            </w:rPr>
            <w:fldChar w:fldCharType="separate"/>
          </w:r>
          <w:r>
            <w:rPr>
              <w:rFonts w:hint="eastAsia" w:ascii="宋体" w:hAnsi="宋体" w:eastAsia="宋体" w:cs="宋体"/>
              <w:bCs/>
              <w:sz w:val="21"/>
              <w:szCs w:val="21"/>
              <w:lang w:val="en-US" w:eastAsia="zh-CN" w:bidi="ar-SA"/>
            </w:rPr>
            <w:t>8.4.1  骑行导览与打卡系统</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_Toc4905 \h </w:instrText>
          </w:r>
          <w:r>
            <w:rPr>
              <w:rFonts w:hint="eastAsia" w:ascii="宋体" w:hAnsi="宋体" w:eastAsia="宋体" w:cs="宋体"/>
              <w:sz w:val="21"/>
              <w:szCs w:val="21"/>
            </w:rPr>
            <w:fldChar w:fldCharType="separate"/>
          </w:r>
          <w:r>
            <w:rPr>
              <w:rFonts w:hint="eastAsia" w:ascii="宋体" w:hAnsi="宋体" w:eastAsia="宋体" w:cs="宋体"/>
              <w:sz w:val="21"/>
              <w:szCs w:val="21"/>
            </w:rPr>
            <w:t>103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64CDE2A">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_Toc27873 </w:instrText>
          </w:r>
          <w:r>
            <w:rPr>
              <w:rFonts w:hint="eastAsia" w:ascii="宋体" w:hAnsi="宋体" w:eastAsia="宋体" w:cs="宋体"/>
              <w:sz w:val="21"/>
              <w:szCs w:val="21"/>
            </w:rPr>
            <w:fldChar w:fldCharType="separate"/>
          </w:r>
          <w:r>
            <w:rPr>
              <w:rFonts w:hint="eastAsia" w:ascii="宋体" w:hAnsi="宋体" w:eastAsia="宋体" w:cs="宋体"/>
              <w:bCs/>
              <w:sz w:val="21"/>
              <w:szCs w:val="21"/>
              <w:lang w:val="en-US" w:eastAsia="zh-CN" w:bidi="ar-SA"/>
            </w:rPr>
            <w:t>8.4.2  樱桃商城与品牌叙事</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_Toc27873 \h </w:instrText>
          </w:r>
          <w:r>
            <w:rPr>
              <w:rFonts w:hint="eastAsia" w:ascii="宋体" w:hAnsi="宋体" w:eastAsia="宋体" w:cs="宋体"/>
              <w:sz w:val="21"/>
              <w:szCs w:val="21"/>
            </w:rPr>
            <w:fldChar w:fldCharType="separate"/>
          </w:r>
          <w:r>
            <w:rPr>
              <w:rFonts w:hint="eastAsia" w:ascii="宋体" w:hAnsi="宋体" w:eastAsia="宋体" w:cs="宋体"/>
              <w:sz w:val="21"/>
              <w:szCs w:val="21"/>
            </w:rPr>
            <w:t>104</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75F65CE">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_Toc5709 </w:instrText>
          </w:r>
          <w:r>
            <w:rPr>
              <w:rFonts w:hint="eastAsia" w:ascii="宋体" w:hAnsi="宋体" w:eastAsia="宋体" w:cs="宋体"/>
              <w:sz w:val="21"/>
              <w:szCs w:val="21"/>
            </w:rPr>
            <w:fldChar w:fldCharType="separate"/>
          </w:r>
          <w:r>
            <w:rPr>
              <w:rFonts w:hint="eastAsia" w:ascii="宋体" w:hAnsi="宋体" w:eastAsia="宋体" w:cs="宋体"/>
              <w:bCs/>
              <w:sz w:val="21"/>
              <w:szCs w:val="21"/>
              <w:lang w:val="en-US" w:eastAsia="zh-CN" w:bidi="ar-SA"/>
            </w:rPr>
            <w:t>8.4.3  果树认养与数字孪生</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_Toc5709 \h </w:instrText>
          </w:r>
          <w:r>
            <w:rPr>
              <w:rFonts w:hint="eastAsia" w:ascii="宋体" w:hAnsi="宋体" w:eastAsia="宋体" w:cs="宋体"/>
              <w:sz w:val="21"/>
              <w:szCs w:val="21"/>
            </w:rPr>
            <w:fldChar w:fldCharType="separate"/>
          </w:r>
          <w:r>
            <w:rPr>
              <w:rFonts w:hint="eastAsia" w:ascii="宋体" w:hAnsi="宋体" w:eastAsia="宋体" w:cs="宋体"/>
              <w:sz w:val="21"/>
              <w:szCs w:val="21"/>
            </w:rPr>
            <w:t>105</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31416F7E">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_Toc7295 </w:instrText>
          </w:r>
          <w:r>
            <w:rPr>
              <w:rFonts w:hint="eastAsia" w:ascii="宋体" w:hAnsi="宋体" w:eastAsia="宋体" w:cs="宋体"/>
              <w:sz w:val="21"/>
              <w:szCs w:val="21"/>
            </w:rPr>
            <w:fldChar w:fldCharType="separate"/>
          </w:r>
          <w:r>
            <w:rPr>
              <w:rFonts w:hint="eastAsia" w:ascii="宋体" w:hAnsi="宋体" w:eastAsia="宋体" w:cs="宋体"/>
              <w:bCs/>
              <w:sz w:val="21"/>
              <w:szCs w:val="21"/>
              <w:lang w:val="en-US" w:eastAsia="zh-CN" w:bidi="ar-SA"/>
            </w:rPr>
            <w:t>8.4.4  AI智能行程推荐</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_Toc7295 \h </w:instrText>
          </w:r>
          <w:r>
            <w:rPr>
              <w:rFonts w:hint="eastAsia" w:ascii="宋体" w:hAnsi="宋体" w:eastAsia="宋体" w:cs="宋体"/>
              <w:sz w:val="21"/>
              <w:szCs w:val="21"/>
            </w:rPr>
            <w:fldChar w:fldCharType="separate"/>
          </w:r>
          <w:r>
            <w:rPr>
              <w:rFonts w:hint="eastAsia" w:ascii="宋体" w:hAnsi="宋体" w:eastAsia="宋体" w:cs="宋体"/>
              <w:sz w:val="21"/>
              <w:szCs w:val="21"/>
            </w:rPr>
            <w:t>106</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614754C">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_Toc20475 </w:instrText>
          </w:r>
          <w:r>
            <w:rPr>
              <w:rFonts w:hint="eastAsia" w:ascii="宋体" w:hAnsi="宋体" w:eastAsia="宋体" w:cs="宋体"/>
              <w:sz w:val="21"/>
              <w:szCs w:val="21"/>
            </w:rPr>
            <w:fldChar w:fldCharType="separate"/>
          </w:r>
          <w:r>
            <w:rPr>
              <w:rFonts w:hint="eastAsia" w:ascii="宋体" w:hAnsi="宋体" w:eastAsia="宋体" w:cs="宋体"/>
              <w:bCs/>
              <w:sz w:val="21"/>
              <w:szCs w:val="21"/>
              <w:lang w:val="en-US" w:eastAsia="zh-CN" w:bidi="ar-SA"/>
            </w:rPr>
            <w:t>8.4.5  生态数据看板</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_Toc20475 \h </w:instrText>
          </w:r>
          <w:r>
            <w:rPr>
              <w:rFonts w:hint="eastAsia" w:ascii="宋体" w:hAnsi="宋体" w:eastAsia="宋体" w:cs="宋体"/>
              <w:sz w:val="21"/>
              <w:szCs w:val="21"/>
            </w:rPr>
            <w:fldChar w:fldCharType="separate"/>
          </w:r>
          <w:r>
            <w:rPr>
              <w:rFonts w:hint="eastAsia" w:ascii="宋体" w:hAnsi="宋体" w:eastAsia="宋体" w:cs="宋体"/>
              <w:sz w:val="21"/>
              <w:szCs w:val="21"/>
            </w:rPr>
            <w:t>106</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13F60CE">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_Toc15105 </w:instrText>
          </w:r>
          <w:r>
            <w:rPr>
              <w:rFonts w:hint="eastAsia" w:ascii="宋体" w:hAnsi="宋体" w:eastAsia="宋体" w:cs="宋体"/>
              <w:sz w:val="21"/>
              <w:szCs w:val="21"/>
            </w:rPr>
            <w:fldChar w:fldCharType="separate"/>
          </w:r>
          <w:r>
            <w:rPr>
              <w:rFonts w:hint="eastAsia" w:ascii="宋体" w:hAnsi="宋体" w:eastAsia="宋体" w:cs="宋体"/>
              <w:bCs/>
              <w:sz w:val="21"/>
              <w:szCs w:val="21"/>
              <w:lang w:val="en-US" w:eastAsia="en-US" w:bidi="ar-SA"/>
            </w:rPr>
            <w:t>8.5  开发实现</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_Toc15105 \h </w:instrText>
          </w:r>
          <w:r>
            <w:rPr>
              <w:rFonts w:hint="eastAsia" w:ascii="宋体" w:hAnsi="宋体" w:eastAsia="宋体" w:cs="宋体"/>
              <w:sz w:val="21"/>
              <w:szCs w:val="21"/>
            </w:rPr>
            <w:fldChar w:fldCharType="separate"/>
          </w:r>
          <w:r>
            <w:rPr>
              <w:rFonts w:hint="eastAsia" w:ascii="宋体" w:hAnsi="宋体" w:eastAsia="宋体" w:cs="宋体"/>
              <w:sz w:val="21"/>
              <w:szCs w:val="21"/>
            </w:rPr>
            <w:t>108</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869C139">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_Toc8818 </w:instrText>
          </w:r>
          <w:r>
            <w:rPr>
              <w:rFonts w:hint="eastAsia" w:ascii="宋体" w:hAnsi="宋体" w:eastAsia="宋体" w:cs="宋体"/>
              <w:sz w:val="21"/>
              <w:szCs w:val="21"/>
            </w:rPr>
            <w:fldChar w:fldCharType="separate"/>
          </w:r>
          <w:r>
            <w:rPr>
              <w:rFonts w:hint="eastAsia" w:ascii="宋体" w:hAnsi="宋体" w:eastAsia="宋体" w:cs="宋体"/>
              <w:bCs/>
              <w:sz w:val="21"/>
              <w:szCs w:val="21"/>
              <w:lang w:val="en-US" w:eastAsia="zh-CN" w:bidi="ar-SA"/>
            </w:rPr>
            <w:t>8.6  运营策略</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_Toc8818 \h </w:instrText>
          </w:r>
          <w:r>
            <w:rPr>
              <w:rFonts w:hint="eastAsia" w:ascii="宋体" w:hAnsi="宋体" w:eastAsia="宋体" w:cs="宋体"/>
              <w:sz w:val="21"/>
              <w:szCs w:val="21"/>
            </w:rPr>
            <w:fldChar w:fldCharType="separate"/>
          </w:r>
          <w:r>
            <w:rPr>
              <w:rFonts w:hint="eastAsia" w:ascii="宋体" w:hAnsi="宋体" w:eastAsia="宋体" w:cs="宋体"/>
              <w:sz w:val="21"/>
              <w:szCs w:val="21"/>
            </w:rPr>
            <w:t>108</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43160FA4">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_Toc1989 </w:instrText>
          </w:r>
          <w:r>
            <w:rPr>
              <w:rFonts w:hint="eastAsia" w:ascii="宋体" w:hAnsi="宋体" w:eastAsia="宋体" w:cs="宋体"/>
              <w:sz w:val="21"/>
              <w:szCs w:val="21"/>
            </w:rPr>
            <w:fldChar w:fldCharType="separate"/>
          </w:r>
          <w:r>
            <w:rPr>
              <w:rFonts w:hint="eastAsia" w:ascii="宋体" w:hAnsi="宋体" w:eastAsia="宋体" w:cs="宋体"/>
              <w:bCs/>
              <w:sz w:val="21"/>
              <w:szCs w:val="21"/>
              <w:lang w:val="en-US" w:eastAsia="zh-CN" w:bidi="ar-SA"/>
            </w:rPr>
            <w:t>8.6.1  冷启动</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_Toc1989 \h </w:instrText>
          </w:r>
          <w:r>
            <w:rPr>
              <w:rFonts w:hint="eastAsia" w:ascii="宋体" w:hAnsi="宋体" w:eastAsia="宋体" w:cs="宋体"/>
              <w:sz w:val="21"/>
              <w:szCs w:val="21"/>
            </w:rPr>
            <w:fldChar w:fldCharType="separate"/>
          </w:r>
          <w:r>
            <w:rPr>
              <w:rFonts w:hint="eastAsia" w:ascii="宋体" w:hAnsi="宋体" w:eastAsia="宋体" w:cs="宋体"/>
              <w:sz w:val="21"/>
              <w:szCs w:val="21"/>
            </w:rPr>
            <w:t>108</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49D8A2FF">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_Toc1354 </w:instrText>
          </w:r>
          <w:r>
            <w:rPr>
              <w:rFonts w:hint="eastAsia" w:ascii="宋体" w:hAnsi="宋体" w:eastAsia="宋体" w:cs="宋体"/>
              <w:sz w:val="21"/>
              <w:szCs w:val="21"/>
            </w:rPr>
            <w:fldChar w:fldCharType="separate"/>
          </w:r>
          <w:r>
            <w:rPr>
              <w:rFonts w:hint="eastAsia" w:ascii="宋体" w:hAnsi="宋体" w:eastAsia="宋体" w:cs="宋体"/>
              <w:bCs/>
              <w:sz w:val="21"/>
              <w:szCs w:val="21"/>
              <w:lang w:val="en-US" w:eastAsia="zh-CN" w:bidi="ar-SA"/>
            </w:rPr>
            <w:t>8.6.2  用户留存</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_Toc1354 \h </w:instrText>
          </w:r>
          <w:r>
            <w:rPr>
              <w:rFonts w:hint="eastAsia" w:ascii="宋体" w:hAnsi="宋体" w:eastAsia="宋体" w:cs="宋体"/>
              <w:sz w:val="21"/>
              <w:szCs w:val="21"/>
            </w:rPr>
            <w:fldChar w:fldCharType="separate"/>
          </w:r>
          <w:r>
            <w:rPr>
              <w:rFonts w:hint="eastAsia" w:ascii="宋体" w:hAnsi="宋体" w:eastAsia="宋体" w:cs="宋体"/>
              <w:sz w:val="21"/>
              <w:szCs w:val="21"/>
            </w:rPr>
            <w:t>108</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C98E41C">
          <w:pPr>
            <w:pStyle w:val="8"/>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_Toc17132 </w:instrText>
          </w:r>
          <w:r>
            <w:rPr>
              <w:rFonts w:hint="eastAsia" w:ascii="宋体" w:hAnsi="宋体" w:eastAsia="宋体" w:cs="宋体"/>
              <w:sz w:val="21"/>
              <w:szCs w:val="21"/>
            </w:rPr>
            <w:fldChar w:fldCharType="separate"/>
          </w:r>
          <w:r>
            <w:rPr>
              <w:rFonts w:hint="eastAsia" w:ascii="宋体" w:hAnsi="宋体" w:eastAsia="宋体" w:cs="宋体"/>
              <w:bCs/>
              <w:sz w:val="21"/>
              <w:szCs w:val="21"/>
              <w:lang w:val="en-US" w:eastAsia="zh-CN" w:bidi="ar-SA"/>
            </w:rPr>
            <w:t>8.6.3  变现路径</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_Toc17132 \h </w:instrText>
          </w:r>
          <w:r>
            <w:rPr>
              <w:rFonts w:hint="eastAsia" w:ascii="宋体" w:hAnsi="宋体" w:eastAsia="宋体" w:cs="宋体"/>
              <w:sz w:val="21"/>
              <w:szCs w:val="21"/>
            </w:rPr>
            <w:fldChar w:fldCharType="separate"/>
          </w:r>
          <w:r>
            <w:rPr>
              <w:rFonts w:hint="eastAsia" w:ascii="宋体" w:hAnsi="宋体" w:eastAsia="宋体" w:cs="宋体"/>
              <w:sz w:val="21"/>
              <w:szCs w:val="21"/>
            </w:rPr>
            <w:t>109</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F1D9272">
          <w:pPr>
            <w:pStyle w:val="12"/>
            <w:tabs>
              <w:tab w:val="right" w:leader="dot" w:pos="8306"/>
            </w:tabs>
            <w:rPr>
              <w:rFonts w:hint="eastAsia" w:ascii="宋体" w:hAnsi="宋体" w:eastAsia="宋体" w:cs="宋体"/>
              <w:sz w:val="24"/>
              <w:szCs w:val="24"/>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_Toc27495 </w:instrText>
          </w:r>
          <w:r>
            <w:rPr>
              <w:rFonts w:hint="eastAsia" w:ascii="宋体" w:hAnsi="宋体" w:eastAsia="宋体" w:cs="宋体"/>
              <w:sz w:val="21"/>
              <w:szCs w:val="21"/>
            </w:rPr>
            <w:fldChar w:fldCharType="separate"/>
          </w:r>
          <w:r>
            <w:rPr>
              <w:rFonts w:hint="eastAsia" w:ascii="宋体" w:hAnsi="宋体" w:eastAsia="宋体" w:cs="宋体"/>
              <w:bCs/>
              <w:sz w:val="21"/>
              <w:szCs w:val="21"/>
              <w:lang w:val="en-US" w:eastAsia="zh-CN" w:bidi="ar-SA"/>
            </w:rPr>
            <w:t>8.7  本章小结</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_Toc27495 \h </w:instrText>
          </w:r>
          <w:r>
            <w:rPr>
              <w:rFonts w:hint="eastAsia" w:ascii="宋体" w:hAnsi="宋体" w:eastAsia="宋体" w:cs="宋体"/>
              <w:sz w:val="21"/>
              <w:szCs w:val="21"/>
            </w:rPr>
            <w:fldChar w:fldCharType="separate"/>
          </w:r>
          <w:r>
            <w:rPr>
              <w:rFonts w:hint="eastAsia" w:ascii="宋体" w:hAnsi="宋体" w:eastAsia="宋体" w:cs="宋体"/>
              <w:sz w:val="21"/>
              <w:szCs w:val="21"/>
            </w:rPr>
            <w:t>109</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AC4C54C">
          <w:pPr>
            <w:pStyle w:val="11"/>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_Toc519 </w:instrText>
          </w:r>
          <w:r>
            <w:rPr>
              <w:rFonts w:hint="eastAsia" w:ascii="宋体" w:hAnsi="宋体" w:eastAsia="宋体" w:cs="宋体"/>
              <w:sz w:val="24"/>
              <w:szCs w:val="24"/>
            </w:rPr>
            <w:fldChar w:fldCharType="separate"/>
          </w:r>
          <w:r>
            <w:rPr>
              <w:rFonts w:hint="eastAsia" w:ascii="黑体" w:hAnsi="黑体" w:eastAsia="黑体" w:cs="黑体"/>
              <w:sz w:val="28"/>
              <w:szCs w:val="28"/>
            </w:rPr>
            <w:t>第九章 实施路径与风险管理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_Toc519 \h </w:instrText>
          </w:r>
          <w:r>
            <w:rPr>
              <w:rFonts w:hint="eastAsia" w:ascii="宋体" w:hAnsi="宋体" w:eastAsia="宋体" w:cs="宋体"/>
              <w:sz w:val="24"/>
              <w:szCs w:val="24"/>
            </w:rPr>
            <w:fldChar w:fldCharType="separate"/>
          </w:r>
          <w:r>
            <w:rPr>
              <w:rFonts w:hint="eastAsia" w:ascii="宋体" w:hAnsi="宋体" w:eastAsia="宋体" w:cs="宋体"/>
              <w:sz w:val="24"/>
              <w:szCs w:val="24"/>
            </w:rPr>
            <w:t>109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84726F1">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_Toc12640 </w:instrText>
          </w:r>
          <w:r>
            <w:rPr>
              <w:rFonts w:hint="eastAsia" w:ascii="宋体" w:hAnsi="宋体" w:eastAsia="宋体" w:cs="宋体"/>
              <w:sz w:val="21"/>
              <w:szCs w:val="21"/>
            </w:rPr>
            <w:fldChar w:fldCharType="separate"/>
          </w:r>
          <w:r>
            <w:rPr>
              <w:rFonts w:hint="eastAsia" w:ascii="宋体" w:hAnsi="宋体" w:eastAsia="宋体" w:cs="宋体"/>
              <w:sz w:val="21"/>
              <w:szCs w:val="21"/>
            </w:rPr>
            <w:t>9.1 分阶段实施计划</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_Toc12640 \h </w:instrText>
          </w:r>
          <w:r>
            <w:rPr>
              <w:rFonts w:hint="eastAsia" w:ascii="宋体" w:hAnsi="宋体" w:eastAsia="宋体" w:cs="宋体"/>
              <w:sz w:val="21"/>
              <w:szCs w:val="21"/>
            </w:rPr>
            <w:fldChar w:fldCharType="separate"/>
          </w:r>
          <w:r>
            <w:rPr>
              <w:rFonts w:hint="eastAsia" w:ascii="宋体" w:hAnsi="宋体" w:eastAsia="宋体" w:cs="宋体"/>
              <w:sz w:val="21"/>
              <w:szCs w:val="21"/>
            </w:rPr>
            <w:t>109</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C975B11">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_Toc8024 </w:instrText>
          </w:r>
          <w:r>
            <w:rPr>
              <w:rFonts w:hint="eastAsia" w:ascii="宋体" w:hAnsi="宋体" w:eastAsia="宋体" w:cs="宋体"/>
              <w:sz w:val="21"/>
              <w:szCs w:val="21"/>
            </w:rPr>
            <w:fldChar w:fldCharType="separate"/>
          </w:r>
          <w:r>
            <w:rPr>
              <w:rFonts w:hint="eastAsia" w:ascii="宋体" w:hAnsi="宋体" w:eastAsia="宋体" w:cs="宋体"/>
              <w:sz w:val="21"/>
              <w:szCs w:val="21"/>
            </w:rPr>
            <w:t>9.2 前三个月细化排期</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_Toc8024 \h </w:instrText>
          </w:r>
          <w:r>
            <w:rPr>
              <w:rFonts w:hint="eastAsia" w:ascii="宋体" w:hAnsi="宋体" w:eastAsia="宋体" w:cs="宋体"/>
              <w:sz w:val="21"/>
              <w:szCs w:val="21"/>
            </w:rPr>
            <w:fldChar w:fldCharType="separate"/>
          </w:r>
          <w:r>
            <w:rPr>
              <w:rFonts w:hint="eastAsia" w:ascii="宋体" w:hAnsi="宋体" w:eastAsia="宋体" w:cs="宋体"/>
              <w:sz w:val="21"/>
              <w:szCs w:val="21"/>
            </w:rPr>
            <w:t>110</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3FC39D0D">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_Toc8278 </w:instrText>
          </w:r>
          <w:r>
            <w:rPr>
              <w:rFonts w:hint="eastAsia" w:ascii="宋体" w:hAnsi="宋体" w:eastAsia="宋体" w:cs="宋体"/>
              <w:sz w:val="21"/>
              <w:szCs w:val="21"/>
            </w:rPr>
            <w:fldChar w:fldCharType="separate"/>
          </w:r>
          <w:r>
            <w:rPr>
              <w:rFonts w:hint="eastAsia" w:ascii="宋体" w:hAnsi="宋体" w:eastAsia="宋体" w:cs="宋体"/>
              <w:sz w:val="21"/>
              <w:szCs w:val="21"/>
            </w:rPr>
            <w:t>9.3 组织架构</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_Toc8278 \h </w:instrText>
          </w:r>
          <w:r>
            <w:rPr>
              <w:rFonts w:hint="eastAsia" w:ascii="宋体" w:hAnsi="宋体" w:eastAsia="宋体" w:cs="宋体"/>
              <w:sz w:val="21"/>
              <w:szCs w:val="21"/>
            </w:rPr>
            <w:fldChar w:fldCharType="separate"/>
          </w:r>
          <w:r>
            <w:rPr>
              <w:rFonts w:hint="eastAsia" w:ascii="宋体" w:hAnsi="宋体" w:eastAsia="宋体" w:cs="宋体"/>
              <w:sz w:val="21"/>
              <w:szCs w:val="21"/>
            </w:rPr>
            <w:t>111</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398ECC3B">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_Toc16345 </w:instrText>
          </w:r>
          <w:r>
            <w:rPr>
              <w:rFonts w:hint="eastAsia" w:ascii="宋体" w:hAnsi="宋体" w:eastAsia="宋体" w:cs="宋体"/>
              <w:sz w:val="21"/>
              <w:szCs w:val="21"/>
            </w:rPr>
            <w:fldChar w:fldCharType="separate"/>
          </w:r>
          <w:r>
            <w:rPr>
              <w:rFonts w:hint="eastAsia" w:ascii="宋体" w:hAnsi="宋体" w:eastAsia="宋体" w:cs="宋体"/>
              <w:sz w:val="21"/>
              <w:szCs w:val="21"/>
            </w:rPr>
            <w:t>9.4 村民参与与收益共享机制</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_Toc16345 \h </w:instrText>
          </w:r>
          <w:r>
            <w:rPr>
              <w:rFonts w:hint="eastAsia" w:ascii="宋体" w:hAnsi="宋体" w:eastAsia="宋体" w:cs="宋体"/>
              <w:sz w:val="21"/>
              <w:szCs w:val="21"/>
            </w:rPr>
            <w:fldChar w:fldCharType="separate"/>
          </w:r>
          <w:r>
            <w:rPr>
              <w:rFonts w:hint="eastAsia" w:ascii="宋体" w:hAnsi="宋体" w:eastAsia="宋体" w:cs="宋体"/>
              <w:sz w:val="21"/>
              <w:szCs w:val="21"/>
            </w:rPr>
            <w:t>111</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46CDACF9">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_Toc12367 </w:instrText>
          </w:r>
          <w:r>
            <w:rPr>
              <w:rFonts w:hint="eastAsia" w:ascii="宋体" w:hAnsi="宋体" w:eastAsia="宋体" w:cs="宋体"/>
              <w:sz w:val="21"/>
              <w:szCs w:val="21"/>
            </w:rPr>
            <w:fldChar w:fldCharType="separate"/>
          </w:r>
          <w:r>
            <w:rPr>
              <w:rFonts w:hint="eastAsia" w:ascii="宋体" w:hAnsi="宋体" w:eastAsia="宋体" w:cs="宋体"/>
              <w:sz w:val="21"/>
              <w:szCs w:val="21"/>
            </w:rPr>
            <w:t>9.5 长效运营保障机制</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_Toc12367 \h </w:instrText>
          </w:r>
          <w:r>
            <w:rPr>
              <w:rFonts w:hint="eastAsia" w:ascii="宋体" w:hAnsi="宋体" w:eastAsia="宋体" w:cs="宋体"/>
              <w:sz w:val="21"/>
              <w:szCs w:val="21"/>
            </w:rPr>
            <w:fldChar w:fldCharType="separate"/>
          </w:r>
          <w:r>
            <w:rPr>
              <w:rFonts w:hint="eastAsia" w:ascii="宋体" w:hAnsi="宋体" w:eastAsia="宋体" w:cs="宋体"/>
              <w:sz w:val="21"/>
              <w:szCs w:val="21"/>
            </w:rPr>
            <w:t>112</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F9DF2E2">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_Toc3742 </w:instrText>
          </w:r>
          <w:r>
            <w:rPr>
              <w:rFonts w:hint="eastAsia" w:ascii="宋体" w:hAnsi="宋体" w:eastAsia="宋体" w:cs="宋体"/>
              <w:sz w:val="21"/>
              <w:szCs w:val="21"/>
            </w:rPr>
            <w:fldChar w:fldCharType="separate"/>
          </w:r>
          <w:r>
            <w:rPr>
              <w:rFonts w:hint="eastAsia" w:ascii="宋体" w:hAnsi="宋体" w:eastAsia="宋体" w:cs="宋体"/>
              <w:sz w:val="21"/>
              <w:szCs w:val="21"/>
            </w:rPr>
            <w:t>9.6 政策合规逐条对照</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_Toc3742 \h </w:instrText>
          </w:r>
          <w:r>
            <w:rPr>
              <w:rFonts w:hint="eastAsia" w:ascii="宋体" w:hAnsi="宋体" w:eastAsia="宋体" w:cs="宋体"/>
              <w:sz w:val="21"/>
              <w:szCs w:val="21"/>
            </w:rPr>
            <w:fldChar w:fldCharType="separate"/>
          </w:r>
          <w:r>
            <w:rPr>
              <w:rFonts w:hint="eastAsia" w:ascii="宋体" w:hAnsi="宋体" w:eastAsia="宋体" w:cs="宋体"/>
              <w:sz w:val="21"/>
              <w:szCs w:val="21"/>
            </w:rPr>
            <w:t>113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CF0D636">
          <w:pPr>
            <w:pStyle w:val="12"/>
            <w:tabs>
              <w:tab w:val="right" w:leader="dot" w:pos="8306"/>
            </w:tabs>
            <w:rPr>
              <w:rFonts w:hint="eastAsia" w:ascii="宋体" w:hAnsi="宋体" w:eastAsia="宋体" w:cs="宋体"/>
              <w:sz w:val="24"/>
              <w:szCs w:val="24"/>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_Toc20109 </w:instrText>
          </w:r>
          <w:r>
            <w:rPr>
              <w:rFonts w:hint="eastAsia" w:ascii="宋体" w:hAnsi="宋体" w:eastAsia="宋体" w:cs="宋体"/>
              <w:sz w:val="21"/>
              <w:szCs w:val="21"/>
            </w:rPr>
            <w:fldChar w:fldCharType="separate"/>
          </w:r>
          <w:r>
            <w:rPr>
              <w:rFonts w:hint="eastAsia" w:ascii="宋体" w:hAnsi="宋体" w:eastAsia="宋体" w:cs="宋体"/>
              <w:sz w:val="21"/>
              <w:szCs w:val="21"/>
            </w:rPr>
            <w:t>9.8 村委会最小投入原则核查表</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_Toc20109 \h </w:instrText>
          </w:r>
          <w:r>
            <w:rPr>
              <w:rFonts w:hint="eastAsia" w:ascii="宋体" w:hAnsi="宋体" w:eastAsia="宋体" w:cs="宋体"/>
              <w:sz w:val="21"/>
              <w:szCs w:val="21"/>
            </w:rPr>
            <w:fldChar w:fldCharType="separate"/>
          </w:r>
          <w:r>
            <w:rPr>
              <w:rFonts w:hint="eastAsia" w:ascii="宋体" w:hAnsi="宋体" w:eastAsia="宋体" w:cs="宋体"/>
              <w:sz w:val="21"/>
              <w:szCs w:val="21"/>
            </w:rPr>
            <w:t>114</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45E742A">
          <w:pPr>
            <w:pStyle w:val="11"/>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_Toc95 </w:instrText>
          </w:r>
          <w:r>
            <w:rPr>
              <w:rFonts w:hint="eastAsia" w:ascii="宋体" w:hAnsi="宋体" w:eastAsia="宋体" w:cs="宋体"/>
              <w:sz w:val="24"/>
              <w:szCs w:val="24"/>
            </w:rPr>
            <w:fldChar w:fldCharType="separate"/>
          </w:r>
          <w:r>
            <w:rPr>
              <w:rFonts w:hint="eastAsia" w:ascii="黑体" w:hAnsi="黑体" w:eastAsia="黑体" w:cs="黑体"/>
              <w:sz w:val="28"/>
              <w:szCs w:val="28"/>
            </w:rPr>
            <w:t>第十章 财务分析与效益评估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_Toc95 \h </w:instrText>
          </w:r>
          <w:r>
            <w:rPr>
              <w:rFonts w:hint="eastAsia" w:ascii="宋体" w:hAnsi="宋体" w:eastAsia="宋体" w:cs="宋体"/>
              <w:sz w:val="24"/>
              <w:szCs w:val="24"/>
            </w:rPr>
            <w:fldChar w:fldCharType="separate"/>
          </w:r>
          <w:r>
            <w:rPr>
              <w:rFonts w:hint="eastAsia" w:ascii="宋体" w:hAnsi="宋体" w:eastAsia="宋体" w:cs="宋体"/>
              <w:sz w:val="24"/>
              <w:szCs w:val="24"/>
            </w:rPr>
            <w:t>115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FA497CF">
          <w:pPr>
            <w:pStyle w:val="12"/>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_Toc20347 </w:instrText>
          </w:r>
          <w:r>
            <w:rPr>
              <w:rFonts w:hint="eastAsia" w:ascii="宋体" w:hAnsi="宋体" w:eastAsia="宋体" w:cs="宋体"/>
              <w:sz w:val="24"/>
              <w:szCs w:val="24"/>
            </w:rPr>
            <w:fldChar w:fldCharType="separate"/>
          </w:r>
          <w:r>
            <w:rPr>
              <w:rFonts w:hint="eastAsia" w:ascii="宋体" w:hAnsi="宋体" w:eastAsia="宋体" w:cs="宋体"/>
              <w:sz w:val="24"/>
              <w:szCs w:val="24"/>
            </w:rPr>
            <w:t>10.1 财务测算基本假设</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_Toc20347 \h </w:instrText>
          </w:r>
          <w:r>
            <w:rPr>
              <w:rFonts w:hint="eastAsia" w:ascii="宋体" w:hAnsi="宋体" w:eastAsia="宋体" w:cs="宋体"/>
              <w:sz w:val="24"/>
              <w:szCs w:val="24"/>
            </w:rPr>
            <w:fldChar w:fldCharType="separate"/>
          </w:r>
          <w:r>
            <w:rPr>
              <w:rFonts w:hint="eastAsia" w:ascii="宋体" w:hAnsi="宋体" w:eastAsia="宋体" w:cs="宋体"/>
              <w:sz w:val="24"/>
              <w:szCs w:val="24"/>
            </w:rPr>
            <w:t>115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CCF75C2">
          <w:pPr>
            <w:pStyle w:val="12"/>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_Toc18467 </w:instrText>
          </w:r>
          <w:r>
            <w:rPr>
              <w:rFonts w:hint="eastAsia" w:ascii="宋体" w:hAnsi="宋体" w:eastAsia="宋体" w:cs="宋体"/>
              <w:sz w:val="24"/>
              <w:szCs w:val="24"/>
            </w:rPr>
            <w:fldChar w:fldCharType="separate"/>
          </w:r>
          <w:r>
            <w:rPr>
              <w:rFonts w:hint="eastAsia" w:ascii="宋体" w:hAnsi="宋体" w:eastAsia="宋体" w:cs="宋体"/>
              <w:sz w:val="24"/>
              <w:szCs w:val="24"/>
            </w:rPr>
            <w:t>10.2 投入预算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_Toc18467 \h </w:instrText>
          </w:r>
          <w:r>
            <w:rPr>
              <w:rFonts w:hint="eastAsia" w:ascii="宋体" w:hAnsi="宋体" w:eastAsia="宋体" w:cs="宋体"/>
              <w:sz w:val="24"/>
              <w:szCs w:val="24"/>
            </w:rPr>
            <w:fldChar w:fldCharType="separate"/>
          </w:r>
          <w:r>
            <w:rPr>
              <w:rFonts w:hint="eastAsia" w:ascii="宋体" w:hAnsi="宋体" w:eastAsia="宋体" w:cs="宋体"/>
              <w:sz w:val="24"/>
              <w:szCs w:val="24"/>
            </w:rPr>
            <w:t>117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6696827">
          <w:pPr>
            <w:pStyle w:val="12"/>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_Toc12580 </w:instrText>
          </w:r>
          <w:r>
            <w:rPr>
              <w:rFonts w:hint="eastAsia" w:ascii="宋体" w:hAnsi="宋体" w:eastAsia="宋体" w:cs="宋体"/>
              <w:sz w:val="24"/>
              <w:szCs w:val="24"/>
            </w:rPr>
            <w:fldChar w:fldCharType="separate"/>
          </w:r>
          <w:r>
            <w:rPr>
              <w:rFonts w:hint="eastAsia" w:ascii="宋体" w:hAnsi="宋体" w:eastAsia="宋体" w:cs="宋体"/>
              <w:sz w:val="24"/>
              <w:szCs w:val="24"/>
            </w:rPr>
            <w:t>10.3 三年收入预测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_Toc12580 \h </w:instrText>
          </w:r>
          <w:r>
            <w:rPr>
              <w:rFonts w:hint="eastAsia" w:ascii="宋体" w:hAnsi="宋体" w:eastAsia="宋体" w:cs="宋体"/>
              <w:sz w:val="24"/>
              <w:szCs w:val="24"/>
            </w:rPr>
            <w:fldChar w:fldCharType="separate"/>
          </w:r>
          <w:r>
            <w:rPr>
              <w:rFonts w:hint="eastAsia" w:ascii="宋体" w:hAnsi="宋体" w:eastAsia="宋体" w:cs="宋体"/>
              <w:sz w:val="24"/>
              <w:szCs w:val="24"/>
            </w:rPr>
            <w:t>118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7E690B2">
          <w:pPr>
            <w:pStyle w:val="8"/>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_Toc11874 </w:instrText>
          </w:r>
          <w:r>
            <w:rPr>
              <w:rFonts w:hint="eastAsia" w:ascii="宋体" w:hAnsi="宋体" w:eastAsia="宋体" w:cs="宋体"/>
              <w:sz w:val="24"/>
              <w:szCs w:val="24"/>
            </w:rPr>
            <w:fldChar w:fldCharType="separate"/>
          </w:r>
          <w:r>
            <w:rPr>
              <w:rFonts w:hint="eastAsia" w:ascii="宋体" w:hAnsi="宋体" w:eastAsia="宋体" w:cs="宋体"/>
              <w:sz w:val="24"/>
              <w:szCs w:val="24"/>
            </w:rPr>
            <w:t>10.3.1樱桃鲜果销售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_Toc11874 \h </w:instrText>
          </w:r>
          <w:r>
            <w:rPr>
              <w:rFonts w:hint="eastAsia" w:ascii="宋体" w:hAnsi="宋体" w:eastAsia="宋体" w:cs="宋体"/>
              <w:sz w:val="24"/>
              <w:szCs w:val="24"/>
            </w:rPr>
            <w:fldChar w:fldCharType="separate"/>
          </w:r>
          <w:r>
            <w:rPr>
              <w:rFonts w:hint="eastAsia" w:ascii="宋体" w:hAnsi="宋体" w:eastAsia="宋体" w:cs="宋体"/>
              <w:sz w:val="24"/>
              <w:szCs w:val="24"/>
            </w:rPr>
            <w:t>118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7E481F3">
          <w:pPr>
            <w:pStyle w:val="8"/>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_Toc14936 </w:instrText>
          </w:r>
          <w:r>
            <w:rPr>
              <w:rFonts w:hint="eastAsia" w:ascii="宋体" w:hAnsi="宋体" w:eastAsia="宋体" w:cs="宋体"/>
              <w:sz w:val="24"/>
              <w:szCs w:val="24"/>
            </w:rPr>
            <w:fldChar w:fldCharType="separate"/>
          </w:r>
          <w:r>
            <w:rPr>
              <w:rFonts w:hint="eastAsia" w:ascii="宋体" w:hAnsi="宋体" w:eastAsia="宋体" w:cs="宋体"/>
              <w:sz w:val="24"/>
              <w:szCs w:val="24"/>
            </w:rPr>
            <w:t>10.3.2水源林菌</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_Toc14936 \h </w:instrText>
          </w:r>
          <w:r>
            <w:rPr>
              <w:rFonts w:hint="eastAsia" w:ascii="宋体" w:hAnsi="宋体" w:eastAsia="宋体" w:cs="宋体"/>
              <w:sz w:val="24"/>
              <w:szCs w:val="24"/>
            </w:rPr>
            <w:fldChar w:fldCharType="separate"/>
          </w:r>
          <w:r>
            <w:rPr>
              <w:rFonts w:hint="eastAsia" w:ascii="宋体" w:hAnsi="宋体" w:eastAsia="宋体" w:cs="宋体"/>
              <w:sz w:val="24"/>
              <w:szCs w:val="24"/>
            </w:rPr>
            <w:t>118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EEC5AA4">
          <w:pPr>
            <w:pStyle w:val="8"/>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_Toc17943 </w:instrText>
          </w:r>
          <w:r>
            <w:rPr>
              <w:rFonts w:hint="eastAsia" w:ascii="宋体" w:hAnsi="宋体" w:eastAsia="宋体" w:cs="宋体"/>
              <w:sz w:val="24"/>
              <w:szCs w:val="24"/>
            </w:rPr>
            <w:fldChar w:fldCharType="separate"/>
          </w:r>
          <w:r>
            <w:rPr>
              <w:rFonts w:hint="eastAsia" w:ascii="宋体" w:hAnsi="宋体" w:eastAsia="宋体" w:cs="宋体"/>
              <w:sz w:val="24"/>
              <w:szCs w:val="24"/>
            </w:rPr>
            <w:t>10.3.3 骑行及体验服务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_Toc17943 \h </w:instrText>
          </w:r>
          <w:r>
            <w:rPr>
              <w:rFonts w:hint="eastAsia" w:ascii="宋体" w:hAnsi="宋体" w:eastAsia="宋体" w:cs="宋体"/>
              <w:sz w:val="24"/>
              <w:szCs w:val="24"/>
            </w:rPr>
            <w:fldChar w:fldCharType="separate"/>
          </w:r>
          <w:r>
            <w:rPr>
              <w:rFonts w:hint="eastAsia" w:ascii="宋体" w:hAnsi="宋体" w:eastAsia="宋体" w:cs="宋体"/>
              <w:sz w:val="24"/>
              <w:szCs w:val="24"/>
            </w:rPr>
            <w:t>119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779CB75">
          <w:pPr>
            <w:pStyle w:val="8"/>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_Toc9184 </w:instrText>
          </w:r>
          <w:r>
            <w:rPr>
              <w:rFonts w:hint="eastAsia" w:ascii="宋体" w:hAnsi="宋体" w:eastAsia="宋体" w:cs="宋体"/>
              <w:sz w:val="24"/>
              <w:szCs w:val="24"/>
            </w:rPr>
            <w:fldChar w:fldCharType="separate"/>
          </w:r>
          <w:r>
            <w:rPr>
              <w:rFonts w:hint="eastAsia" w:ascii="宋体" w:hAnsi="宋体" w:eastAsia="宋体" w:cs="宋体"/>
              <w:sz w:val="24"/>
              <w:szCs w:val="24"/>
            </w:rPr>
            <w:t>10.3.4一树一人认养计划</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_Toc9184 \h </w:instrText>
          </w:r>
          <w:r>
            <w:rPr>
              <w:rFonts w:hint="eastAsia" w:ascii="宋体" w:hAnsi="宋体" w:eastAsia="宋体" w:cs="宋体"/>
              <w:sz w:val="24"/>
              <w:szCs w:val="24"/>
            </w:rPr>
            <w:fldChar w:fldCharType="separate"/>
          </w:r>
          <w:r>
            <w:rPr>
              <w:rFonts w:hint="eastAsia" w:ascii="宋体" w:hAnsi="宋体" w:eastAsia="宋体" w:cs="宋体"/>
              <w:sz w:val="24"/>
              <w:szCs w:val="24"/>
            </w:rPr>
            <w:t>120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7BADE63">
          <w:pPr>
            <w:pStyle w:val="8"/>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_Toc6050 </w:instrText>
          </w:r>
          <w:r>
            <w:rPr>
              <w:rFonts w:hint="eastAsia" w:ascii="宋体" w:hAnsi="宋体" w:eastAsia="宋体" w:cs="宋体"/>
              <w:sz w:val="24"/>
              <w:szCs w:val="24"/>
            </w:rPr>
            <w:fldChar w:fldCharType="separate"/>
          </w:r>
          <w:r>
            <w:rPr>
              <w:rFonts w:hint="eastAsia" w:ascii="宋体" w:hAnsi="宋体" w:eastAsia="宋体" w:cs="宋体"/>
              <w:sz w:val="24"/>
              <w:szCs w:val="24"/>
            </w:rPr>
            <w:t>10.3.5电商及其他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_Toc6050 \h </w:instrText>
          </w:r>
          <w:r>
            <w:rPr>
              <w:rFonts w:hint="eastAsia" w:ascii="宋体" w:hAnsi="宋体" w:eastAsia="宋体" w:cs="宋体"/>
              <w:sz w:val="24"/>
              <w:szCs w:val="24"/>
            </w:rPr>
            <w:fldChar w:fldCharType="separate"/>
          </w:r>
          <w:r>
            <w:rPr>
              <w:rFonts w:hint="eastAsia" w:ascii="宋体" w:hAnsi="宋体" w:eastAsia="宋体" w:cs="宋体"/>
              <w:sz w:val="24"/>
              <w:szCs w:val="24"/>
            </w:rPr>
            <w:t>121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7FEAC3E">
          <w:pPr>
            <w:pStyle w:val="8"/>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_Toc9333 </w:instrText>
          </w:r>
          <w:r>
            <w:rPr>
              <w:rFonts w:hint="eastAsia" w:ascii="宋体" w:hAnsi="宋体" w:eastAsia="宋体" w:cs="宋体"/>
              <w:sz w:val="24"/>
              <w:szCs w:val="24"/>
            </w:rPr>
            <w:fldChar w:fldCharType="separate"/>
          </w:r>
          <w:r>
            <w:rPr>
              <w:rFonts w:hint="eastAsia" w:ascii="宋体" w:hAnsi="宋体" w:eastAsia="宋体" w:cs="宋体"/>
              <w:sz w:val="24"/>
              <w:szCs w:val="24"/>
            </w:rPr>
            <w:t>10.3.6收入汇总</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_Toc9333 \h </w:instrText>
          </w:r>
          <w:r>
            <w:rPr>
              <w:rFonts w:hint="eastAsia" w:ascii="宋体" w:hAnsi="宋体" w:eastAsia="宋体" w:cs="宋体"/>
              <w:sz w:val="24"/>
              <w:szCs w:val="24"/>
            </w:rPr>
            <w:fldChar w:fldCharType="separate"/>
          </w:r>
          <w:r>
            <w:rPr>
              <w:rFonts w:hint="eastAsia" w:ascii="宋体" w:hAnsi="宋体" w:eastAsia="宋体" w:cs="宋体"/>
              <w:sz w:val="24"/>
              <w:szCs w:val="24"/>
            </w:rPr>
            <w:t>122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3C90C28">
          <w:pPr>
            <w:pStyle w:val="8"/>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_Toc22371 </w:instrText>
          </w:r>
          <w:r>
            <w:rPr>
              <w:rFonts w:hint="eastAsia" w:ascii="宋体" w:hAnsi="宋体" w:eastAsia="宋体" w:cs="宋体"/>
              <w:sz w:val="24"/>
              <w:szCs w:val="24"/>
            </w:rPr>
            <w:fldChar w:fldCharType="separate"/>
          </w:r>
          <w:r>
            <w:rPr>
              <w:rFonts w:hint="eastAsia" w:ascii="宋体" w:hAnsi="宋体" w:eastAsia="宋体" w:cs="宋体"/>
              <w:sz w:val="24"/>
              <w:szCs w:val="24"/>
            </w:rPr>
            <w:t>10.4 成本结构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_Toc22371 \h </w:instrText>
          </w:r>
          <w:r>
            <w:rPr>
              <w:rFonts w:hint="eastAsia" w:ascii="宋体" w:hAnsi="宋体" w:eastAsia="宋体" w:cs="宋体"/>
              <w:sz w:val="24"/>
              <w:szCs w:val="24"/>
            </w:rPr>
            <w:fldChar w:fldCharType="separate"/>
          </w:r>
          <w:r>
            <w:rPr>
              <w:rFonts w:hint="eastAsia" w:ascii="宋体" w:hAnsi="宋体" w:eastAsia="宋体" w:cs="宋体"/>
              <w:sz w:val="24"/>
              <w:szCs w:val="24"/>
            </w:rPr>
            <w:t>123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8F94FCF">
          <w:pPr>
            <w:pStyle w:val="12"/>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_Toc15704 </w:instrText>
          </w:r>
          <w:r>
            <w:rPr>
              <w:rFonts w:hint="eastAsia" w:ascii="宋体" w:hAnsi="宋体" w:eastAsia="宋体" w:cs="宋体"/>
              <w:sz w:val="24"/>
              <w:szCs w:val="24"/>
            </w:rPr>
            <w:fldChar w:fldCharType="separate"/>
          </w:r>
          <w:r>
            <w:rPr>
              <w:rFonts w:hint="eastAsia" w:ascii="宋体" w:hAnsi="宋体" w:eastAsia="宋体" w:cs="宋体"/>
              <w:sz w:val="24"/>
              <w:szCs w:val="24"/>
            </w:rPr>
            <w:t>10.5 盈利分析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_Toc15704 \h </w:instrText>
          </w:r>
          <w:r>
            <w:rPr>
              <w:rFonts w:hint="eastAsia" w:ascii="宋体" w:hAnsi="宋体" w:eastAsia="宋体" w:cs="宋体"/>
              <w:sz w:val="24"/>
              <w:szCs w:val="24"/>
            </w:rPr>
            <w:fldChar w:fldCharType="separate"/>
          </w:r>
          <w:r>
            <w:rPr>
              <w:rFonts w:hint="eastAsia" w:ascii="宋体" w:hAnsi="宋体" w:eastAsia="宋体" w:cs="宋体"/>
              <w:sz w:val="24"/>
              <w:szCs w:val="24"/>
            </w:rPr>
            <w:t>124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E76AEA0">
          <w:pPr>
            <w:pStyle w:val="12"/>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_Toc11886 </w:instrText>
          </w:r>
          <w:r>
            <w:rPr>
              <w:rFonts w:hint="eastAsia" w:ascii="宋体" w:hAnsi="宋体" w:eastAsia="宋体" w:cs="宋体"/>
              <w:sz w:val="24"/>
              <w:szCs w:val="24"/>
            </w:rPr>
            <w:fldChar w:fldCharType="separate"/>
          </w:r>
          <w:r>
            <w:rPr>
              <w:rFonts w:hint="eastAsia" w:ascii="宋体" w:hAnsi="宋体" w:eastAsia="宋体" w:cs="宋体"/>
              <w:sz w:val="24"/>
              <w:szCs w:val="24"/>
            </w:rPr>
            <w:t>10.6 盈亏平衡分析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_Toc11886 \h </w:instrText>
          </w:r>
          <w:r>
            <w:rPr>
              <w:rFonts w:hint="eastAsia" w:ascii="宋体" w:hAnsi="宋体" w:eastAsia="宋体" w:cs="宋体"/>
              <w:sz w:val="24"/>
              <w:szCs w:val="24"/>
            </w:rPr>
            <w:fldChar w:fldCharType="separate"/>
          </w:r>
          <w:r>
            <w:rPr>
              <w:rFonts w:hint="eastAsia" w:ascii="宋体" w:hAnsi="宋体" w:eastAsia="宋体" w:cs="宋体"/>
              <w:sz w:val="24"/>
              <w:szCs w:val="24"/>
            </w:rPr>
            <w:t>125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C6FA076">
          <w:pPr>
            <w:pStyle w:val="12"/>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_Toc21690 </w:instrText>
          </w:r>
          <w:r>
            <w:rPr>
              <w:rFonts w:hint="eastAsia" w:ascii="宋体" w:hAnsi="宋体" w:eastAsia="宋体" w:cs="宋体"/>
              <w:sz w:val="24"/>
              <w:szCs w:val="24"/>
            </w:rPr>
            <w:fldChar w:fldCharType="separate"/>
          </w:r>
          <w:r>
            <w:rPr>
              <w:rFonts w:hint="eastAsia" w:ascii="宋体" w:hAnsi="宋体" w:eastAsia="宋体" w:cs="宋体"/>
              <w:sz w:val="24"/>
              <w:szCs w:val="24"/>
            </w:rPr>
            <w:t>10.7 敏感性分析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_Toc21690 \h </w:instrText>
          </w:r>
          <w:r>
            <w:rPr>
              <w:rFonts w:hint="eastAsia" w:ascii="宋体" w:hAnsi="宋体" w:eastAsia="宋体" w:cs="宋体"/>
              <w:sz w:val="24"/>
              <w:szCs w:val="24"/>
            </w:rPr>
            <w:fldChar w:fldCharType="separate"/>
          </w:r>
          <w:r>
            <w:rPr>
              <w:rFonts w:hint="eastAsia" w:ascii="宋体" w:hAnsi="宋体" w:eastAsia="宋体" w:cs="宋体"/>
              <w:sz w:val="24"/>
              <w:szCs w:val="24"/>
            </w:rPr>
            <w:t>125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8810169">
          <w:pPr>
            <w:pStyle w:val="12"/>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_Toc3548 </w:instrText>
          </w:r>
          <w:r>
            <w:rPr>
              <w:rFonts w:hint="eastAsia" w:ascii="宋体" w:hAnsi="宋体" w:eastAsia="宋体" w:cs="宋体"/>
              <w:sz w:val="24"/>
              <w:szCs w:val="24"/>
            </w:rPr>
            <w:fldChar w:fldCharType="separate"/>
          </w:r>
          <w:r>
            <w:rPr>
              <w:rFonts w:hint="eastAsia" w:ascii="宋体" w:hAnsi="宋体" w:eastAsia="宋体" w:cs="宋体"/>
              <w:sz w:val="24"/>
              <w:szCs w:val="24"/>
            </w:rPr>
            <w:t>10.8 社会效益</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_Toc3548 \h </w:instrText>
          </w:r>
          <w:r>
            <w:rPr>
              <w:rFonts w:hint="eastAsia" w:ascii="宋体" w:hAnsi="宋体" w:eastAsia="宋体" w:cs="宋体"/>
              <w:sz w:val="24"/>
              <w:szCs w:val="24"/>
            </w:rPr>
            <w:fldChar w:fldCharType="separate"/>
          </w:r>
          <w:r>
            <w:rPr>
              <w:rFonts w:hint="eastAsia" w:ascii="宋体" w:hAnsi="宋体" w:eastAsia="宋体" w:cs="宋体"/>
              <w:sz w:val="24"/>
              <w:szCs w:val="24"/>
            </w:rPr>
            <w:t>127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2B03F96">
          <w:pPr>
            <w:pStyle w:val="12"/>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_Toc21590 </w:instrText>
          </w:r>
          <w:r>
            <w:rPr>
              <w:rFonts w:hint="eastAsia" w:ascii="宋体" w:hAnsi="宋体" w:eastAsia="宋体" w:cs="宋体"/>
              <w:sz w:val="24"/>
              <w:szCs w:val="24"/>
            </w:rPr>
            <w:fldChar w:fldCharType="separate"/>
          </w:r>
          <w:r>
            <w:rPr>
              <w:rFonts w:hint="eastAsia" w:ascii="宋体" w:hAnsi="宋体" w:eastAsia="宋体" w:cs="宋体"/>
              <w:sz w:val="24"/>
              <w:szCs w:val="24"/>
            </w:rPr>
            <w:t>10.9 生态效益</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_Toc21590 \h </w:instrText>
          </w:r>
          <w:r>
            <w:rPr>
              <w:rFonts w:hint="eastAsia" w:ascii="宋体" w:hAnsi="宋体" w:eastAsia="宋体" w:cs="宋体"/>
              <w:sz w:val="24"/>
              <w:szCs w:val="24"/>
            </w:rPr>
            <w:fldChar w:fldCharType="separate"/>
          </w:r>
          <w:r>
            <w:rPr>
              <w:rFonts w:hint="eastAsia" w:ascii="宋体" w:hAnsi="宋体" w:eastAsia="宋体" w:cs="宋体"/>
              <w:sz w:val="24"/>
              <w:szCs w:val="24"/>
            </w:rPr>
            <w:t>127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96F4F02">
          <w:pPr>
            <w:pStyle w:val="12"/>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_Toc2419 </w:instrText>
          </w:r>
          <w:r>
            <w:rPr>
              <w:rFonts w:hint="eastAsia" w:ascii="宋体" w:hAnsi="宋体" w:eastAsia="宋体" w:cs="宋体"/>
              <w:sz w:val="24"/>
              <w:szCs w:val="24"/>
            </w:rPr>
            <w:fldChar w:fldCharType="separate"/>
          </w:r>
          <w:r>
            <w:rPr>
              <w:rFonts w:hint="eastAsia" w:ascii="宋体" w:hAnsi="宋体" w:eastAsia="宋体" w:cs="宋体"/>
              <w:sz w:val="24"/>
              <w:szCs w:val="24"/>
            </w:rPr>
            <w:t>10.10 示范效益</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_Toc2419 \h </w:instrText>
          </w:r>
          <w:r>
            <w:rPr>
              <w:rFonts w:hint="eastAsia" w:ascii="宋体" w:hAnsi="宋体" w:eastAsia="宋体" w:cs="宋体"/>
              <w:sz w:val="24"/>
              <w:szCs w:val="24"/>
            </w:rPr>
            <w:fldChar w:fldCharType="separate"/>
          </w:r>
          <w:r>
            <w:rPr>
              <w:rFonts w:hint="eastAsia" w:ascii="宋体" w:hAnsi="宋体" w:eastAsia="宋体" w:cs="宋体"/>
              <w:sz w:val="24"/>
              <w:szCs w:val="24"/>
            </w:rPr>
            <w:t>128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138B887">
          <w:pPr>
            <w:pStyle w:val="11"/>
            <w:tabs>
              <w:tab w:val="right" w:leader="dot" w:pos="830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_Toc30190 </w:instrText>
          </w:r>
          <w:r>
            <w:rPr>
              <w:rFonts w:hint="eastAsia" w:ascii="宋体" w:hAnsi="宋体" w:eastAsia="宋体" w:cs="宋体"/>
              <w:sz w:val="24"/>
              <w:szCs w:val="24"/>
            </w:rPr>
            <w:fldChar w:fldCharType="separate"/>
          </w:r>
          <w:r>
            <w:rPr>
              <w:rFonts w:hint="eastAsia" w:ascii="黑体" w:hAnsi="黑体" w:eastAsia="黑体" w:cs="黑体"/>
              <w:sz w:val="28"/>
              <w:szCs w:val="28"/>
            </w:rPr>
            <w:t>第十一章  团队介绍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_Toc30190 \h </w:instrText>
          </w:r>
          <w:r>
            <w:rPr>
              <w:rFonts w:hint="eastAsia" w:ascii="宋体" w:hAnsi="宋体" w:eastAsia="宋体" w:cs="宋体"/>
              <w:sz w:val="24"/>
              <w:szCs w:val="24"/>
            </w:rPr>
            <w:fldChar w:fldCharType="separate"/>
          </w:r>
          <w:r>
            <w:rPr>
              <w:rFonts w:hint="eastAsia" w:ascii="宋体" w:hAnsi="宋体" w:eastAsia="宋体" w:cs="宋体"/>
              <w:sz w:val="24"/>
              <w:szCs w:val="24"/>
            </w:rPr>
            <w:t>129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72423EF">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_Toc23741 </w:instrText>
          </w:r>
          <w:r>
            <w:rPr>
              <w:rFonts w:hint="eastAsia" w:ascii="宋体" w:hAnsi="宋体" w:eastAsia="宋体" w:cs="宋体"/>
              <w:sz w:val="21"/>
              <w:szCs w:val="21"/>
            </w:rPr>
            <w:fldChar w:fldCharType="separate"/>
          </w:r>
          <w:r>
            <w:rPr>
              <w:rFonts w:hint="eastAsia" w:ascii="宋体" w:hAnsi="宋体" w:eastAsia="宋体" w:cs="宋体"/>
              <w:sz w:val="21"/>
              <w:szCs w:val="21"/>
            </w:rPr>
            <w:t>11.1  指导老师</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_Toc23741 \h </w:instrText>
          </w:r>
          <w:r>
            <w:rPr>
              <w:rFonts w:hint="eastAsia" w:ascii="宋体" w:hAnsi="宋体" w:eastAsia="宋体" w:cs="宋体"/>
              <w:sz w:val="21"/>
              <w:szCs w:val="21"/>
            </w:rPr>
            <w:fldChar w:fldCharType="separate"/>
          </w:r>
          <w:r>
            <w:rPr>
              <w:rFonts w:hint="eastAsia" w:ascii="宋体" w:hAnsi="宋体" w:eastAsia="宋体" w:cs="宋体"/>
              <w:sz w:val="21"/>
              <w:szCs w:val="21"/>
            </w:rPr>
            <w:t>129</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3C863278">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_Toc29824 </w:instrText>
          </w:r>
          <w:r>
            <w:rPr>
              <w:rFonts w:hint="eastAsia" w:ascii="宋体" w:hAnsi="宋体" w:eastAsia="宋体" w:cs="宋体"/>
              <w:sz w:val="21"/>
              <w:szCs w:val="21"/>
            </w:rPr>
            <w:fldChar w:fldCharType="separate"/>
          </w:r>
          <w:r>
            <w:rPr>
              <w:rFonts w:hint="eastAsia" w:ascii="宋体" w:hAnsi="宋体" w:eastAsia="宋体" w:cs="宋体"/>
              <w:sz w:val="21"/>
              <w:szCs w:val="21"/>
            </w:rPr>
            <w:t>11.2  团队成员与分工</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_Toc29824 \h </w:instrText>
          </w:r>
          <w:r>
            <w:rPr>
              <w:rFonts w:hint="eastAsia" w:ascii="宋体" w:hAnsi="宋体" w:eastAsia="宋体" w:cs="宋体"/>
              <w:sz w:val="21"/>
              <w:szCs w:val="21"/>
            </w:rPr>
            <w:fldChar w:fldCharType="separate"/>
          </w:r>
          <w:r>
            <w:rPr>
              <w:rFonts w:hint="eastAsia" w:ascii="宋体" w:hAnsi="宋体" w:eastAsia="宋体" w:cs="宋体"/>
              <w:sz w:val="21"/>
              <w:szCs w:val="21"/>
            </w:rPr>
            <w:t>129</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3277545">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_Toc5586 </w:instrText>
          </w:r>
          <w:r>
            <w:rPr>
              <w:rFonts w:hint="eastAsia" w:ascii="宋体" w:hAnsi="宋体" w:eastAsia="宋体" w:cs="宋体"/>
              <w:sz w:val="21"/>
              <w:szCs w:val="21"/>
            </w:rPr>
            <w:fldChar w:fldCharType="separate"/>
          </w:r>
          <w:r>
            <w:rPr>
              <w:rFonts w:hint="eastAsia" w:ascii="宋体" w:hAnsi="宋体" w:eastAsia="宋体" w:cs="宋体"/>
              <w:sz w:val="21"/>
              <w:szCs w:val="21"/>
            </w:rPr>
            <w:t>11.3 团队优势</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_Toc5586 \h </w:instrText>
          </w:r>
          <w:r>
            <w:rPr>
              <w:rFonts w:hint="eastAsia" w:ascii="宋体" w:hAnsi="宋体" w:eastAsia="宋体" w:cs="宋体"/>
              <w:sz w:val="21"/>
              <w:szCs w:val="21"/>
            </w:rPr>
            <w:fldChar w:fldCharType="separate"/>
          </w:r>
          <w:r>
            <w:rPr>
              <w:rFonts w:hint="eastAsia" w:ascii="宋体" w:hAnsi="宋体" w:eastAsia="宋体" w:cs="宋体"/>
              <w:sz w:val="21"/>
              <w:szCs w:val="21"/>
            </w:rPr>
            <w:t>130</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44276EE">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_Toc20603 </w:instrText>
          </w:r>
          <w:r>
            <w:rPr>
              <w:rFonts w:hint="eastAsia" w:ascii="宋体" w:hAnsi="宋体" w:eastAsia="宋体" w:cs="宋体"/>
              <w:sz w:val="21"/>
              <w:szCs w:val="21"/>
            </w:rPr>
            <w:fldChar w:fldCharType="separate"/>
          </w:r>
          <w:r>
            <w:rPr>
              <w:rFonts w:hint="eastAsia" w:ascii="宋体" w:hAnsi="宋体" w:eastAsia="宋体" w:cs="宋体"/>
              <w:sz w:val="21"/>
              <w:szCs w:val="21"/>
            </w:rPr>
            <w:t>11.4 团队协作机制</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_Toc20603 \h </w:instrText>
          </w:r>
          <w:r>
            <w:rPr>
              <w:rFonts w:hint="eastAsia" w:ascii="宋体" w:hAnsi="宋体" w:eastAsia="宋体" w:cs="宋体"/>
              <w:sz w:val="21"/>
              <w:szCs w:val="21"/>
            </w:rPr>
            <w:fldChar w:fldCharType="separate"/>
          </w:r>
          <w:r>
            <w:rPr>
              <w:rFonts w:hint="eastAsia" w:ascii="宋体" w:hAnsi="宋体" w:eastAsia="宋体" w:cs="宋体"/>
              <w:sz w:val="21"/>
              <w:szCs w:val="21"/>
            </w:rPr>
            <w:t>130</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0998246">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_Toc31572 </w:instrText>
          </w:r>
          <w:r>
            <w:rPr>
              <w:rFonts w:hint="eastAsia" w:ascii="宋体" w:hAnsi="宋体" w:eastAsia="宋体" w:cs="宋体"/>
              <w:sz w:val="21"/>
              <w:szCs w:val="21"/>
            </w:rPr>
            <w:fldChar w:fldCharType="separate"/>
          </w:r>
          <w:r>
            <w:rPr>
              <w:rFonts w:hint="eastAsia" w:ascii="宋体" w:hAnsi="宋体" w:eastAsia="宋体" w:cs="宋体"/>
              <w:sz w:val="21"/>
              <w:szCs w:val="21"/>
            </w:rPr>
            <w:t>11.5 质量保障体系</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_Toc31572 \h </w:instrText>
          </w:r>
          <w:r>
            <w:rPr>
              <w:rFonts w:hint="eastAsia" w:ascii="宋体" w:hAnsi="宋体" w:eastAsia="宋体" w:cs="宋体"/>
              <w:sz w:val="21"/>
              <w:szCs w:val="21"/>
            </w:rPr>
            <w:fldChar w:fldCharType="separate"/>
          </w:r>
          <w:r>
            <w:rPr>
              <w:rFonts w:hint="eastAsia" w:ascii="宋体" w:hAnsi="宋体" w:eastAsia="宋体" w:cs="宋体"/>
              <w:sz w:val="21"/>
              <w:szCs w:val="21"/>
            </w:rPr>
            <w:t>131</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2BDBD82">
          <w:pPr>
            <w:pStyle w:val="12"/>
            <w:tabs>
              <w:tab w:val="right" w:leader="dot" w:pos="8306"/>
            </w:tabs>
            <w:rPr>
              <w:rFonts w:hint="eastAsia" w:ascii="宋体" w:hAnsi="宋体" w:eastAsia="宋体" w:cs="宋体"/>
              <w:sz w:val="24"/>
              <w:szCs w:val="24"/>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_Toc1592 </w:instrText>
          </w:r>
          <w:r>
            <w:rPr>
              <w:rFonts w:hint="eastAsia" w:ascii="宋体" w:hAnsi="宋体" w:eastAsia="宋体" w:cs="宋体"/>
              <w:sz w:val="21"/>
              <w:szCs w:val="21"/>
            </w:rPr>
            <w:fldChar w:fldCharType="separate"/>
          </w:r>
          <w:r>
            <w:rPr>
              <w:rFonts w:hint="eastAsia" w:ascii="宋体" w:hAnsi="宋体" w:eastAsia="宋体" w:cs="宋体"/>
              <w:sz w:val="21"/>
              <w:szCs w:val="21"/>
            </w:rPr>
            <w:t>11.6 匿名处理说明</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_Toc1592 \h </w:instrText>
          </w:r>
          <w:r>
            <w:rPr>
              <w:rFonts w:hint="eastAsia" w:ascii="宋体" w:hAnsi="宋体" w:eastAsia="宋体" w:cs="宋体"/>
              <w:sz w:val="21"/>
              <w:szCs w:val="21"/>
            </w:rPr>
            <w:fldChar w:fldCharType="separate"/>
          </w:r>
          <w:r>
            <w:rPr>
              <w:rFonts w:hint="eastAsia" w:ascii="宋体" w:hAnsi="宋体" w:eastAsia="宋体" w:cs="宋体"/>
              <w:sz w:val="21"/>
              <w:szCs w:val="21"/>
            </w:rPr>
            <w:t>131</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B093B61">
          <w:pPr>
            <w:pStyle w:val="2"/>
            <w:bidi w:val="0"/>
            <w:rPr>
              <w:rFonts w:hint="eastAsia" w:ascii="宋体" w:hAnsi="宋体" w:eastAsia="宋体" w:cs="宋体"/>
              <w:b/>
              <w:kern w:val="44"/>
              <w:sz w:val="24"/>
              <w:szCs w:val="24"/>
              <w:lang w:val="en-US" w:eastAsia="zh-CN" w:bidi="ar-SA"/>
              <w14:ligatures w14:val="standardContextual"/>
            </w:rPr>
          </w:pPr>
          <w:r>
            <w:rPr>
              <w:rFonts w:hint="eastAsia" w:ascii="宋体" w:hAnsi="宋体" w:eastAsia="宋体" w:cs="宋体"/>
              <w:sz w:val="24"/>
              <w:szCs w:val="24"/>
            </w:rPr>
            <w:fldChar w:fldCharType="end"/>
          </w:r>
        </w:p>
      </w:sdtContent>
    </w:sdt>
    <w:p w14:paraId="7253D6A9">
      <w:pPr>
        <w:pStyle w:val="2"/>
        <w:bidi w:val="0"/>
        <w:rPr>
          <w:rFonts w:hint="eastAsia" w:ascii="宋体" w:hAnsi="宋体" w:eastAsia="宋体" w:cs="宋体"/>
          <w:sz w:val="24"/>
          <w:szCs w:val="24"/>
        </w:rPr>
      </w:pPr>
    </w:p>
    <w:p w14:paraId="2446A81B"/>
    <w:p w14:paraId="2BFD076B">
      <w:pPr>
        <w:pStyle w:val="2"/>
        <w:bidi w:val="0"/>
      </w:pPr>
      <w:bookmarkStart w:id="0" w:name="_Toc696"/>
    </w:p>
    <w:p w14:paraId="47167546">
      <w:pPr>
        <w:pStyle w:val="2"/>
        <w:bidi w:val="0"/>
      </w:pPr>
    </w:p>
    <w:p w14:paraId="1A7890BE"/>
    <w:p w14:paraId="45B0AC31">
      <w:pPr>
        <w:pStyle w:val="2"/>
        <w:bidi w:val="0"/>
      </w:pPr>
    </w:p>
    <w:p w14:paraId="542B85B6"/>
    <w:p w14:paraId="736A2CC7">
      <w:pPr>
        <w:pStyle w:val="2"/>
        <w:bidi w:val="0"/>
        <w:rPr>
          <w:rFonts w:hint="eastAsia" w:ascii="宋体" w:hAnsi="宋体" w:eastAsia="宋体"/>
          <w:b/>
          <w:bCs/>
          <w:szCs w:val="32"/>
        </w:rPr>
      </w:pPr>
      <w:r>
        <w:t>第一章  项目摘要</w:t>
      </w:r>
      <w:bookmarkEnd w:id="0"/>
    </w:p>
    <w:p w14:paraId="4B44C355">
      <w:pPr>
        <w:pStyle w:val="3"/>
        <w:bidi w:val="0"/>
        <w:rPr>
          <w:rFonts w:hint="eastAsia"/>
        </w:rPr>
      </w:pPr>
      <w:bookmarkStart w:id="1" w:name="_Toc25439"/>
      <w:r>
        <w:rPr>
          <w:rFonts w:hint="eastAsia"/>
        </w:rPr>
        <w:t>1.1  项目概述</w:t>
      </w:r>
      <w:bookmarkEnd w:id="1"/>
    </w:p>
    <w:p w14:paraId="3E58B2B2">
      <w:pPr>
        <w:rPr>
          <w:rFonts w:ascii="宋体" w:hAnsi="宋体" w:eastAsia="宋体" w:cs="宋体"/>
          <w:sz w:val="21"/>
          <w:szCs w:val="21"/>
        </w:rPr>
      </w:pPr>
      <w:r>
        <w:rPr>
          <w:rFonts w:ascii="宋体" w:hAnsi="宋体" w:eastAsia="宋体" w:cs="宋体"/>
          <w:sz w:val="21"/>
          <w:szCs w:val="21"/>
        </w:rPr>
        <w:t>杨家东庄村地处北京唯一的一级水源保护区，毗邻怀柔水库，现有约六七十亩樱桃老园，</w:t>
      </w:r>
      <w:r>
        <w:rPr>
          <w:rFonts w:ascii="宋体" w:hAnsi="宋体" w:eastAsia="宋体" w:cs="宋体"/>
          <w:b/>
          <w:bCs/>
          <w:sz w:val="21"/>
          <w:szCs w:val="21"/>
        </w:rPr>
        <w:t>具有较为突出的生态资源优势和一定的产业基础</w:t>
      </w:r>
      <w:r>
        <w:rPr>
          <w:rFonts w:ascii="宋体" w:hAnsi="宋体" w:eastAsia="宋体" w:cs="宋体"/>
          <w:sz w:val="21"/>
          <w:szCs w:val="21"/>
        </w:rPr>
        <w:t>。</w:t>
      </w:r>
      <w:r>
        <w:rPr>
          <w:rFonts w:hint="eastAsia" w:ascii="宋体" w:hAnsi="宋体" w:eastAsia="宋体" w:cs="宋体"/>
          <w:sz w:val="21"/>
          <w:szCs w:val="21"/>
          <w:lang w:val="en-US" w:eastAsia="zh-CN"/>
        </w:rPr>
        <w:t>但受</w:t>
      </w:r>
      <w:r>
        <w:rPr>
          <w:rFonts w:ascii="宋体" w:hAnsi="宋体" w:eastAsia="宋体" w:cs="宋体"/>
          <w:b w:val="0"/>
          <w:bCs w:val="0"/>
          <w:sz w:val="21"/>
          <w:szCs w:val="21"/>
        </w:rPr>
        <w:t>政策</w:t>
      </w:r>
      <w:r>
        <w:rPr>
          <w:rFonts w:hint="eastAsia" w:ascii="宋体" w:hAnsi="宋体" w:eastAsia="宋体" w:cs="宋体"/>
          <w:b w:val="0"/>
          <w:bCs w:val="0"/>
          <w:sz w:val="21"/>
          <w:szCs w:val="21"/>
          <w:lang w:val="en-US" w:eastAsia="zh-CN"/>
        </w:rPr>
        <w:t>边界</w:t>
      </w:r>
      <w:r>
        <w:rPr>
          <w:rFonts w:ascii="宋体" w:hAnsi="宋体" w:eastAsia="宋体" w:cs="宋体"/>
          <w:b w:val="0"/>
          <w:bCs w:val="0"/>
          <w:sz w:val="21"/>
          <w:szCs w:val="21"/>
        </w:rPr>
        <w:t>、</w:t>
      </w:r>
      <w:r>
        <w:rPr>
          <w:rFonts w:hint="eastAsia" w:ascii="宋体" w:hAnsi="宋体" w:eastAsia="宋体" w:cs="宋体"/>
          <w:b w:val="0"/>
          <w:bCs w:val="0"/>
          <w:sz w:val="21"/>
          <w:szCs w:val="21"/>
          <w:lang w:val="en-US" w:eastAsia="zh-CN"/>
        </w:rPr>
        <w:t>空间条件和人口结构等因素制约</w:t>
      </w:r>
      <w:r>
        <w:rPr>
          <w:rFonts w:hint="eastAsia" w:ascii="宋体" w:hAnsi="宋体" w:eastAsia="宋体" w:cs="宋体"/>
          <w:b/>
          <w:bCs/>
          <w:kern w:val="2"/>
          <w:sz w:val="21"/>
          <w:szCs w:val="21"/>
          <w:lang w:val="en-US" w:eastAsia="zh-CN" w:bidi="ar-SA"/>
          <w14:ligatures w14:val="standardContextual"/>
        </w:rPr>
        <w:t>村庄长期面临产业链条短、经营方式单一、抗风险能力弱等问题。</w:t>
      </w:r>
      <w:r>
        <w:rPr>
          <w:rFonts w:ascii="宋体" w:hAnsi="宋体" w:eastAsia="宋体" w:cs="宋体"/>
          <w:sz w:val="21"/>
          <w:szCs w:val="21"/>
        </w:rPr>
        <w:t>现有樱桃产业仍以季节性采摘销售为主，</w:t>
      </w:r>
      <w:r>
        <w:rPr>
          <w:rFonts w:ascii="宋体" w:hAnsi="宋体" w:eastAsia="宋体" w:cs="宋体"/>
          <w:b/>
          <w:bCs/>
          <w:sz w:val="21"/>
          <w:szCs w:val="21"/>
        </w:rPr>
        <w:t>2020年销售额曾达到约60万元</w:t>
      </w:r>
      <w:r>
        <w:rPr>
          <w:rFonts w:ascii="宋体" w:hAnsi="宋体" w:eastAsia="宋体" w:cs="宋体"/>
          <w:sz w:val="21"/>
          <w:szCs w:val="21"/>
        </w:rPr>
        <w:t>，但整体附加值不高，线上销售不畅，深加工能力薄弱。近年来又叠加倒春寒等自然因素影响，樱桃产业波动明显，</w:t>
      </w:r>
      <w:r>
        <w:rPr>
          <w:rFonts w:ascii="宋体" w:hAnsi="宋体" w:eastAsia="宋体" w:cs="宋体"/>
          <w:b/>
          <w:bCs/>
          <w:sz w:val="21"/>
          <w:szCs w:val="21"/>
        </w:rPr>
        <w:t>2025年销售额仅维持在20万元左右</w:t>
      </w:r>
      <w:r>
        <w:rPr>
          <w:rFonts w:ascii="宋体" w:hAnsi="宋体" w:eastAsia="宋体" w:cs="宋体"/>
          <w:sz w:val="21"/>
          <w:szCs w:val="21"/>
        </w:rPr>
        <w:t>，抗风险能力不足。此外，村内缺乏骑行专用道路，也不具备深加工落地条件。归根结底，杨家东庄村当前面临的核心问题并不在于资源不足，而在于如何在政策硬约束和人力基础薄弱的双重条件下，</w:t>
      </w:r>
      <w:r>
        <w:rPr>
          <w:rFonts w:ascii="宋体" w:hAnsi="宋体" w:eastAsia="宋体" w:cs="宋体"/>
          <w:b/>
          <w:bCs/>
          <w:sz w:val="21"/>
          <w:szCs w:val="21"/>
        </w:rPr>
        <w:t>将稀缺的生态优势和原有产业基础转化为可持续、可复制的收益模式</w:t>
      </w:r>
      <w:r>
        <w:rPr>
          <w:rFonts w:ascii="宋体" w:hAnsi="宋体" w:eastAsia="宋体" w:cs="宋体"/>
          <w:sz w:val="21"/>
          <w:szCs w:val="21"/>
        </w:rPr>
        <w:t>。</w:t>
      </w:r>
    </w:p>
    <w:p w14:paraId="27A7A1A7">
      <w:pPr>
        <w:rPr>
          <w:rFonts w:hint="eastAsia" w:ascii="宋体" w:hAnsi="宋体" w:eastAsia="宋体"/>
          <w:sz w:val="21"/>
          <w:szCs w:val="21"/>
        </w:rPr>
      </w:pPr>
      <w:r>
        <w:rPr>
          <w:rFonts w:hint="eastAsia" w:ascii="宋体" w:hAnsi="宋体" w:eastAsia="宋体"/>
          <w:sz w:val="21"/>
          <w:szCs w:val="21"/>
        </w:rPr>
        <w:t>针对</w:t>
      </w:r>
      <w:r>
        <w:rPr>
          <w:rFonts w:hint="eastAsia" w:ascii="宋体" w:hAnsi="宋体" w:eastAsia="宋体"/>
          <w:sz w:val="21"/>
          <w:szCs w:val="21"/>
          <w:lang w:val="en-US" w:eastAsia="zh-CN"/>
        </w:rPr>
        <w:t>上述</w:t>
      </w:r>
      <w:r>
        <w:rPr>
          <w:rFonts w:hint="eastAsia" w:ascii="宋体" w:hAnsi="宋体" w:eastAsia="宋体"/>
          <w:sz w:val="21"/>
          <w:szCs w:val="21"/>
        </w:rPr>
        <w:t>现实,本项目以"樱动东庄"为核心品牌,提出</w:t>
      </w:r>
      <w:r>
        <w:rPr>
          <w:rFonts w:hint="eastAsia" w:ascii="宋体" w:hAnsi="宋体" w:eastAsia="宋体"/>
          <w:b/>
          <w:bCs/>
          <w:sz w:val="21"/>
          <w:szCs w:val="21"/>
          <w:highlight w:val="yellow"/>
        </w:rPr>
        <w:t>"樱桃品牌×骑行引流×三产融合"</w:t>
      </w:r>
      <w:r>
        <w:rPr>
          <w:rFonts w:hint="eastAsia" w:ascii="宋体" w:hAnsi="宋体" w:eastAsia="宋体"/>
          <w:sz w:val="21"/>
          <w:szCs w:val="21"/>
        </w:rPr>
        <w:t>的系统性解决方案,</w:t>
      </w:r>
      <w:r>
        <w:rPr>
          <w:rFonts w:hint="eastAsia" w:ascii="宋体" w:hAnsi="宋体" w:eastAsia="宋体"/>
          <w:sz w:val="21"/>
          <w:szCs w:val="21"/>
          <w:lang w:val="en-US" w:eastAsia="zh-CN"/>
        </w:rPr>
        <w:t>基于</w:t>
      </w:r>
      <w:r>
        <w:rPr>
          <w:rFonts w:hint="eastAsia" w:ascii="宋体" w:hAnsi="宋体" w:eastAsia="宋体"/>
          <w:sz w:val="21"/>
          <w:szCs w:val="21"/>
        </w:rPr>
        <w:t>实地调研后确立</w:t>
      </w:r>
      <w:r>
        <w:rPr>
          <w:rFonts w:hint="eastAsia" w:ascii="宋体" w:hAnsi="宋体" w:eastAsia="宋体"/>
          <w:b/>
          <w:bCs/>
          <w:sz w:val="21"/>
          <w:szCs w:val="21"/>
          <w:highlight w:val="yellow"/>
        </w:rPr>
        <w:t>"村不经营、组织变现"</w:t>
      </w:r>
      <w:r>
        <w:rPr>
          <w:rFonts w:hint="eastAsia" w:ascii="宋体" w:hAnsi="宋体" w:eastAsia="宋体"/>
          <w:b/>
          <w:bCs/>
          <w:sz w:val="21"/>
          <w:szCs w:val="21"/>
          <w:highlight w:val="yellow"/>
          <w:lang w:val="en-US" w:eastAsia="zh-CN"/>
        </w:rPr>
        <w:t>的总体思路</w:t>
      </w:r>
      <w:r>
        <w:rPr>
          <w:rFonts w:hint="eastAsia" w:ascii="宋体" w:hAnsi="宋体" w:eastAsia="宋体"/>
          <w:sz w:val="21"/>
          <w:szCs w:val="21"/>
          <w:lang w:val="en-US" w:eastAsia="zh-CN"/>
        </w:rPr>
        <w:t>，</w:t>
      </w:r>
      <w:r>
        <w:rPr>
          <w:rFonts w:hint="eastAsia" w:ascii="宋体" w:hAnsi="宋体" w:eastAsia="宋体" w:cstheme="minorBidi"/>
          <w:kern w:val="2"/>
          <w:sz w:val="21"/>
          <w:szCs w:val="21"/>
          <w:lang w:val="en-US" w:eastAsia="zh-CN" w:bidi="ar-SA"/>
          <w14:ligatures w14:val="standardContextual"/>
        </w:rPr>
        <w:t>即不在村内新增商业经营主体，而是由村外合规单位承接具体经营环节，村集体通过资产出租、资源组织、品牌授权等方式参与收益分配</w:t>
      </w:r>
      <w:r>
        <w:rPr>
          <w:rFonts w:hint="eastAsia" w:ascii="宋体" w:hAnsi="宋体" w:eastAsia="宋体"/>
          <w:sz w:val="21"/>
          <w:szCs w:val="21"/>
          <w:lang w:val="en-US" w:eastAsia="zh-CN"/>
        </w:rPr>
        <w:t>。</w:t>
      </w:r>
      <w:r>
        <w:rPr>
          <w:rFonts w:hint="eastAsia" w:ascii="宋体" w:hAnsi="宋体" w:eastAsia="宋体" w:cstheme="minorBidi"/>
          <w:kern w:val="2"/>
          <w:sz w:val="21"/>
          <w:szCs w:val="21"/>
          <w:lang w:val="en-US" w:eastAsia="zh-CN" w:bidi="ar-SA"/>
          <w14:ligatures w14:val="standardContextual"/>
        </w:rPr>
        <w:t>项目实施上，将以</w:t>
      </w:r>
      <w:r>
        <w:rPr>
          <w:rFonts w:hint="eastAsia" w:ascii="宋体" w:hAnsi="宋体" w:eastAsia="宋体" w:cstheme="minorBidi"/>
          <w:b/>
          <w:bCs/>
          <w:kern w:val="2"/>
          <w:sz w:val="21"/>
          <w:szCs w:val="21"/>
          <w:highlight w:val="yellow"/>
          <w:lang w:val="en-US" w:eastAsia="zh-CN" w:bidi="ar-SA"/>
          <w14:ligatures w14:val="standardContextual"/>
        </w:rPr>
        <w:t>“一树一人”认养计划、区域骑行联盟、无人驿站等轻量化节点以及非樱桃季补充产品</w:t>
      </w:r>
      <w:r>
        <w:rPr>
          <w:rFonts w:hint="eastAsia" w:ascii="宋体" w:hAnsi="宋体" w:eastAsia="宋体" w:cstheme="minorBidi"/>
          <w:kern w:val="2"/>
          <w:sz w:val="21"/>
          <w:szCs w:val="21"/>
          <w:lang w:val="en-US" w:eastAsia="zh-CN" w:bidi="ar-SA"/>
          <w14:ligatures w14:val="standardContextual"/>
        </w:rPr>
        <w:t>为主要抓手，逐步提升品牌溢价、增强流量承接能力、拓展四季收入来源。</w:t>
      </w:r>
    </w:p>
    <w:p w14:paraId="64F143CE">
      <w:pPr>
        <w:rPr>
          <w:rFonts w:hint="eastAsia" w:ascii="宋体" w:hAnsi="宋体" w:eastAsia="宋体"/>
          <w:sz w:val="21"/>
          <w:szCs w:val="21"/>
        </w:rPr>
      </w:pPr>
      <w:r>
        <w:rPr>
          <w:rFonts w:hint="eastAsia" w:ascii="宋体" w:hAnsi="宋体" w:eastAsia="宋体"/>
          <w:sz w:val="21"/>
          <w:szCs w:val="21"/>
          <w:lang w:val="en-US" w:eastAsia="zh-CN"/>
        </w:rPr>
        <w:t>本</w:t>
      </w:r>
      <w:r>
        <w:rPr>
          <w:rFonts w:hint="eastAsia" w:ascii="宋体" w:hAnsi="宋体" w:eastAsia="宋体"/>
          <w:sz w:val="21"/>
          <w:szCs w:val="21"/>
        </w:rPr>
        <w:t>项目最终希望建立一个能在政策硬约束下持续运转的村庄产业系统——让樱桃老园的价值被重新</w:t>
      </w:r>
      <w:r>
        <w:rPr>
          <w:rFonts w:hint="eastAsia" w:ascii="宋体" w:hAnsi="宋体" w:eastAsia="宋体"/>
          <w:sz w:val="21"/>
          <w:szCs w:val="21"/>
          <w:lang w:val="en-US" w:eastAsia="zh-CN"/>
        </w:rPr>
        <w:t>激活</w:t>
      </w:r>
      <w:r>
        <w:rPr>
          <w:rFonts w:hint="eastAsia" w:ascii="宋体" w:hAnsi="宋体" w:eastAsia="宋体"/>
          <w:sz w:val="21"/>
          <w:szCs w:val="21"/>
        </w:rPr>
        <w:t>,让老龄化的村庄仍能通过数字化手段参与现代消费,让一级水源保护区从发展的约束</w:t>
      </w:r>
      <w:r>
        <w:rPr>
          <w:rFonts w:hint="eastAsia" w:ascii="宋体" w:hAnsi="宋体" w:eastAsia="宋体"/>
          <w:sz w:val="21"/>
          <w:szCs w:val="21"/>
          <w:lang w:val="en-US" w:eastAsia="zh-CN"/>
        </w:rPr>
        <w:t>逐步</w:t>
      </w:r>
      <w:r>
        <w:rPr>
          <w:rFonts w:hint="eastAsia" w:ascii="宋体" w:hAnsi="宋体" w:eastAsia="宋体"/>
          <w:sz w:val="21"/>
          <w:szCs w:val="21"/>
        </w:rPr>
        <w:t>转化为难以复制的品牌护城河,并形成可复制</w:t>
      </w:r>
      <w:r>
        <w:rPr>
          <w:rFonts w:hint="eastAsia" w:ascii="宋体" w:hAnsi="宋体" w:eastAsia="宋体"/>
          <w:sz w:val="21"/>
          <w:szCs w:val="21"/>
          <w:lang w:val="en-US" w:eastAsia="zh-CN"/>
        </w:rPr>
        <w:t>的，为</w:t>
      </w:r>
      <w:r>
        <w:rPr>
          <w:rFonts w:hint="eastAsia" w:ascii="宋体" w:hAnsi="宋体" w:eastAsia="宋体"/>
          <w:sz w:val="21"/>
          <w:szCs w:val="21"/>
        </w:rPr>
        <w:t>同类水源保护区村庄</w:t>
      </w:r>
      <w:r>
        <w:rPr>
          <w:rFonts w:hint="eastAsia" w:ascii="宋体" w:hAnsi="宋体" w:eastAsia="宋体"/>
          <w:sz w:val="21"/>
          <w:szCs w:val="21"/>
          <w:lang w:val="en-US" w:eastAsia="zh-CN"/>
        </w:rPr>
        <w:t>提供可借鉴、可推广的</w:t>
      </w:r>
      <w:r>
        <w:rPr>
          <w:rFonts w:hint="eastAsia" w:ascii="宋体" w:hAnsi="宋体" w:eastAsia="宋体"/>
          <w:sz w:val="21"/>
          <w:szCs w:val="21"/>
        </w:rPr>
        <w:t>"生态约束下乡村振兴"样本。</w:t>
      </w:r>
    </w:p>
    <w:p w14:paraId="16C32243">
      <w:pPr>
        <w:pStyle w:val="3"/>
        <w:bidi w:val="0"/>
        <w:rPr>
          <w:rFonts w:hint="eastAsia"/>
        </w:rPr>
      </w:pPr>
      <w:bookmarkStart w:id="2" w:name="_Toc24967"/>
      <w:r>
        <w:rPr>
          <w:rFonts w:hint="eastAsia"/>
        </w:rPr>
        <w:t>1.2  项目背景</w:t>
      </w:r>
      <w:bookmarkEnd w:id="2"/>
    </w:p>
    <w:p w14:paraId="57061172">
      <w:pPr>
        <w:pStyle w:val="4"/>
        <w:bidi w:val="0"/>
        <w:rPr>
          <w:rFonts w:hint="eastAsia"/>
        </w:rPr>
      </w:pPr>
      <w:bookmarkStart w:id="3" w:name="_Toc29736"/>
      <w:r>
        <w:rPr>
          <w:rFonts w:hint="eastAsia"/>
        </w:rPr>
        <w:t>1.2.1宏观政策</w:t>
      </w:r>
      <w:bookmarkEnd w:id="3"/>
    </w:p>
    <w:p w14:paraId="1ED82998">
      <w:pPr>
        <w:rPr>
          <w:rFonts w:hint="eastAsia" w:ascii="宋体" w:hAnsi="宋体" w:eastAsia="宋体"/>
          <w:sz w:val="21"/>
          <w:szCs w:val="21"/>
        </w:rPr>
      </w:pPr>
      <w:r>
        <w:rPr>
          <w:rFonts w:hint="eastAsia" w:ascii="宋体" w:hAnsi="宋体" w:eastAsia="宋体"/>
          <w:sz w:val="21"/>
          <w:szCs w:val="21"/>
        </w:rPr>
        <w:t>党的二十大报告明确提出全面推进乡村振兴，国家和地方也持续</w:t>
      </w:r>
      <w:r>
        <w:rPr>
          <w:rFonts w:hint="eastAsia" w:ascii="宋体" w:hAnsi="宋体" w:eastAsia="宋体"/>
          <w:b/>
          <w:bCs/>
          <w:sz w:val="21"/>
          <w:szCs w:val="21"/>
        </w:rPr>
        <w:t>把产业振兴、数字乡村建设、农文旅融合发展作为重要方向</w:t>
      </w:r>
      <w:r>
        <w:rPr>
          <w:rFonts w:hint="eastAsia" w:ascii="宋体" w:hAnsi="宋体" w:eastAsia="宋体"/>
          <w:sz w:val="21"/>
          <w:szCs w:val="21"/>
        </w:rPr>
        <w:t>。北京市正在推进“百村示范、千村振兴”工程，怀柔区也把生态资源转化、乡村旅游提质和区域协同发展摆在了更加重要的位置。在这样的背景下，杨家东庄村所拥有的生态区位、农业基础和乡村资源，不仅有政策支持，也具备进一步转型升级的现实条件。</w:t>
      </w:r>
    </w:p>
    <w:p w14:paraId="65C06443">
      <w:pPr>
        <w:rPr>
          <w:rFonts w:hint="eastAsia" w:ascii="宋体" w:hAnsi="宋体" w:eastAsia="宋体"/>
          <w:sz w:val="21"/>
          <w:szCs w:val="21"/>
        </w:rPr>
      </w:pPr>
      <w:r>
        <w:rPr>
          <w:rFonts w:ascii="宋体" w:hAnsi="宋体" w:eastAsia="宋体"/>
          <w:sz w:val="21"/>
          <w:szCs w:val="21"/>
        </w:rPr>
        <w:drawing>
          <wp:inline distT="0" distB="0" distL="0" distR="0">
            <wp:extent cx="5274310" cy="2578100"/>
            <wp:effectExtent l="0" t="0" r="8890" b="0"/>
            <wp:docPr id="13028255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25519" name="图片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6965" cy="2578100"/>
                    </a:xfrm>
                    <a:prstGeom prst="rect">
                      <a:avLst/>
                    </a:prstGeom>
                    <a:noFill/>
                    <a:ln>
                      <a:noFill/>
                    </a:ln>
                  </pic:spPr>
                </pic:pic>
              </a:graphicData>
            </a:graphic>
          </wp:inline>
        </w:drawing>
      </w:r>
      <w:r>
        <w:rPr>
          <w:rFonts w:hint="eastAsia" w:ascii="宋体" w:hAnsi="宋体" w:eastAsia="宋体"/>
          <w:sz w:val="21"/>
          <w:szCs w:val="21"/>
        </w:rPr>
        <w:t xml:space="preserve"> </w:t>
      </w:r>
    </w:p>
    <w:p w14:paraId="20D35973">
      <w:pPr>
        <w:rPr>
          <w:rFonts w:hint="eastAsia" w:ascii="宋体" w:hAnsi="宋体" w:eastAsia="宋体"/>
          <w:sz w:val="21"/>
          <w:szCs w:val="21"/>
        </w:rPr>
      </w:pPr>
      <w:r>
        <w:rPr>
          <w:rFonts w:ascii="宋体" w:hAnsi="宋体" w:eastAsia="宋体"/>
          <w:sz w:val="21"/>
          <w:szCs w:val="21"/>
        </w:rPr>
        <w:drawing>
          <wp:inline distT="0" distB="0" distL="0" distR="0">
            <wp:extent cx="5274310" cy="2571115"/>
            <wp:effectExtent l="0" t="0" r="8890" b="6985"/>
            <wp:docPr id="20822533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53353"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74310" cy="2571115"/>
                    </a:xfrm>
                    <a:prstGeom prst="rect">
                      <a:avLst/>
                    </a:prstGeom>
                    <a:noFill/>
                    <a:ln>
                      <a:noFill/>
                    </a:ln>
                  </pic:spPr>
                </pic:pic>
              </a:graphicData>
            </a:graphic>
          </wp:inline>
        </w:drawing>
      </w:r>
      <w:r>
        <w:rPr>
          <w:rFonts w:hint="eastAsia" w:ascii="宋体" w:hAnsi="宋体" w:eastAsia="宋体"/>
          <w:sz w:val="21"/>
          <w:szCs w:val="21"/>
        </w:rPr>
        <w:t xml:space="preserve"> </w:t>
      </w:r>
    </w:p>
    <w:p w14:paraId="671B54F6">
      <w:pPr>
        <w:pStyle w:val="4"/>
        <w:bidi w:val="0"/>
        <w:rPr>
          <w:rFonts w:hint="eastAsia"/>
        </w:rPr>
      </w:pPr>
      <w:bookmarkStart w:id="4" w:name="_Toc3238"/>
      <w:r>
        <w:rPr>
          <w:rFonts w:hint="eastAsia"/>
        </w:rPr>
        <w:t>1.2.2村庄发展困境</w:t>
      </w:r>
      <w:bookmarkEnd w:id="4"/>
    </w:p>
    <w:p w14:paraId="1E974673">
      <w:pPr>
        <w:rPr>
          <w:rFonts w:hint="eastAsia" w:ascii="宋体" w:hAnsi="宋体" w:eastAsia="宋体"/>
          <w:sz w:val="21"/>
          <w:szCs w:val="21"/>
        </w:rPr>
      </w:pPr>
      <w:r>
        <w:rPr>
          <w:rFonts w:hint="eastAsia" w:ascii="宋体" w:hAnsi="宋体" w:eastAsia="宋体"/>
          <w:sz w:val="21"/>
          <w:szCs w:val="21"/>
        </w:rPr>
        <w:t>杨家东庄村的问题，并不是没有资源，而是这些资源还没有被真正转化为持续收益。村里有樱桃产业基础，有生态景观优势，也有周边联动条件，但整体仍然停留在“</w:t>
      </w:r>
      <w:r>
        <w:rPr>
          <w:rFonts w:hint="eastAsia" w:ascii="宋体" w:hAnsi="宋体" w:eastAsia="宋体"/>
          <w:b/>
          <w:bCs/>
          <w:sz w:val="21"/>
          <w:szCs w:val="21"/>
        </w:rPr>
        <w:t>有资源、弱运营</w:t>
      </w:r>
      <w:r>
        <w:rPr>
          <w:rFonts w:hint="eastAsia" w:ascii="宋体" w:hAnsi="宋体" w:eastAsia="宋体"/>
          <w:sz w:val="21"/>
          <w:szCs w:val="21"/>
        </w:rPr>
        <w:t>”的阶段：樱桃附加值不高，品牌传播中断，游客来了以后缺少完整的体验链条，停留时间短、消费项目少，旺季之外更缺少稳定客流。归根到底，村里还没有形成一个能够长期运转、持续增收的产业闭环。</w:t>
      </w:r>
    </w:p>
    <w:p w14:paraId="2C765E87">
      <w:pPr>
        <w:pStyle w:val="4"/>
        <w:bidi w:val="0"/>
        <w:rPr>
          <w:rFonts w:hint="eastAsia"/>
        </w:rPr>
      </w:pPr>
      <w:bookmarkStart w:id="5" w:name="_Toc11001"/>
      <w:r>
        <w:rPr>
          <w:rFonts w:hint="eastAsia"/>
        </w:rPr>
        <w:t>1.2.3 "挑战杯"赛制背景与出题方需求</w:t>
      </w:r>
      <w:bookmarkEnd w:id="5"/>
    </w:p>
    <w:p w14:paraId="54153616">
      <w:pPr>
        <w:rPr>
          <w:rFonts w:hint="eastAsia" w:ascii="宋体" w:hAnsi="宋体" w:eastAsia="宋体"/>
          <w:sz w:val="21"/>
          <w:szCs w:val="21"/>
        </w:rPr>
      </w:pPr>
      <w:r>
        <w:rPr>
          <w:rFonts w:hint="eastAsia" w:ascii="宋体" w:hAnsi="宋体" w:eastAsia="宋体"/>
          <w:sz w:val="21"/>
          <w:szCs w:val="21"/>
        </w:rPr>
        <w:t>“挑战杯”首都大学生课外学术科技作品竞赛设有“揭榜挂帅”专项赛道，其突出特点在于由基层单位、企业或社会组织提出真实发展需求，再由高校团队围绕实际问题进行揭榜作答。</w:t>
      </w:r>
    </w:p>
    <w:p w14:paraId="4CC8CA0D">
      <w:pPr>
        <w:rPr>
          <w:rFonts w:hint="eastAsia" w:ascii="宋体" w:hAnsi="宋体" w:eastAsia="宋体"/>
          <w:sz w:val="21"/>
          <w:szCs w:val="21"/>
        </w:rPr>
      </w:pPr>
      <w:r>
        <w:rPr>
          <w:rFonts w:hint="eastAsia" w:ascii="宋体" w:hAnsi="宋体" w:eastAsia="宋体"/>
          <w:sz w:val="21"/>
          <w:szCs w:val="21"/>
        </w:rPr>
        <w:t>在这一赛制背景下，杨家东庄村根据村庄在实际发展过程中面临的具体问题。结合村庄当前资源基础与现实短板，明确提出三项核心任务：一是进一步完善樱桃品牌营销方案，提升产品辨识度和市场影响力；二是联合周边地区，协助实施村内骑行打卡方案，增强村庄引流能力；三是创新设计三产融合路径，推动村庄从单一农业经营走向多元化、可持续发展。</w:t>
      </w:r>
    </w:p>
    <w:p w14:paraId="4DFC2951">
      <w:pPr>
        <w:rPr>
          <w:rFonts w:hint="eastAsia" w:ascii="宋体" w:hAnsi="宋体" w:eastAsia="宋体"/>
          <w:sz w:val="21"/>
          <w:szCs w:val="21"/>
        </w:rPr>
      </w:pPr>
      <w:r>
        <w:rPr>
          <w:rFonts w:hint="eastAsia" w:ascii="宋体" w:hAnsi="宋体" w:eastAsia="宋体"/>
          <w:sz w:val="21"/>
          <w:szCs w:val="21"/>
        </w:rPr>
        <w:t>因此，本项目的任务并不是停留在创意表达或文本包装层面，而是要围绕出题方提出的真实需求，形成一套兼顾品牌塑造、流量导入、场景承接、平台支撑与收益转化的系统性方案</w:t>
      </w:r>
      <w:r>
        <w:rPr>
          <w:rFonts w:hint="eastAsia" w:ascii="宋体" w:hAnsi="宋体" w:eastAsia="宋体"/>
          <w:sz w:val="21"/>
          <w:szCs w:val="21"/>
          <w:lang w:eastAsia="zh-CN"/>
        </w:rPr>
        <w:t>，</w:t>
      </w:r>
      <w:r>
        <w:rPr>
          <w:rFonts w:hint="eastAsia" w:ascii="宋体" w:hAnsi="宋体" w:eastAsia="宋体"/>
          <w:sz w:val="21"/>
          <w:szCs w:val="21"/>
        </w:rPr>
        <w:t>力求使方案既能够回应竞赛要求，也能够为杨家东庄村后续发展提供切实参考。</w:t>
      </w:r>
    </w:p>
    <w:p w14:paraId="5DC9E509">
      <w:pPr>
        <w:pStyle w:val="3"/>
        <w:bidi w:val="0"/>
        <w:rPr>
          <w:rFonts w:hint="eastAsia"/>
        </w:rPr>
      </w:pPr>
      <w:bookmarkStart w:id="6" w:name="_Toc19917"/>
      <w:r>
        <w:rPr>
          <w:rFonts w:hint="eastAsia"/>
        </w:rPr>
        <w:t>1.3  研究意义</w:t>
      </w:r>
      <w:bookmarkEnd w:id="6"/>
    </w:p>
    <w:p w14:paraId="25647798">
      <w:pPr>
        <w:pStyle w:val="4"/>
        <w:bidi w:val="0"/>
        <w:rPr>
          <w:rFonts w:hint="eastAsia"/>
        </w:rPr>
      </w:pPr>
      <w:bookmarkStart w:id="7" w:name="_Toc3160"/>
      <w:r>
        <w:rPr>
          <w:rFonts w:hint="eastAsia"/>
        </w:rPr>
        <w:t>1.3.1理论意义</w:t>
      </w:r>
      <w:bookmarkEnd w:id="7"/>
    </w:p>
    <w:p w14:paraId="77CD8D68">
      <w:pPr>
        <w:widowControl w:val="0"/>
        <w:spacing w:after="160" w:line="278" w:lineRule="auto"/>
        <w:rPr>
          <w:rFonts w:hint="eastAsia" w:ascii="宋体" w:hAnsi="宋体" w:eastAsia="宋体" w:cstheme="minorBidi"/>
          <w:kern w:val="2"/>
          <w:sz w:val="21"/>
          <w:szCs w:val="21"/>
          <w:lang w:val="en-US" w:eastAsia="zh-CN" w:bidi="ar-SA"/>
          <w14:ligatures w14:val="standardContextual"/>
        </w:rPr>
      </w:pPr>
      <w:r>
        <w:rPr>
          <w:rFonts w:hint="eastAsia" w:ascii="宋体" w:hAnsi="宋体" w:eastAsia="宋体" w:cstheme="minorBidi"/>
          <w:kern w:val="2"/>
          <w:sz w:val="21"/>
          <w:szCs w:val="21"/>
          <w:lang w:val="en-US" w:eastAsia="zh-CN" w:bidi="ar-SA"/>
          <w14:ligatures w14:val="standardContextual"/>
        </w:rPr>
        <w:t>本项目关注的，并不是一般乡村如何做文旅开发，而是像杨家东庄村这样处在一级水源保护区、发展边界非常明确的村庄，如何在强约束条件下找到适合自己的振兴路径。相比那些可以通过大规模建设、业态引入来带动发展的乡村，这类村庄更需要思考的是：在不能新增商业执照、不能高强度开发、产业基础又相对薄弱的情况下，原有资源还能怎样被重新组织，生态优势又怎样才能真正转化为发展优势。</w:t>
      </w:r>
    </w:p>
    <w:p w14:paraId="4913EA1B">
      <w:pPr>
        <w:widowControl w:val="0"/>
        <w:spacing w:after="160" w:line="278" w:lineRule="auto"/>
        <w:ind w:leftChars="0"/>
        <w:rPr>
          <w:rFonts w:hint="eastAsia" w:ascii="宋体" w:hAnsi="宋体" w:eastAsia="宋体" w:cstheme="minorBidi"/>
          <w:kern w:val="2"/>
          <w:sz w:val="21"/>
          <w:szCs w:val="21"/>
          <w:lang w:val="en-US" w:eastAsia="zh-CN" w:bidi="ar-SA"/>
          <w14:ligatures w14:val="standardContextual"/>
        </w:rPr>
      </w:pPr>
      <w:r>
        <w:rPr>
          <w:rFonts w:hint="eastAsia" w:ascii="宋体" w:hAnsi="宋体" w:eastAsia="宋体" w:cstheme="minorBidi"/>
          <w:kern w:val="2"/>
          <w:sz w:val="21"/>
          <w:szCs w:val="21"/>
          <w:lang w:val="en-US" w:eastAsia="zh-CN" w:bidi="ar-SA"/>
          <w14:ligatures w14:val="standardContextual"/>
        </w:rPr>
        <w:t>因此，本项目的意义在于，它尝试把“生态保护”和“乡村发展”放在同一套逻辑里考虑，</w:t>
      </w:r>
      <w:r>
        <w:rPr>
          <w:rFonts w:hint="eastAsia" w:ascii="宋体" w:hAnsi="宋体" w:eastAsia="宋体" w:cstheme="minorBidi"/>
          <w:b/>
          <w:bCs/>
          <w:kern w:val="2"/>
          <w:sz w:val="21"/>
          <w:szCs w:val="21"/>
          <w:lang w:val="en-US" w:eastAsia="zh-CN" w:bidi="ar-SA"/>
          <w14:ligatures w14:val="standardContextual"/>
        </w:rPr>
        <w:t>不再把保护看作限制，而是把它转化为品牌塑造、产品提升和场景营造的一部分</w:t>
      </w:r>
      <w:r>
        <w:rPr>
          <w:rFonts w:hint="eastAsia" w:ascii="宋体" w:hAnsi="宋体" w:eastAsia="宋体" w:cstheme="minorBidi"/>
          <w:kern w:val="2"/>
          <w:sz w:val="21"/>
          <w:szCs w:val="21"/>
          <w:lang w:val="en-US" w:eastAsia="zh-CN" w:bidi="ar-SA"/>
          <w14:ligatures w14:val="standardContextual"/>
        </w:rPr>
        <w:t>。围绕这一点，项目从品牌运营、节点引流、区域联动等角度提出了一种更轻量、更贴合实际的思路，也为类似生态敏感地区村庄的发展提供了一种可以参考的分析视角。</w:t>
      </w:r>
    </w:p>
    <w:p w14:paraId="0BF75E6F">
      <w:pPr>
        <w:pStyle w:val="4"/>
        <w:bidi w:val="0"/>
        <w:rPr>
          <w:rFonts w:hint="eastAsia"/>
        </w:rPr>
      </w:pPr>
      <w:bookmarkStart w:id="8" w:name="_Toc14928"/>
      <w:r>
        <w:rPr>
          <w:rFonts w:hint="eastAsia"/>
        </w:rPr>
        <w:t>1.3.2实践意义</w:t>
      </w:r>
      <w:bookmarkEnd w:id="8"/>
    </w:p>
    <w:p w14:paraId="1B238FF3">
      <w:pPr>
        <w:widowControl w:val="0"/>
        <w:spacing w:after="160" w:line="278" w:lineRule="auto"/>
        <w:rPr>
          <w:rFonts w:hint="eastAsia" w:ascii="宋体" w:hAnsi="宋体" w:eastAsia="宋体" w:cstheme="minorBidi"/>
          <w:kern w:val="2"/>
          <w:sz w:val="21"/>
          <w:szCs w:val="21"/>
          <w:lang w:val="en-US" w:eastAsia="zh-CN" w:bidi="ar-SA"/>
          <w14:ligatures w14:val="standardContextual"/>
        </w:rPr>
      </w:pPr>
      <w:r>
        <w:rPr>
          <w:rFonts w:hint="eastAsia" w:ascii="宋体" w:hAnsi="宋体" w:eastAsia="宋体" w:cstheme="minorBidi"/>
          <w:kern w:val="2"/>
          <w:sz w:val="21"/>
          <w:szCs w:val="21"/>
          <w:lang w:val="en-US" w:eastAsia="zh-CN" w:bidi="ar-SA"/>
          <w14:ligatures w14:val="standardContextual"/>
        </w:rPr>
        <w:t>本项目的实践意义主要体现在对杨家东庄村现实问题的直接回应上。当前，村庄发展面临产业收益偏低、收入结构单一、客流停留不足、政策约束明显等多重困难，传统依靠采摘经济和自然来客的发展方式已难以支撑后续增收需求。本项目在充分调研的基础上，尝试从品牌提升、节点引流、产业延伸和组织协同等方面提出更具可行性的解决方案，力求在现有条件下提升樱桃产业附加值、增强村庄客流承接能力，并逐步拓展非采摘季收入来源。</w:t>
      </w:r>
    </w:p>
    <w:p w14:paraId="1F91DA7E">
      <w:pPr>
        <w:widowControl w:val="0"/>
        <w:spacing w:after="160" w:line="278" w:lineRule="auto"/>
        <w:ind w:leftChars="0"/>
        <w:rPr>
          <w:rFonts w:hint="eastAsia" w:ascii="宋体" w:hAnsi="宋体" w:eastAsia="宋体" w:cstheme="minorBidi"/>
          <w:kern w:val="2"/>
          <w:sz w:val="21"/>
          <w:szCs w:val="21"/>
          <w:lang w:val="en-US" w:eastAsia="zh-CN" w:bidi="ar-SA"/>
          <w14:ligatures w14:val="standardContextual"/>
        </w:rPr>
      </w:pPr>
      <w:r>
        <w:rPr>
          <w:rFonts w:hint="eastAsia" w:ascii="宋体" w:hAnsi="宋体" w:eastAsia="宋体" w:cstheme="minorBidi"/>
          <w:kern w:val="2"/>
          <w:sz w:val="21"/>
          <w:szCs w:val="21"/>
          <w:lang w:val="en-US" w:eastAsia="zh-CN" w:bidi="ar-SA"/>
          <w14:ligatures w14:val="standardContextual"/>
        </w:rPr>
        <w:t>同时，本项目</w:t>
      </w:r>
      <w:r>
        <w:rPr>
          <w:rFonts w:hint="eastAsia" w:ascii="宋体" w:hAnsi="宋体" w:eastAsia="宋体" w:cstheme="minorBidi"/>
          <w:b/>
          <w:bCs/>
          <w:kern w:val="2"/>
          <w:sz w:val="21"/>
          <w:szCs w:val="21"/>
          <w:lang w:val="en-US" w:eastAsia="zh-CN" w:bidi="ar-SA"/>
          <w14:ligatures w14:val="standardContextual"/>
        </w:rPr>
        <w:t>强调低成本、轻建设和可持续推进</w:t>
      </w:r>
      <w:r>
        <w:rPr>
          <w:rFonts w:hint="eastAsia" w:ascii="宋体" w:hAnsi="宋体" w:eastAsia="宋体" w:cstheme="minorBidi"/>
          <w:kern w:val="2"/>
          <w:sz w:val="21"/>
          <w:szCs w:val="21"/>
          <w:lang w:val="en-US" w:eastAsia="zh-CN" w:bidi="ar-SA"/>
          <w14:ligatures w14:val="standardContextual"/>
        </w:rPr>
        <w:t>，更符合杨家东庄村当前的发展实际。其价值不仅在于形成一套较为完整的项目方案，更在于为后续村庄实施提供了较明确的思路基础。对于其他同样面临生态保护约束、产业基础薄弱、发展路径受限的村庄而言，本项目也具有一定借鉴意义。</w:t>
      </w:r>
    </w:p>
    <w:p w14:paraId="786C097E">
      <w:pPr>
        <w:rPr>
          <w:rFonts w:hint="eastAsia" w:ascii="宋体" w:hAnsi="宋体" w:eastAsia="宋体"/>
          <w:sz w:val="21"/>
          <w:szCs w:val="21"/>
        </w:rPr>
      </w:pPr>
      <w:r>
        <w:rPr>
          <w:rFonts w:hint="eastAsia" w:ascii="宋体" w:hAnsi="宋体" w:eastAsia="宋体"/>
          <w:sz w:val="21"/>
          <w:szCs w:val="21"/>
        </w:rPr>
        <w:t>对“揭榜挂帅”机制本身而言，本项目也具有一定的示范意义。它不是简单接续前任成果，而是在尊重既有基础的前提下，继续把项目从“品牌雏形”往“运营生态”推进，验证了高校团队参与乡村振兴完全可以通过分阶段接力实现持续深化。这种“前期奠基—中期深化—后期运营”的协作方式，对同类乡村振兴项目也有较强参考价值。</w:t>
      </w:r>
      <w:r>
        <w:rPr>
          <w:rFonts w:hint="eastAsia" w:ascii="宋体" w:hAnsi="宋体" w:eastAsia="宋体"/>
          <w:sz w:val="21"/>
          <w:szCs w:val="21"/>
        </w:rPr>
        <w:br w:type="page"/>
      </w:r>
    </w:p>
    <w:p w14:paraId="63B52699">
      <w:pPr>
        <w:pStyle w:val="2"/>
        <w:bidi w:val="0"/>
        <w:rPr>
          <w:rFonts w:hint="eastAsia"/>
        </w:rPr>
      </w:pPr>
      <w:bookmarkStart w:id="9" w:name="_Toc6031"/>
      <w:r>
        <w:rPr>
          <w:rFonts w:hint="eastAsia"/>
        </w:rPr>
        <w:t>第二章  项目定位</w:t>
      </w:r>
      <w:bookmarkEnd w:id="9"/>
    </w:p>
    <w:p w14:paraId="3796B74A">
      <w:pPr>
        <w:pStyle w:val="3"/>
        <w:bidi w:val="0"/>
        <w:rPr>
          <w:rFonts w:hint="eastAsia"/>
        </w:rPr>
      </w:pPr>
      <w:bookmarkStart w:id="10" w:name="_Toc7821"/>
      <w:r>
        <w:rPr>
          <w:rFonts w:hint="eastAsia"/>
        </w:rPr>
        <w:t>2.1  前期基础与未完成领域</w:t>
      </w:r>
      <w:bookmarkEnd w:id="10"/>
    </w:p>
    <w:p w14:paraId="2C026774">
      <w:pPr>
        <w:ind w:firstLine="420" w:firstLineChars="200"/>
        <w:rPr>
          <w:rFonts w:hint="eastAsia" w:ascii="宋体" w:hAnsi="宋体" w:eastAsia="宋体"/>
          <w:sz w:val="21"/>
          <w:szCs w:val="21"/>
        </w:rPr>
      </w:pPr>
      <w:r>
        <w:rPr>
          <w:rFonts w:hint="eastAsia" w:ascii="宋体" w:hAnsi="宋体" w:eastAsia="宋体"/>
          <w:sz w:val="21"/>
          <w:szCs w:val="21"/>
        </w:rPr>
        <w:t>杨家东庄村并不是从零开始。前期团队“樱有尽有”已经在品牌命名、初步VI设计、小程序雏形、品牌故事构思以及高校合作资源整合等方面做了不少基础工作，为本项目留下了可以继续利用的品牌资产和前期成果。这说明，村庄樱桃产业走品牌化这条路，本身已经被初步验证过，后续完全有继续深化的空间。</w:t>
      </w:r>
    </w:p>
    <w:p w14:paraId="7347913F">
      <w:pPr>
        <w:ind w:firstLine="420" w:firstLineChars="200"/>
        <w:rPr>
          <w:rFonts w:hint="eastAsia" w:ascii="宋体" w:hAnsi="宋体" w:eastAsia="宋体"/>
          <w:sz w:val="21"/>
          <w:szCs w:val="21"/>
        </w:rPr>
      </w:pPr>
      <w:r>
        <w:rPr>
          <w:rFonts w:hint="eastAsia" w:ascii="宋体" w:hAnsi="宋体" w:eastAsia="宋体"/>
          <w:sz w:val="21"/>
          <w:szCs w:val="21"/>
        </w:rPr>
        <w:t>但从整体发展看,</w:t>
      </w:r>
      <w:r>
        <w:rPr>
          <w:rFonts w:hint="eastAsia" w:ascii="宋体" w:hAnsi="宋体" w:eastAsia="宋体"/>
          <w:b/>
          <w:bCs/>
          <w:sz w:val="21"/>
          <w:szCs w:val="21"/>
        </w:rPr>
        <w:t>前期成果更多还停留在"品牌起步"和"概念呈现"的阶段,</w:t>
      </w:r>
      <w:r>
        <w:rPr>
          <w:rFonts w:hint="eastAsia" w:ascii="宋体" w:hAnsi="宋体" w:eastAsia="宋体"/>
          <w:sz w:val="21"/>
          <w:szCs w:val="21"/>
        </w:rPr>
        <w:t>距离稳定运营还有不小距离。经实地调研,四项关键缺口清晰可见:第一,前任遗留的</w:t>
      </w:r>
      <w:r>
        <w:rPr>
          <w:rFonts w:hint="eastAsia" w:ascii="宋体" w:hAnsi="宋体" w:eastAsia="宋体"/>
          <w:b/>
          <w:bCs/>
          <w:sz w:val="21"/>
          <w:szCs w:val="21"/>
        </w:rPr>
        <w:t>小程序已完全停运,</w:t>
      </w:r>
      <w:r>
        <w:rPr>
          <w:rFonts w:hint="eastAsia" w:ascii="宋体" w:hAnsi="宋体" w:eastAsia="宋体"/>
          <w:sz w:val="21"/>
          <w:szCs w:val="21"/>
        </w:rPr>
        <w:t>线上触点断裂;第二,出题方重点提出的</w:t>
      </w:r>
      <w:r>
        <w:rPr>
          <w:rFonts w:hint="eastAsia" w:ascii="宋体" w:hAnsi="宋体" w:eastAsia="宋体"/>
          <w:b/>
          <w:bCs/>
          <w:sz w:val="21"/>
          <w:szCs w:val="21"/>
        </w:rPr>
        <w:t>骑行打卡体系一直没有真正搭起来</w:t>
      </w:r>
      <w:r>
        <w:rPr>
          <w:rFonts w:hint="eastAsia" w:ascii="宋体" w:hAnsi="宋体" w:eastAsia="宋体"/>
          <w:sz w:val="21"/>
          <w:szCs w:val="21"/>
        </w:rPr>
        <w:t>,且实地调研确认村内不具备新建骑行道路的条件,只能以"联盟路线节点"方式参与;第三,樱桃采摘之外的四季产品与</w:t>
      </w:r>
      <w:r>
        <w:rPr>
          <w:rFonts w:hint="eastAsia" w:ascii="宋体" w:hAnsi="宋体" w:eastAsia="宋体"/>
          <w:b/>
          <w:bCs/>
          <w:sz w:val="21"/>
          <w:szCs w:val="21"/>
        </w:rPr>
        <w:t>非采摘期收入体系仍然薄弱</w:t>
      </w:r>
      <w:r>
        <w:rPr>
          <w:rFonts w:hint="eastAsia" w:ascii="宋体" w:hAnsi="宋体" w:eastAsia="宋体"/>
          <w:sz w:val="21"/>
          <w:szCs w:val="21"/>
        </w:rPr>
        <w:t>,非樱桃季基本无收入;第四,</w:t>
      </w:r>
      <w:r>
        <w:rPr>
          <w:rFonts w:hint="eastAsia" w:ascii="宋体" w:hAnsi="宋体" w:eastAsia="宋体"/>
          <w:b/>
          <w:bCs/>
          <w:sz w:val="21"/>
          <w:szCs w:val="21"/>
        </w:rPr>
        <w:t>深加工、文创衍生、区域联动和收益模型等内容也不完善</w:t>
      </w:r>
      <w:r>
        <w:rPr>
          <w:rFonts w:hint="eastAsia" w:ascii="宋体" w:hAnsi="宋体" w:eastAsia="宋体"/>
          <w:sz w:val="21"/>
          <w:szCs w:val="21"/>
        </w:rPr>
        <w:t>,且受水源保护区"新商业执照零发放"的硬约束,深加工不能在本村落地,必须走外部代工+品牌授权路径。归根结底,村里需要的不是再做一轮概念包装,而是在政策硬约束和人力基础薄弱的前提下,把已有资源转化成一个能持续运转的产业系统。</w:t>
      </w:r>
    </w:p>
    <w:p w14:paraId="1B9C225D">
      <w:pPr>
        <w:pStyle w:val="3"/>
        <w:bidi w:val="0"/>
        <w:rPr>
          <w:rFonts w:hint="eastAsia"/>
        </w:rPr>
      </w:pPr>
      <w:bookmarkStart w:id="11" w:name="_Toc28885"/>
      <w:r>
        <w:rPr>
          <w:rFonts w:hint="eastAsia"/>
        </w:rPr>
        <w:t>2.2  与前任擂主的差异化矩阵</w:t>
      </w:r>
      <w:bookmarkEnd w:id="11"/>
    </w:p>
    <w:p w14:paraId="4FDF02A8">
      <w:pPr>
        <w:jc w:val="center"/>
        <w:rPr>
          <w:rFonts w:hint="eastAsia" w:ascii="宋体" w:hAnsi="宋体" w:eastAsia="宋体"/>
        </w:rPr>
      </w:pPr>
      <w:r>
        <w:rPr>
          <w:rFonts w:hint="eastAsia" w:ascii="宋体" w:hAnsi="宋体" w:eastAsia="宋体"/>
          <w:b/>
        </w:rPr>
        <w:t>表2-1  与前任擂主差异化对比</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768"/>
        <w:gridCol w:w="2768"/>
        <w:gridCol w:w="2768"/>
      </w:tblGrid>
      <w:tr w14:paraId="345B7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68C08BBB">
            <w:pPr>
              <w:jc w:val="center"/>
              <w:rPr>
                <w:b/>
              </w:rPr>
            </w:pPr>
            <w:r>
              <w:rPr>
                <w:rFonts w:hint="eastAsia" w:ascii="宋体" w:hAnsi="宋体" w:eastAsia="宋体" w:cstheme="minorBidi"/>
                <w:b/>
                <w:kern w:val="2"/>
                <w:sz w:val="21"/>
                <w:szCs w:val="21"/>
                <w:lang w:val="en-US" w:eastAsia="zh-CN" w:bidi="ar-SA"/>
                <w14:ligatures w14:val="standardContextual"/>
              </w:rPr>
              <w:t>维度</w:t>
            </w:r>
          </w:p>
        </w:tc>
        <w:tc>
          <w:tcPr>
            <w:tcW w:w="0" w:type="auto"/>
            <w:tcMar>
              <w:left w:w="108" w:type="dxa"/>
              <w:right w:w="108" w:type="dxa"/>
            </w:tcMar>
            <w:vAlign w:val="center"/>
          </w:tcPr>
          <w:p w14:paraId="3C3C584B">
            <w:pPr>
              <w:jc w:val="center"/>
              <w:rPr>
                <w:b/>
              </w:rPr>
            </w:pPr>
            <w:r>
              <w:rPr>
                <w:rFonts w:hint="eastAsia" w:ascii="宋体" w:hAnsi="宋体" w:eastAsia="宋体" w:cstheme="minorBidi"/>
                <w:b/>
                <w:kern w:val="2"/>
                <w:sz w:val="21"/>
                <w:szCs w:val="21"/>
                <w:lang w:val="en-US" w:eastAsia="zh-CN" w:bidi="ar-SA"/>
                <w14:ligatures w14:val="standardContextual"/>
              </w:rPr>
              <w:t>前任擂主"樱有尽有"</w:t>
            </w:r>
          </w:p>
        </w:tc>
        <w:tc>
          <w:tcPr>
            <w:tcW w:w="0" w:type="auto"/>
            <w:tcMar>
              <w:left w:w="108" w:type="dxa"/>
              <w:right w:w="108" w:type="dxa"/>
            </w:tcMar>
            <w:vAlign w:val="center"/>
          </w:tcPr>
          <w:p w14:paraId="75754C5B">
            <w:pPr>
              <w:jc w:val="center"/>
              <w:rPr>
                <w:b/>
              </w:rPr>
            </w:pPr>
            <w:r>
              <w:rPr>
                <w:rFonts w:hint="eastAsia" w:ascii="宋体" w:hAnsi="宋体" w:eastAsia="宋体" w:cstheme="minorBidi"/>
                <w:b/>
                <w:kern w:val="2"/>
                <w:sz w:val="21"/>
                <w:szCs w:val="21"/>
                <w:lang w:val="en-US" w:eastAsia="zh-CN" w:bidi="ar-SA"/>
                <w14:ligatures w14:val="standardContextual"/>
              </w:rPr>
              <w:t>本项目"樱动东庄"</w:t>
            </w:r>
          </w:p>
        </w:tc>
      </w:tr>
      <w:tr w14:paraId="1C6D2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598DEE6D">
            <w:r>
              <w:rPr>
                <w:rFonts w:hint="eastAsia" w:ascii="宋体" w:hAnsi="宋体" w:eastAsia="宋体" w:cstheme="minorBidi"/>
                <w:kern w:val="2"/>
                <w:sz w:val="21"/>
                <w:szCs w:val="21"/>
                <w:lang w:val="en-US" w:eastAsia="zh-CN" w:bidi="ar-SA"/>
                <w14:ligatures w14:val="standardContextual"/>
              </w:rPr>
              <w:t>品牌策略</w:t>
            </w:r>
          </w:p>
        </w:tc>
        <w:tc>
          <w:tcPr>
            <w:tcW w:w="0" w:type="auto"/>
            <w:tcMar>
              <w:left w:w="108" w:type="dxa"/>
              <w:right w:w="108" w:type="dxa"/>
            </w:tcMar>
            <w:vAlign w:val="center"/>
          </w:tcPr>
          <w:p w14:paraId="3B2FE57F">
            <w:r>
              <w:rPr>
                <w:rFonts w:hint="eastAsia" w:ascii="宋体" w:hAnsi="宋体" w:eastAsia="宋体" w:cstheme="minorBidi"/>
                <w:kern w:val="2"/>
                <w:sz w:val="21"/>
                <w:szCs w:val="21"/>
                <w:lang w:val="en-US" w:eastAsia="zh-CN" w:bidi="ar-SA"/>
                <w14:ligatures w14:val="standardContextual"/>
              </w:rPr>
              <w:t>品牌命名+初步VI+概念营销方案</w:t>
            </w:r>
          </w:p>
        </w:tc>
        <w:tc>
          <w:tcPr>
            <w:tcW w:w="0" w:type="auto"/>
            <w:tcMar>
              <w:left w:w="108" w:type="dxa"/>
              <w:right w:w="108" w:type="dxa"/>
            </w:tcMar>
            <w:vAlign w:val="center"/>
          </w:tcPr>
          <w:p w14:paraId="4B200FAB">
            <w:r>
              <w:rPr>
                <w:rFonts w:hint="eastAsia" w:ascii="宋体" w:hAnsi="宋体" w:eastAsia="宋体" w:cstheme="minorBidi"/>
                <w:kern w:val="2"/>
                <w:sz w:val="21"/>
                <w:szCs w:val="21"/>
                <w:lang w:val="en-US" w:eastAsia="zh-CN" w:bidi="ar-SA"/>
                <w14:ligatures w14:val="standardContextual"/>
              </w:rPr>
              <w:t>品牌升级+产品分级+全渠道运营+数字营销矩阵+认养2.0</w:t>
            </w:r>
          </w:p>
        </w:tc>
      </w:tr>
      <w:tr w14:paraId="4CF4E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7A0B374">
            <w:r>
              <w:rPr>
                <w:rFonts w:hint="eastAsia" w:ascii="宋体" w:hAnsi="宋体" w:eastAsia="宋体" w:cstheme="minorBidi"/>
                <w:kern w:val="2"/>
                <w:sz w:val="21"/>
                <w:szCs w:val="21"/>
                <w:lang w:val="en-US" w:eastAsia="zh-CN" w:bidi="ar-SA"/>
                <w14:ligatures w14:val="standardContextual"/>
              </w:rPr>
              <w:t>骑行方案</w:t>
            </w:r>
          </w:p>
        </w:tc>
        <w:tc>
          <w:tcPr>
            <w:tcW w:w="0" w:type="auto"/>
            <w:tcMar>
              <w:left w:w="108" w:type="dxa"/>
              <w:right w:w="108" w:type="dxa"/>
            </w:tcMar>
            <w:vAlign w:val="center"/>
          </w:tcPr>
          <w:p w14:paraId="259BE033">
            <w:r>
              <w:rPr>
                <w:rFonts w:hint="eastAsia" w:ascii="宋体" w:hAnsi="宋体" w:eastAsia="宋体" w:cstheme="minorBidi"/>
                <w:kern w:val="2"/>
                <w:sz w:val="21"/>
                <w:szCs w:val="21"/>
                <w:lang w:val="en-US" w:eastAsia="zh-CN" w:bidi="ar-SA"/>
                <w14:ligatures w14:val="standardContextual"/>
              </w:rPr>
              <w:t>未涉及</w:t>
            </w:r>
          </w:p>
        </w:tc>
        <w:tc>
          <w:tcPr>
            <w:tcW w:w="0" w:type="auto"/>
            <w:tcMar>
              <w:left w:w="108" w:type="dxa"/>
              <w:right w:w="108" w:type="dxa"/>
            </w:tcMar>
            <w:vAlign w:val="center"/>
          </w:tcPr>
          <w:p w14:paraId="330EAA94">
            <w:pPr>
              <w:spacing w:after="0" w:line="240" w:lineRule="auto"/>
            </w:pPr>
            <w:r>
              <w:rPr>
                <w:rFonts w:ascii="宋体" w:hAnsi="宋体" w:eastAsia="宋体" w:cstheme="minorBidi"/>
                <w:kern w:val="2"/>
                <w:sz w:val="20"/>
                <w:szCs w:val="24"/>
                <w:lang w:val="en-US" w:eastAsia="zh-CN" w:bidi="ar-SA"/>
                <w14:ligatures w14:val="standardContextual"/>
              </w:rPr>
              <w:t>本村联盟节点+无人驿站+骑行海报系统+赛事IP(多村共办)</w:t>
            </w:r>
          </w:p>
        </w:tc>
      </w:tr>
      <w:tr w14:paraId="7EF58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24306DA1">
            <w:r>
              <w:rPr>
                <w:rFonts w:hint="eastAsia" w:ascii="宋体" w:hAnsi="宋体" w:eastAsia="宋体" w:cstheme="minorBidi"/>
                <w:kern w:val="2"/>
                <w:sz w:val="21"/>
                <w:szCs w:val="21"/>
                <w:lang w:val="en-US" w:eastAsia="zh-CN" w:bidi="ar-SA"/>
                <w14:ligatures w14:val="standardContextual"/>
              </w:rPr>
              <w:t>技术落地</w:t>
            </w:r>
          </w:p>
        </w:tc>
        <w:tc>
          <w:tcPr>
            <w:tcW w:w="0" w:type="auto"/>
            <w:tcMar>
              <w:left w:w="108" w:type="dxa"/>
              <w:right w:w="108" w:type="dxa"/>
            </w:tcMar>
            <w:vAlign w:val="center"/>
          </w:tcPr>
          <w:p w14:paraId="3C1AD111">
            <w:r>
              <w:rPr>
                <w:rFonts w:hint="eastAsia" w:ascii="宋体" w:hAnsi="宋体" w:eastAsia="宋体" w:cstheme="minorBidi"/>
                <w:kern w:val="2"/>
                <w:sz w:val="21"/>
                <w:szCs w:val="21"/>
                <w:lang w:val="en-US" w:eastAsia="zh-CN" w:bidi="ar-SA"/>
                <w14:ligatures w14:val="standardContextual"/>
              </w:rPr>
              <w:t>小程序概念（已停运）</w:t>
            </w:r>
          </w:p>
        </w:tc>
        <w:tc>
          <w:tcPr>
            <w:tcW w:w="0" w:type="auto"/>
            <w:tcMar>
              <w:left w:w="108" w:type="dxa"/>
              <w:right w:w="108" w:type="dxa"/>
            </w:tcMar>
            <w:vAlign w:val="center"/>
          </w:tcPr>
          <w:p w14:paraId="07087A75">
            <w:pPr>
              <w:spacing w:after="0" w:line="240" w:lineRule="auto"/>
            </w:pPr>
            <w:r>
              <w:rPr>
                <w:rFonts w:ascii="宋体" w:hAnsi="宋体" w:eastAsia="宋体" w:cstheme="minorBidi"/>
                <w:kern w:val="2"/>
                <w:sz w:val="20"/>
                <w:szCs w:val="24"/>
                <w:lang w:val="en-US" w:eastAsia="zh-CN" w:bidi="ar-SA"/>
                <w14:ligatures w14:val="standardContextual"/>
              </w:rPr>
              <w:t>单小程序承载:一树一人认养数字孪生+GPS打卡+海报合成+B端订单+联盟积分+AR</w:t>
            </w:r>
          </w:p>
        </w:tc>
      </w:tr>
      <w:tr w14:paraId="79FED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5F1C6217">
            <w:r>
              <w:rPr>
                <w:rFonts w:hint="eastAsia" w:ascii="宋体" w:hAnsi="宋体" w:eastAsia="宋体" w:cstheme="minorBidi"/>
                <w:kern w:val="2"/>
                <w:sz w:val="21"/>
                <w:szCs w:val="21"/>
                <w:lang w:val="en-US" w:eastAsia="zh-CN" w:bidi="ar-SA"/>
                <w14:ligatures w14:val="standardContextual"/>
              </w:rPr>
              <w:t>三产融合</w:t>
            </w:r>
          </w:p>
        </w:tc>
        <w:tc>
          <w:tcPr>
            <w:tcW w:w="0" w:type="auto"/>
            <w:tcMar>
              <w:left w:w="108" w:type="dxa"/>
              <w:right w:w="108" w:type="dxa"/>
            </w:tcMar>
            <w:vAlign w:val="center"/>
          </w:tcPr>
          <w:p w14:paraId="09281F0F">
            <w:r>
              <w:rPr>
                <w:rFonts w:hint="eastAsia" w:ascii="宋体" w:hAnsi="宋体" w:eastAsia="宋体" w:cstheme="minorBidi"/>
                <w:kern w:val="2"/>
                <w:sz w:val="21"/>
                <w:szCs w:val="21"/>
                <w:lang w:val="en-US" w:eastAsia="zh-CN" w:bidi="ar-SA"/>
                <w14:ligatures w14:val="standardContextual"/>
              </w:rPr>
              <w:t>概念层面</w:t>
            </w:r>
          </w:p>
        </w:tc>
        <w:tc>
          <w:tcPr>
            <w:tcW w:w="0" w:type="auto"/>
            <w:tcMar>
              <w:left w:w="108" w:type="dxa"/>
              <w:right w:w="108" w:type="dxa"/>
            </w:tcMar>
            <w:vAlign w:val="center"/>
          </w:tcPr>
          <w:p w14:paraId="1BB1C8FF">
            <w:pPr>
              <w:spacing w:after="0" w:line="240" w:lineRule="auto"/>
            </w:pPr>
            <w:r>
              <w:rPr>
                <w:rFonts w:ascii="宋体" w:hAnsi="宋体" w:eastAsia="宋体" w:cstheme="minorBidi"/>
                <w:kern w:val="2"/>
                <w:sz w:val="20"/>
                <w:szCs w:val="24"/>
                <w:lang w:val="en-US" w:eastAsia="zh-CN" w:bidi="ar-SA"/>
                <w14:ligatures w14:val="standardContextual"/>
              </w:rPr>
              <w:t>一产(樱桃+林下菌)+二产(外部代工品牌授权)+三产(B端研学+骑行联盟+到访)</w:t>
            </w:r>
          </w:p>
        </w:tc>
      </w:tr>
      <w:tr w14:paraId="052C2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44E59B9">
            <w:r>
              <w:rPr>
                <w:rFonts w:hint="eastAsia" w:ascii="宋体" w:hAnsi="宋体" w:eastAsia="宋体" w:cstheme="minorBidi"/>
                <w:kern w:val="2"/>
                <w:sz w:val="21"/>
                <w:szCs w:val="21"/>
                <w:lang w:val="en-US" w:eastAsia="zh-CN" w:bidi="ar-SA"/>
                <w14:ligatures w14:val="standardContextual"/>
              </w:rPr>
              <w:t>运营周期</w:t>
            </w:r>
          </w:p>
        </w:tc>
        <w:tc>
          <w:tcPr>
            <w:tcW w:w="0" w:type="auto"/>
            <w:tcMar>
              <w:left w:w="108" w:type="dxa"/>
              <w:right w:w="108" w:type="dxa"/>
            </w:tcMar>
            <w:vAlign w:val="center"/>
          </w:tcPr>
          <w:p w14:paraId="05426F42">
            <w:r>
              <w:rPr>
                <w:rFonts w:hint="eastAsia" w:ascii="宋体" w:hAnsi="宋体" w:eastAsia="宋体" w:cstheme="minorBidi"/>
                <w:kern w:val="2"/>
                <w:sz w:val="21"/>
                <w:szCs w:val="21"/>
                <w:lang w:val="en-US" w:eastAsia="zh-CN" w:bidi="ar-SA"/>
                <w14:ligatures w14:val="standardContextual"/>
              </w:rPr>
              <w:t>樱桃季为主</w:t>
            </w:r>
          </w:p>
        </w:tc>
        <w:tc>
          <w:tcPr>
            <w:tcW w:w="0" w:type="auto"/>
            <w:tcMar>
              <w:left w:w="108" w:type="dxa"/>
              <w:right w:w="108" w:type="dxa"/>
            </w:tcMar>
            <w:vAlign w:val="center"/>
          </w:tcPr>
          <w:p w14:paraId="30E633CD">
            <w:r>
              <w:rPr>
                <w:rFonts w:hint="eastAsia" w:ascii="宋体" w:hAnsi="宋体" w:eastAsia="宋体" w:cstheme="minorBidi"/>
                <w:kern w:val="2"/>
                <w:sz w:val="21"/>
                <w:szCs w:val="21"/>
                <w:lang w:val="en-US" w:eastAsia="zh-CN" w:bidi="ar-SA"/>
                <w14:ligatures w14:val="standardContextual"/>
              </w:rPr>
              <w:t>四季全覆盖（"一核两翼三引擎四季轮"）</w:t>
            </w:r>
          </w:p>
        </w:tc>
      </w:tr>
      <w:tr w14:paraId="07025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187C042">
            <w:r>
              <w:rPr>
                <w:rFonts w:hint="eastAsia" w:ascii="宋体" w:hAnsi="宋体" w:eastAsia="宋体" w:cstheme="minorBidi"/>
                <w:kern w:val="2"/>
                <w:sz w:val="21"/>
                <w:szCs w:val="21"/>
                <w:lang w:val="en-US" w:eastAsia="zh-CN" w:bidi="ar-SA"/>
                <w14:ligatures w14:val="standardContextual"/>
              </w:rPr>
              <w:t>数据能力</w:t>
            </w:r>
          </w:p>
        </w:tc>
        <w:tc>
          <w:tcPr>
            <w:tcW w:w="0" w:type="auto"/>
            <w:tcMar>
              <w:left w:w="108" w:type="dxa"/>
              <w:right w:w="108" w:type="dxa"/>
            </w:tcMar>
            <w:vAlign w:val="center"/>
          </w:tcPr>
          <w:p w14:paraId="4541544E">
            <w:r>
              <w:rPr>
                <w:rFonts w:hint="eastAsia" w:ascii="宋体" w:hAnsi="宋体" w:eastAsia="宋体" w:cstheme="minorBidi"/>
                <w:kern w:val="2"/>
                <w:sz w:val="21"/>
                <w:szCs w:val="21"/>
                <w:lang w:val="en-US" w:eastAsia="zh-CN" w:bidi="ar-SA"/>
                <w14:ligatures w14:val="standardContextual"/>
              </w:rPr>
              <w:t>无</w:t>
            </w:r>
          </w:p>
        </w:tc>
        <w:tc>
          <w:tcPr>
            <w:tcW w:w="0" w:type="auto"/>
            <w:tcMar>
              <w:left w:w="108" w:type="dxa"/>
              <w:right w:w="108" w:type="dxa"/>
            </w:tcMar>
            <w:vAlign w:val="center"/>
          </w:tcPr>
          <w:p w14:paraId="10103086">
            <w:r>
              <w:rPr>
                <w:rFonts w:hint="eastAsia" w:ascii="宋体" w:hAnsi="宋体" w:eastAsia="宋体" w:cstheme="minorBidi"/>
                <w:kern w:val="2"/>
                <w:sz w:val="21"/>
                <w:szCs w:val="21"/>
                <w:lang w:val="en-US" w:eastAsia="zh-CN" w:bidi="ar-SA"/>
                <w14:ligatures w14:val="standardContextual"/>
              </w:rPr>
              <w:t>用户行为数据驱动精准运营+生态数据实时看板</w:t>
            </w:r>
          </w:p>
        </w:tc>
      </w:tr>
      <w:tr w14:paraId="5D7DD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4E0F2D9">
            <w:r>
              <w:rPr>
                <w:rFonts w:hint="eastAsia" w:ascii="宋体" w:hAnsi="宋体" w:eastAsia="宋体" w:cstheme="minorBidi"/>
                <w:kern w:val="2"/>
                <w:sz w:val="21"/>
                <w:szCs w:val="21"/>
                <w:lang w:val="en-US" w:eastAsia="zh-CN" w:bidi="ar-SA"/>
                <w14:ligatures w14:val="standardContextual"/>
              </w:rPr>
              <w:t>财务深度</w:t>
            </w:r>
          </w:p>
        </w:tc>
        <w:tc>
          <w:tcPr>
            <w:tcW w:w="0" w:type="auto"/>
            <w:tcMar>
              <w:left w:w="108" w:type="dxa"/>
              <w:right w:w="108" w:type="dxa"/>
            </w:tcMar>
            <w:vAlign w:val="center"/>
          </w:tcPr>
          <w:p w14:paraId="31C7DBDE">
            <w:r>
              <w:rPr>
                <w:rFonts w:hint="eastAsia" w:ascii="宋体" w:hAnsi="宋体" w:eastAsia="宋体" w:cstheme="minorBidi"/>
                <w:kern w:val="2"/>
                <w:sz w:val="21"/>
                <w:szCs w:val="21"/>
                <w:lang w:val="en-US" w:eastAsia="zh-CN" w:bidi="ar-SA"/>
                <w14:ligatures w14:val="standardContextual"/>
              </w:rPr>
              <w:t>营收预测+毛利率</w:t>
            </w:r>
          </w:p>
        </w:tc>
        <w:tc>
          <w:tcPr>
            <w:tcW w:w="0" w:type="auto"/>
            <w:tcMar>
              <w:left w:w="108" w:type="dxa"/>
              <w:right w:w="108" w:type="dxa"/>
            </w:tcMar>
            <w:vAlign w:val="center"/>
          </w:tcPr>
          <w:p w14:paraId="0951CC60">
            <w:r>
              <w:rPr>
                <w:rFonts w:hint="eastAsia" w:ascii="宋体" w:hAnsi="宋体" w:eastAsia="宋体" w:cstheme="minorBidi"/>
                <w:kern w:val="2"/>
                <w:sz w:val="21"/>
                <w:szCs w:val="21"/>
                <w:lang w:val="en-US" w:eastAsia="zh-CN" w:bidi="ar-SA"/>
                <w14:ligatures w14:val="standardContextual"/>
              </w:rPr>
              <w:t>在其基础上新增骑行/体验/数字平台多元收入+敏感性分析</w:t>
            </w:r>
          </w:p>
        </w:tc>
      </w:tr>
    </w:tbl>
    <w:p w14:paraId="61A7E0E1"/>
    <w:p w14:paraId="6EE4B951">
      <w:pPr>
        <w:pStyle w:val="3"/>
        <w:bidi w:val="0"/>
        <w:rPr>
          <w:rFonts w:hint="eastAsia"/>
        </w:rPr>
      </w:pPr>
      <w:bookmarkStart w:id="12" w:name="_Toc14822"/>
      <w:r>
        <w:rPr>
          <w:rFonts w:hint="eastAsia"/>
        </w:rPr>
        <w:t>2.3  本项目定位：从"品牌奠基"到"生态运营"</w:t>
      </w:r>
      <w:bookmarkEnd w:id="12"/>
    </w:p>
    <w:p w14:paraId="57A65076">
      <w:pPr>
        <w:ind w:firstLine="420" w:firstLineChars="200"/>
        <w:rPr>
          <w:rFonts w:hint="eastAsia" w:ascii="宋体" w:hAnsi="宋体" w:eastAsia="宋体"/>
          <w:sz w:val="21"/>
          <w:szCs w:val="21"/>
        </w:rPr>
      </w:pPr>
      <w:r>
        <w:rPr>
          <w:rFonts w:hint="eastAsia" w:ascii="宋体" w:hAnsi="宋体" w:eastAsia="宋体"/>
          <w:sz w:val="21"/>
          <w:szCs w:val="21"/>
        </w:rPr>
        <w:t>本项目致力于完成“从1到100”的生态运营。我们关心的已经不只是“品牌怎么建”，而是“客人为什么来、来了之后看什么、能停多久、会买什么、走了以后还会不会再回来，村里又该怎样把这套东西持续运转下去”。</w:t>
      </w:r>
    </w:p>
    <w:p w14:paraId="22699869">
      <w:pPr>
        <w:ind w:firstLine="420" w:firstLineChars="200"/>
        <w:rPr>
          <w:rFonts w:hint="eastAsia" w:ascii="宋体" w:hAnsi="宋体" w:eastAsia="宋体"/>
          <w:b/>
          <w:bCs/>
          <w:sz w:val="21"/>
          <w:szCs w:val="21"/>
        </w:rPr>
      </w:pPr>
      <w:r>
        <w:rPr>
          <w:rFonts w:hint="eastAsia" w:ascii="宋体" w:hAnsi="宋体" w:eastAsia="宋体"/>
          <w:sz w:val="21"/>
          <w:szCs w:val="21"/>
        </w:rPr>
        <w:t>基于这样的判断，本项目将杨家东庄村定位为</w:t>
      </w:r>
      <w:r>
        <w:rPr>
          <w:rFonts w:hint="eastAsia" w:ascii="宋体" w:hAnsi="宋体" w:eastAsia="宋体"/>
          <w:b/>
          <w:bCs/>
          <w:sz w:val="21"/>
          <w:szCs w:val="21"/>
        </w:rPr>
        <w:t>：以水源地生态优势为底色、以樱桃产业为根基、以骑行引流为抓手、以三产融合为路径、以数字化运营为支撑的京郊健康生活方式目的地。</w:t>
      </w:r>
    </w:p>
    <w:p w14:paraId="4808A9F1">
      <w:pPr>
        <w:rPr>
          <w:rFonts w:hint="eastAsia" w:ascii="宋体" w:hAnsi="宋体" w:eastAsia="宋体"/>
          <w:sz w:val="21"/>
          <w:szCs w:val="21"/>
        </w:rPr>
      </w:pPr>
      <w:r>
        <w:rPr>
          <w:rFonts w:hint="eastAsia" w:ascii="宋体" w:hAnsi="宋体" w:eastAsia="宋体"/>
          <w:sz w:val="21"/>
          <w:szCs w:val="21"/>
        </w:rPr>
        <w:t>这一定位包含五层核心含义：</w:t>
      </w:r>
    </w:p>
    <w:p w14:paraId="0F6C6C6E">
      <w:pPr>
        <w:rPr>
          <w:rFonts w:hint="eastAsia" w:ascii="宋体" w:hAnsi="宋体" w:eastAsia="宋体"/>
          <w:b/>
          <w:bCs/>
          <w:sz w:val="21"/>
          <w:szCs w:val="21"/>
        </w:rPr>
      </w:pPr>
      <w:bookmarkStart w:id="13" w:name="_Toc32226"/>
      <w:r>
        <w:rPr>
          <w:rStyle w:val="30"/>
          <w:rFonts w:hint="eastAsia"/>
        </w:rPr>
        <w:t>2.3.1生态定位：从“政策约束区”转向“品质背书地”</w:t>
      </w:r>
      <w:bookmarkEnd w:id="13"/>
      <w:r>
        <w:rPr>
          <w:rFonts w:hint="eastAsia" w:ascii="宋体" w:hAnsi="宋体" w:eastAsia="宋体"/>
          <w:b/>
          <w:bCs/>
          <w:sz w:val="21"/>
          <w:szCs w:val="21"/>
        </w:rPr>
        <w:t>。</w:t>
      </w:r>
    </w:p>
    <w:p w14:paraId="4D885E53">
      <w:pPr>
        <w:rPr>
          <w:rFonts w:hint="eastAsia" w:ascii="宋体" w:hAnsi="宋体" w:eastAsia="宋体"/>
          <w:sz w:val="21"/>
          <w:szCs w:val="21"/>
        </w:rPr>
      </w:pPr>
      <w:r>
        <w:rPr>
          <w:rFonts w:hint="eastAsia" w:ascii="宋体" w:hAnsi="宋体" w:eastAsia="宋体"/>
          <w:sz w:val="21"/>
          <w:szCs w:val="21"/>
        </w:rPr>
        <w:t>杨家东庄村位于</w:t>
      </w:r>
      <w:r>
        <w:rPr>
          <w:rFonts w:hint="eastAsia" w:ascii="宋体" w:hAnsi="宋体" w:eastAsia="宋体"/>
          <w:b/>
          <w:bCs/>
          <w:sz w:val="21"/>
          <w:szCs w:val="21"/>
        </w:rPr>
        <w:t>一级水源保护区</w:t>
      </w:r>
      <w:r>
        <w:rPr>
          <w:rFonts w:hint="eastAsia" w:ascii="宋体" w:hAnsi="宋体" w:eastAsia="宋体"/>
          <w:sz w:val="21"/>
          <w:szCs w:val="21"/>
        </w:rPr>
        <w:t>。放在传统发展思路里，这往往会被看成限制；但在本项目看来，它恰恰是</w:t>
      </w:r>
      <w:r>
        <w:rPr>
          <w:rFonts w:hint="eastAsia" w:ascii="宋体" w:hAnsi="宋体" w:eastAsia="宋体"/>
          <w:b/>
          <w:bCs/>
          <w:sz w:val="21"/>
          <w:szCs w:val="21"/>
        </w:rPr>
        <w:t>村庄最稀缺、也最有价值的品牌资</w:t>
      </w:r>
      <w:r>
        <w:rPr>
          <w:rFonts w:hint="eastAsia" w:ascii="宋体" w:hAnsi="宋体" w:eastAsia="宋体"/>
          <w:sz w:val="21"/>
          <w:szCs w:val="21"/>
        </w:rPr>
        <w:t>产。更高的环境标准、更严格的开发边界和更强的生态信任，不仅没有削弱项目的发展空间，反而为“水源地樱桃”“生态骑行”“绿色体验”提供了天然背书。一级水源保护区不是发展的枷锁，而是全北京</w:t>
      </w:r>
      <w:r>
        <w:rPr>
          <w:rFonts w:hint="eastAsia" w:ascii="宋体" w:hAnsi="宋体" w:eastAsia="宋体"/>
          <w:b/>
          <w:bCs/>
          <w:sz w:val="21"/>
          <w:szCs w:val="21"/>
          <w:highlight w:val="yellow"/>
        </w:rPr>
        <w:t>独一无二的品牌护城河，</w:t>
      </w:r>
      <w:r>
        <w:rPr>
          <w:rFonts w:hint="eastAsia" w:ascii="宋体" w:hAnsi="宋体" w:eastAsia="宋体"/>
          <w:sz w:val="21"/>
          <w:szCs w:val="21"/>
        </w:rPr>
        <w:t>“越保护，越值钱”是我们的核心叙事。因此，杨家东庄村不是一个普通的乡村旅游点，而是一个建立在生态底线之上的高品质乡村体验空间。</w:t>
      </w:r>
    </w:p>
    <w:p w14:paraId="03976FFF">
      <w:pPr>
        <w:rPr>
          <w:rFonts w:hint="eastAsia" w:ascii="宋体" w:hAnsi="宋体" w:eastAsia="宋体"/>
          <w:sz w:val="21"/>
          <w:szCs w:val="21"/>
        </w:rPr>
      </w:pPr>
      <w:bookmarkStart w:id="14" w:name="_Toc30609"/>
      <w:r>
        <w:rPr>
          <w:rStyle w:val="30"/>
          <w:rFonts w:hint="eastAsia"/>
        </w:rPr>
        <w:t>2.3.2产业定位：从“卖樱桃”转向“卖品牌、卖场景、卖体验”</w:t>
      </w:r>
      <w:bookmarkEnd w:id="14"/>
      <w:r>
        <w:rPr>
          <w:rFonts w:hint="eastAsia" w:ascii="宋体" w:hAnsi="宋体" w:eastAsia="宋体"/>
          <w:b/>
          <w:bCs/>
          <w:sz w:val="21"/>
          <w:szCs w:val="21"/>
        </w:rPr>
        <w:t>。</w:t>
      </w:r>
      <w:r>
        <w:rPr>
          <w:rFonts w:hint="eastAsia" w:ascii="宋体" w:hAnsi="宋体" w:eastAsia="宋体"/>
          <w:b/>
          <w:bCs/>
          <w:sz w:val="21"/>
          <w:szCs w:val="21"/>
        </w:rPr>
        <w:br w:type="textWrapping"/>
      </w:r>
      <w:r>
        <w:rPr>
          <w:rFonts w:hint="eastAsia" w:ascii="宋体" w:hAnsi="宋体" w:eastAsia="宋体"/>
          <w:sz w:val="21"/>
          <w:szCs w:val="21"/>
        </w:rPr>
        <w:t>杨家东庄村的樱桃产业是项目的基础，但绝不是全部。仅靠鲜果采摘和季节性销售，很难支撑村庄的长期发展。因此，本项目希望</w:t>
      </w:r>
      <w:r>
        <w:rPr>
          <w:rFonts w:hint="eastAsia" w:ascii="宋体" w:hAnsi="宋体" w:eastAsia="宋体"/>
          <w:b/>
          <w:bCs/>
          <w:sz w:val="21"/>
          <w:szCs w:val="21"/>
          <w:highlight w:val="yellow"/>
        </w:rPr>
        <w:t>把樱桃从单一农产品，升级为整个产业体系中的核心IP</w:t>
      </w:r>
      <w:r>
        <w:rPr>
          <w:rFonts w:hint="eastAsia" w:ascii="宋体" w:hAnsi="宋体" w:eastAsia="宋体"/>
          <w:sz w:val="21"/>
          <w:szCs w:val="21"/>
        </w:rPr>
        <w:t>。通过品牌化包装、产品分级、认养计划、文创延伸和体验活动，“樱桃”不再只是生产对象，而会逐步变成消费符号、传播媒介和情感连接点。最终卖给消费者的，不只是一盒樱桃“更是一次骑行、一场研学、一夜星空、一种健康的，愿意被分享与记住的乡村生活方式体验”</w:t>
      </w:r>
    </w:p>
    <w:p w14:paraId="63B034F2">
      <w:pPr>
        <w:rPr>
          <w:rFonts w:hint="eastAsia" w:ascii="宋体" w:hAnsi="宋体" w:eastAsia="宋体"/>
          <w:sz w:val="21"/>
          <w:szCs w:val="21"/>
        </w:rPr>
      </w:pPr>
      <w:bookmarkStart w:id="15" w:name="_Toc4108"/>
      <w:r>
        <w:rPr>
          <w:rStyle w:val="30"/>
          <w:rFonts w:hint="eastAsia"/>
        </w:rPr>
        <w:t>2.3.3流量定位：从“自然来客”转向“主动引流”</w:t>
      </w:r>
      <w:bookmarkEnd w:id="15"/>
      <w:r>
        <w:rPr>
          <w:rFonts w:hint="eastAsia" w:ascii="宋体" w:hAnsi="宋体" w:eastAsia="宋体"/>
          <w:b/>
          <w:bCs/>
          <w:sz w:val="21"/>
          <w:szCs w:val="21"/>
        </w:rPr>
        <w:t>。</w:t>
      </w:r>
      <w:r>
        <w:rPr>
          <w:rFonts w:hint="eastAsia" w:ascii="宋体" w:hAnsi="宋体" w:eastAsia="宋体"/>
          <w:b/>
          <w:bCs/>
          <w:sz w:val="21"/>
          <w:szCs w:val="21"/>
        </w:rPr>
        <w:br w:type="textWrapping"/>
      </w:r>
      <w:r>
        <w:rPr>
          <w:rFonts w:hint="eastAsia" w:ascii="宋体" w:hAnsi="宋体" w:eastAsia="宋体"/>
          <w:sz w:val="21"/>
          <w:szCs w:val="21"/>
        </w:rPr>
        <w:t>传统乡村项目普遍存在“有资源、缺流量”的问题，杨家东庄村也不例外。为此，本项目把骑行确定为最核心的流量抓手。它一方面符合一级水源保护区低干扰、轻介入的发展要求，另一方面又天然具备高参与度、高传播性和较强复访率。通过打造环库骑行路线、七大打卡节点、积分体系和社交传播内容，项目不再被动等客，而是主动切入京郊周末骑行和微度假市场，</w:t>
      </w:r>
      <w:r>
        <w:rPr>
          <w:rFonts w:hint="eastAsia" w:ascii="宋体" w:hAnsi="宋体" w:eastAsia="宋体"/>
          <w:b/>
          <w:bCs/>
          <w:sz w:val="21"/>
          <w:szCs w:val="21"/>
        </w:rPr>
        <w:t>把骑行人群转化为项目的首批种子用户和口碑传播者</w:t>
      </w:r>
      <w:r>
        <w:rPr>
          <w:rFonts w:hint="eastAsia" w:ascii="宋体" w:hAnsi="宋体" w:eastAsia="宋体"/>
          <w:sz w:val="21"/>
          <w:szCs w:val="21"/>
        </w:rPr>
        <w:t>。使每一条骑行路线都是一次品牌的曝光，每一次打卡分享都是一次用户裂变。</w:t>
      </w:r>
    </w:p>
    <w:p w14:paraId="79EC014D">
      <w:pPr>
        <w:rPr>
          <w:rFonts w:hint="eastAsia" w:ascii="宋体" w:hAnsi="宋体" w:eastAsia="宋体"/>
          <w:sz w:val="21"/>
          <w:szCs w:val="21"/>
        </w:rPr>
      </w:pPr>
      <w:bookmarkStart w:id="16" w:name="_Toc29366"/>
      <w:r>
        <w:rPr>
          <w:rStyle w:val="30"/>
          <w:rFonts w:hint="eastAsia"/>
        </w:rPr>
        <w:t>2.3.4功能定位：从“单一采摘点”转向“复合型目的地”</w:t>
      </w:r>
      <w:bookmarkEnd w:id="16"/>
      <w:r>
        <w:rPr>
          <w:rFonts w:hint="eastAsia" w:ascii="宋体" w:hAnsi="宋体" w:eastAsia="宋体"/>
          <w:b/>
          <w:bCs/>
          <w:sz w:val="21"/>
          <w:szCs w:val="21"/>
        </w:rPr>
        <w:t>。</w:t>
      </w:r>
      <w:r>
        <w:rPr>
          <w:rFonts w:hint="eastAsia" w:ascii="宋体" w:hAnsi="宋体" w:eastAsia="宋体"/>
          <w:b/>
          <w:bCs/>
          <w:sz w:val="21"/>
          <w:szCs w:val="21"/>
        </w:rPr>
        <w:br w:type="textWrapping"/>
      </w:r>
      <w:r>
        <w:rPr>
          <w:rFonts w:hint="eastAsia" w:ascii="宋体" w:hAnsi="宋体" w:eastAsia="宋体"/>
          <w:sz w:val="21"/>
          <w:szCs w:val="21"/>
        </w:rPr>
        <w:t>我们并不是把杨家东村庄包装成采摘园、骑行道，而是将后采摘、研学、露营、美食、融合于其中，形成科普性的完整乡村生活体验场”通过这些多重体验的融合，村庄就有机会形成</w:t>
      </w:r>
      <w:r>
        <w:rPr>
          <w:rFonts w:hint="eastAsia" w:ascii="宋体" w:hAnsi="宋体" w:eastAsia="宋体"/>
          <w:b/>
          <w:bCs/>
          <w:sz w:val="21"/>
          <w:szCs w:val="21"/>
        </w:rPr>
        <w:t>“引流—停留—消费—复购”的连续承接能力</w:t>
      </w:r>
      <w:r>
        <w:rPr>
          <w:rFonts w:hint="eastAsia" w:ascii="宋体" w:hAnsi="宋体" w:eastAsia="宋体"/>
          <w:sz w:val="21"/>
          <w:szCs w:val="21"/>
        </w:rPr>
        <w:t>，让游客不只是“路过一下”，而是真正愿意停下来、再回来、也愿意推荐别人来。</w:t>
      </w:r>
    </w:p>
    <w:p w14:paraId="6DFADB8F">
      <w:pPr>
        <w:rPr>
          <w:rFonts w:hint="eastAsia" w:ascii="宋体" w:hAnsi="宋体" w:eastAsia="宋体"/>
          <w:sz w:val="21"/>
          <w:szCs w:val="21"/>
        </w:rPr>
      </w:pPr>
      <w:bookmarkStart w:id="17" w:name="_Toc20569"/>
      <w:r>
        <w:rPr>
          <w:rStyle w:val="30"/>
          <w:rFonts w:hint="eastAsia"/>
        </w:rPr>
        <w:t>2.3.5运营定位：从“阶段性策划”转向“可持续生态运营”</w:t>
      </w:r>
      <w:bookmarkEnd w:id="17"/>
      <w:r>
        <w:rPr>
          <w:rFonts w:hint="eastAsia" w:ascii="宋体" w:hAnsi="宋体" w:eastAsia="宋体"/>
          <w:b/>
          <w:bCs/>
          <w:sz w:val="21"/>
          <w:szCs w:val="21"/>
        </w:rPr>
        <w:t>。</w:t>
      </w:r>
      <w:r>
        <w:rPr>
          <w:rFonts w:hint="eastAsia" w:ascii="宋体" w:hAnsi="宋体" w:eastAsia="宋体"/>
          <w:b/>
          <w:bCs/>
          <w:sz w:val="21"/>
          <w:szCs w:val="21"/>
        </w:rPr>
        <w:br w:type="textWrapping"/>
      </w:r>
      <w:r>
        <w:rPr>
          <w:rFonts w:hint="eastAsia" w:ascii="宋体" w:hAnsi="宋体" w:eastAsia="宋体"/>
          <w:sz w:val="21"/>
          <w:szCs w:val="21"/>
        </w:rPr>
        <w:t>与许多停留在活动策划或短期包装层面的项目不同，本项目更强调“运营”而不是“展示”。也就是说，我们不仅关心方案写了什么，更关心这些内容由谁来做、怎么推进、如何盈利、怎样持续。项目将通过数字化平台、会员体系、积分机制、认养系统和数据分析手段，把线下客流转化为线上会员，把一次到访转化为长期连接，把单次消费转化为持续复购，最终形成一个能够长期运转的村庄产业生态系统。</w:t>
      </w:r>
    </w:p>
    <w:p w14:paraId="4BC5EF11">
      <w:pPr>
        <w:ind w:firstLine="420" w:firstLineChars="200"/>
        <w:rPr>
          <w:rFonts w:hint="eastAsia" w:ascii="宋体" w:hAnsi="宋体" w:eastAsia="宋体"/>
          <w:sz w:val="21"/>
          <w:szCs w:val="21"/>
        </w:rPr>
      </w:pPr>
      <w:r>
        <w:rPr>
          <w:rFonts w:hint="eastAsia" w:ascii="宋体" w:hAnsi="宋体" w:eastAsia="宋体"/>
          <w:sz w:val="21"/>
          <w:szCs w:val="21"/>
        </w:rPr>
        <w:t>为此，项目将数字化平台作为运营中枢，把品牌传播、骑行打卡、果树认养、活动参与、积分兑换、会员沉淀等功能串联起来，逐步</w:t>
      </w:r>
      <w:r>
        <w:rPr>
          <w:rFonts w:hint="eastAsia" w:ascii="宋体" w:hAnsi="宋体" w:eastAsia="宋体"/>
          <w:b/>
          <w:bCs/>
          <w:sz w:val="21"/>
          <w:szCs w:val="21"/>
        </w:rPr>
        <w:t>实现从线下接待到线上留存、从单次到访到长期连接、从零散消费到持续复购的转化。</w:t>
      </w:r>
      <w:r>
        <w:rPr>
          <w:rFonts w:hint="eastAsia" w:ascii="宋体" w:hAnsi="宋体" w:eastAsia="宋体"/>
          <w:sz w:val="21"/>
          <w:szCs w:val="21"/>
        </w:rPr>
        <w:t>游客不再只是来一次、买一次，而是能够在平台中持续互动、反复参与，形成更稳定的用户关系和消费行为。</w:t>
      </w:r>
    </w:p>
    <w:p w14:paraId="03712B3B">
      <w:pPr>
        <w:ind w:firstLine="420" w:firstLineChars="200"/>
        <w:rPr>
          <w:rFonts w:hint="eastAsia" w:ascii="宋体" w:hAnsi="宋体" w:eastAsia="宋体"/>
          <w:sz w:val="21"/>
          <w:szCs w:val="21"/>
        </w:rPr>
      </w:pPr>
      <w:r>
        <w:rPr>
          <w:rFonts w:hint="eastAsia" w:ascii="宋体" w:hAnsi="宋体" w:eastAsia="宋体"/>
          <w:sz w:val="21"/>
          <w:szCs w:val="21"/>
        </w:rPr>
        <w:t>与此同时，项目还将结合四季活动策划、场景产品更新和用户数据分析，不断优化引流方式、体验内容和转化路径，让村庄运营从过去较为粗放、季节性明显的方式，逐步走向更精细、更持续、更具市场适应能力的发展模式。最终，杨家东庄村要形成的，不是短期热度，而是一套真正能够长期运行的乡村产业生态。</w:t>
      </w:r>
    </w:p>
    <w:p w14:paraId="279437EC">
      <w:pPr>
        <w:pStyle w:val="3"/>
        <w:bidi w:val="0"/>
        <w:rPr>
          <w:rFonts w:hint="eastAsia"/>
        </w:rPr>
      </w:pPr>
      <w:bookmarkStart w:id="18" w:name="_Toc18616"/>
      <w:r>
        <w:rPr>
          <w:rFonts w:hint="eastAsia"/>
        </w:rPr>
        <w:t>2.4  核心创新点</w:t>
      </w:r>
      <w:bookmarkEnd w:id="18"/>
    </w:p>
    <w:p w14:paraId="7C322921">
      <w:pPr>
        <w:rPr>
          <w:rFonts w:hint="eastAsia" w:ascii="宋体" w:hAnsi="宋体" w:eastAsia="宋体"/>
          <w:sz w:val="21"/>
          <w:szCs w:val="21"/>
        </w:rPr>
      </w:pPr>
      <w:r>
        <w:rPr>
          <w:rFonts w:hint="eastAsia" w:ascii="宋体" w:hAnsi="宋体" w:eastAsia="宋体"/>
          <w:sz w:val="21"/>
          <w:szCs w:val="21"/>
        </w:rPr>
        <w:t>围绕杨家东庄村“樱桃品牌营销、骑行打卡落地、三产融合创新”三项核心任务，本项目提出九大创新点，力图形成区别于同类乡村项目的差异化竞争力。</w:t>
      </w:r>
    </w:p>
    <w:p w14:paraId="2B60D35F">
      <w:pPr>
        <w:rPr>
          <w:rFonts w:hint="eastAsia" w:ascii="宋体" w:hAnsi="宋体" w:eastAsia="宋体"/>
          <w:sz w:val="21"/>
          <w:szCs w:val="21"/>
        </w:rPr>
      </w:pPr>
      <w:r>
        <w:rPr>
          <w:rFonts w:hint="eastAsia" w:ascii="宋体" w:hAnsi="宋体" w:eastAsia="宋体"/>
          <w:b/>
          <w:sz w:val="21"/>
          <w:szCs w:val="21"/>
        </w:rPr>
        <w:t>创新一【转限为牌】：</w:t>
      </w:r>
      <w:r>
        <w:rPr>
          <w:rFonts w:hint="eastAsia" w:ascii="宋体" w:hAnsi="宋体" w:eastAsia="宋体"/>
          <w:b/>
          <w:sz w:val="21"/>
          <w:szCs w:val="21"/>
          <w:highlight w:val="yellow"/>
        </w:rPr>
        <w:t>生态约束价值转化模型</w:t>
      </w:r>
      <w:r>
        <w:rPr>
          <w:rFonts w:hint="eastAsia" w:ascii="宋体" w:hAnsi="宋体" w:eastAsia="宋体"/>
          <w:b/>
          <w:sz w:val="21"/>
          <w:szCs w:val="21"/>
        </w:rPr>
        <w:t>——将“一级水源保护”从限制变为全北京唯一的品牌护城河</w:t>
      </w:r>
    </w:p>
    <w:p w14:paraId="3A288597">
      <w:pPr>
        <w:widowControl w:val="0"/>
        <w:spacing w:after="160" w:line="278" w:lineRule="auto"/>
        <w:rPr>
          <w:rFonts w:hint="eastAsia" w:ascii="宋体" w:hAnsi="宋体" w:eastAsia="宋体" w:cstheme="minorBidi"/>
          <w:kern w:val="2"/>
          <w:sz w:val="21"/>
          <w:szCs w:val="21"/>
          <w:lang w:val="en-US" w:eastAsia="zh-CN" w:bidi="ar-SA"/>
          <w14:ligatures w14:val="standardContextual"/>
        </w:rPr>
      </w:pPr>
      <w:r>
        <w:rPr>
          <w:rFonts w:hint="eastAsia" w:ascii="宋体" w:hAnsi="宋体" w:eastAsia="宋体" w:cstheme="minorBidi"/>
          <w:kern w:val="2"/>
          <w:sz w:val="21"/>
          <w:szCs w:val="21"/>
          <w:lang w:val="en-US" w:eastAsia="zh-CN" w:bidi="ar-SA"/>
          <w14:ligatures w14:val="standardContextual"/>
        </w:rPr>
        <w:t>将一级水源保护区从“发展限制”转化为“品质背书”和“品牌护城河”，把生态约束变成最具辨识度的竞争优势。通过“越保护、越值钱”的逻辑，形成生态保护、品牌溢价与产业增收的正向循环。</w:t>
      </w:r>
    </w:p>
    <w:p w14:paraId="6E4496EC">
      <w:pPr>
        <w:rPr>
          <w:rFonts w:hint="eastAsia" w:ascii="宋体" w:hAnsi="宋体" w:eastAsia="宋体"/>
          <w:sz w:val="21"/>
          <w:szCs w:val="21"/>
        </w:rPr>
      </w:pPr>
      <w:r>
        <w:rPr>
          <w:rFonts w:hint="eastAsia" w:ascii="宋体" w:hAnsi="宋体" w:eastAsia="宋体"/>
          <w:b/>
          <w:sz w:val="21"/>
          <w:szCs w:val="21"/>
        </w:rPr>
        <w:t>创新二【组织变现】:</w:t>
      </w:r>
      <w:r>
        <w:rPr>
          <w:rFonts w:hint="eastAsia" w:ascii="宋体" w:hAnsi="宋体" w:eastAsia="宋体"/>
          <w:b/>
          <w:sz w:val="21"/>
          <w:szCs w:val="21"/>
          <w:highlight w:val="yellow"/>
        </w:rPr>
        <w:t>骑行联盟路线</w:t>
      </w:r>
      <w:r>
        <w:rPr>
          <w:rFonts w:hint="eastAsia" w:ascii="宋体" w:hAnsi="宋体" w:eastAsia="宋体"/>
          <w:b/>
          <w:sz w:val="21"/>
          <w:szCs w:val="21"/>
        </w:rPr>
        <w:t>——杨家东庄以路线组织者身份发起"北京水源地骑行联盟",把流量组织权从"本村承接"转为"区域组织",将过境流量转为分润收入</w:t>
      </w:r>
    </w:p>
    <w:p w14:paraId="67E28CC9">
      <w:pPr>
        <w:rPr>
          <w:rFonts w:hint="eastAsia" w:ascii="宋体" w:hAnsi="宋体" w:eastAsia="宋体" w:cstheme="minorBidi"/>
          <w:b w:val="0"/>
          <w:bCs/>
          <w:kern w:val="2"/>
          <w:sz w:val="21"/>
          <w:szCs w:val="21"/>
          <w:lang w:val="en-US" w:eastAsia="zh-CN" w:bidi="ar-SA"/>
          <w14:ligatures w14:val="standardContextual"/>
        </w:rPr>
      </w:pPr>
      <w:r>
        <w:rPr>
          <w:rFonts w:hint="eastAsia" w:ascii="宋体" w:hAnsi="宋体" w:eastAsia="宋体" w:cstheme="minorBidi"/>
          <w:b w:val="0"/>
          <w:bCs/>
          <w:kern w:val="2"/>
          <w:sz w:val="21"/>
          <w:szCs w:val="21"/>
          <w:lang w:val="en-US" w:eastAsia="zh-CN" w:bidi="ar-SA"/>
          <w14:ligatures w14:val="standardContextual"/>
        </w:rPr>
        <w:t>不把杨家东庄村定位为独立骑行目的地，而是作为“北京水源地骑行联盟”的组织节点，通过路线联动、积分互通和分润机制，把过境流量转化为区域性收益。这样既符合村庄现实条件，也增强了项目的可实施性。</w:t>
      </w:r>
    </w:p>
    <w:p w14:paraId="458DCCF5">
      <w:pPr>
        <w:rPr>
          <w:rFonts w:hint="eastAsia" w:ascii="宋体" w:hAnsi="宋体" w:eastAsia="宋体"/>
          <w:sz w:val="21"/>
          <w:szCs w:val="21"/>
        </w:rPr>
      </w:pPr>
      <w:r>
        <w:rPr>
          <w:rFonts w:hint="eastAsia" w:ascii="宋体" w:hAnsi="宋体" w:eastAsia="宋体" w:cstheme="minorBidi"/>
          <w:b/>
          <w:kern w:val="2"/>
          <w:sz w:val="21"/>
          <w:szCs w:val="21"/>
          <w:lang w:val="en-US" w:eastAsia="zh-CN" w:bidi="ar-SA"/>
          <w14:ligatures w14:val="standardContextual"/>
        </w:rPr>
        <w:t xml:space="preserve"> </w:t>
      </w:r>
      <w:r>
        <w:rPr>
          <w:rFonts w:hint="eastAsia" w:ascii="宋体" w:hAnsi="宋体" w:eastAsia="宋体"/>
          <w:b/>
          <w:sz w:val="21"/>
          <w:szCs w:val="21"/>
        </w:rPr>
        <w:t>创新三【深度融合】：</w:t>
      </w:r>
      <w:r>
        <w:rPr>
          <w:rFonts w:hint="eastAsia" w:ascii="宋体" w:hAnsi="宋体" w:eastAsia="宋体"/>
          <w:b/>
          <w:sz w:val="21"/>
          <w:szCs w:val="21"/>
          <w:highlight w:val="yellow"/>
        </w:rPr>
        <w:t>品牌×骑行四维融合</w:t>
      </w:r>
      <w:r>
        <w:rPr>
          <w:rFonts w:hint="eastAsia" w:ascii="宋体" w:hAnsi="宋体" w:eastAsia="宋体"/>
          <w:b/>
          <w:sz w:val="21"/>
          <w:szCs w:val="21"/>
        </w:rPr>
        <w:t>——视觉、传播、积分、产品深度融合，拒绝“两张皮”</w:t>
      </w:r>
    </w:p>
    <w:p w14:paraId="4A7BFA03">
      <w:pPr>
        <w:rPr>
          <w:rFonts w:hint="eastAsia" w:ascii="宋体" w:hAnsi="宋体" w:eastAsia="宋体" w:cstheme="minorBidi"/>
          <w:b w:val="0"/>
          <w:bCs/>
          <w:kern w:val="2"/>
          <w:sz w:val="21"/>
          <w:szCs w:val="21"/>
          <w:lang w:val="en-US" w:eastAsia="zh-CN" w:bidi="ar-SA"/>
          <w14:ligatures w14:val="standardContextual"/>
        </w:rPr>
      </w:pPr>
      <w:r>
        <w:rPr>
          <w:rFonts w:hint="eastAsia" w:ascii="宋体" w:hAnsi="宋体" w:eastAsia="宋体" w:cstheme="minorBidi"/>
          <w:b w:val="0"/>
          <w:bCs/>
          <w:kern w:val="2"/>
          <w:sz w:val="21"/>
          <w:szCs w:val="21"/>
          <w:lang w:val="en-US" w:eastAsia="zh-CN" w:bidi="ar-SA"/>
          <w14:ligatures w14:val="standardContextual"/>
        </w:rPr>
        <w:t>将樱桃品牌与骑行场景在视觉、传播、积分和产品层面打通，避免农产品与活动体验各做各的。让骑行不仅承担引流功能，也成为品牌传播和消费转化的重要入口。</w:t>
      </w:r>
    </w:p>
    <w:p w14:paraId="58B8FE0B">
      <w:pPr>
        <w:rPr>
          <w:rFonts w:hint="eastAsia" w:ascii="宋体" w:hAnsi="宋体" w:eastAsia="宋体"/>
          <w:b/>
          <w:sz w:val="21"/>
          <w:szCs w:val="21"/>
        </w:rPr>
      </w:pPr>
      <w:r>
        <w:rPr>
          <w:rFonts w:hint="eastAsia" w:ascii="宋体" w:hAnsi="宋体" w:eastAsia="宋体"/>
          <w:b/>
          <w:sz w:val="21"/>
          <w:szCs w:val="21"/>
        </w:rPr>
        <w:t>创新四【线上主线】:</w:t>
      </w:r>
      <w:r>
        <w:rPr>
          <w:rFonts w:hint="eastAsia" w:ascii="宋体" w:hAnsi="宋体" w:eastAsia="宋体"/>
          <w:b/>
          <w:sz w:val="21"/>
          <w:szCs w:val="21"/>
          <w:highlight w:val="yellow"/>
        </w:rPr>
        <w:t>"一树一人"认养计划</w:t>
      </w:r>
      <w:r>
        <w:rPr>
          <w:rFonts w:hint="eastAsia" w:ascii="宋体" w:hAnsi="宋体" w:eastAsia="宋体"/>
          <w:b/>
          <w:sz w:val="21"/>
          <w:szCs w:val="21"/>
        </w:rPr>
        <w:t>——一棵树对应一个品种,一次付费锁定一年,三档产品覆盖家庭/送礼/企业</w:t>
      </w:r>
    </w:p>
    <w:p w14:paraId="6B6C9EBA">
      <w:pPr>
        <w:rPr>
          <w:rFonts w:hint="eastAsia" w:ascii="宋体" w:hAnsi="宋体" w:eastAsia="宋体"/>
          <w:sz w:val="21"/>
          <w:szCs w:val="21"/>
        </w:rPr>
      </w:pPr>
      <w:r>
        <w:rPr>
          <w:rFonts w:hint="eastAsia" w:ascii="宋体" w:hAnsi="宋体" w:eastAsia="宋体"/>
          <w:sz w:val="21"/>
          <w:szCs w:val="21"/>
        </w:rPr>
        <w:t>传统果树认养停留在"一次付费、后续联系不多"的层面,互动不足、</w:t>
      </w:r>
      <w:r>
        <w:rPr>
          <w:rFonts w:hint="eastAsia" w:ascii="宋体" w:hAnsi="宋体" w:eastAsia="宋体"/>
          <w:sz w:val="21"/>
          <w:szCs w:val="21"/>
          <w:lang w:val="en-US" w:eastAsia="zh-CN"/>
        </w:rPr>
        <w:t>用户粘性也不强</w:t>
      </w:r>
      <w:r>
        <w:rPr>
          <w:rFonts w:hint="eastAsia" w:ascii="宋体" w:hAnsi="宋体" w:eastAsia="宋体"/>
          <w:sz w:val="21"/>
          <w:szCs w:val="21"/>
        </w:rPr>
        <w:t>。</w:t>
      </w:r>
      <w:r>
        <w:rPr>
          <w:rFonts w:hint="eastAsia" w:ascii="宋体" w:hAnsi="宋体" w:eastAsia="宋体" w:cstheme="minorBidi"/>
          <w:kern w:val="2"/>
          <w:sz w:val="21"/>
          <w:szCs w:val="21"/>
          <w:lang w:val="en-US" w:eastAsia="zh-CN" w:bidi="ar-SA"/>
          <w14:ligatures w14:val="standardContextual"/>
        </w:rPr>
        <w:t>本项目结合杨家东庄村樱桃园的实际情况，提出“一树一人”认养计划，希望把认养从一次性购买变成更持续的连接关系</w:t>
      </w:r>
      <w:r>
        <w:rPr>
          <w:rFonts w:hint="eastAsia" w:ascii="宋体" w:hAnsi="宋体" w:eastAsia="宋体"/>
          <w:sz w:val="21"/>
          <w:szCs w:val="21"/>
        </w:rPr>
        <w:t>,把一棵树视为一个独立的数字订阅产品——由于每棵树只结一个品种的果实,自然</w:t>
      </w:r>
      <w:r>
        <w:rPr>
          <w:rFonts w:hint="eastAsia" w:ascii="宋体" w:hAnsi="宋体" w:eastAsia="宋体"/>
          <w:b/>
          <w:bCs/>
          <w:sz w:val="21"/>
          <w:szCs w:val="21"/>
        </w:rPr>
        <w:t>解决了混种樱桃园无法做电商分品种发货的结构性难题</w:t>
      </w:r>
      <w:r>
        <w:rPr>
          <w:rFonts w:hint="eastAsia" w:ascii="宋体" w:hAnsi="宋体" w:eastAsia="宋体"/>
          <w:sz w:val="21"/>
          <w:szCs w:val="21"/>
        </w:rPr>
        <w:t>;</w:t>
      </w:r>
    </w:p>
    <w:p w14:paraId="56AE61CA">
      <w:pPr>
        <w:rPr>
          <w:rFonts w:hint="eastAsia" w:ascii="宋体" w:hAnsi="宋体" w:eastAsia="宋体"/>
          <w:b/>
          <w:sz w:val="21"/>
          <w:szCs w:val="21"/>
        </w:rPr>
      </w:pPr>
      <w:r>
        <w:rPr>
          <w:rFonts w:hint="eastAsia" w:ascii="宋体" w:hAnsi="宋体" w:eastAsia="宋体"/>
          <w:b/>
          <w:sz w:val="21"/>
          <w:szCs w:val="21"/>
        </w:rPr>
        <w:t>创新五【科技下乡】</w:t>
      </w:r>
      <w:r>
        <w:rPr>
          <w:rFonts w:hint="eastAsia" w:ascii="宋体" w:hAnsi="宋体" w:eastAsia="宋体"/>
          <w:b/>
          <w:sz w:val="21"/>
          <w:szCs w:val="21"/>
          <w:highlight w:val="yellow"/>
        </w:rPr>
        <w:t>:AR导览+认养数字孪生+生态实时看板</w:t>
      </w:r>
      <w:r>
        <w:rPr>
          <w:rFonts w:hint="eastAsia" w:ascii="宋体" w:hAnsi="宋体" w:eastAsia="宋体"/>
          <w:b/>
          <w:sz w:val="21"/>
          <w:szCs w:val="21"/>
        </w:rPr>
        <w:t>——让城市级数字体验真正嵌入乡村场景</w:t>
      </w:r>
    </w:p>
    <w:p w14:paraId="1CD84452">
      <w:pPr>
        <w:rPr>
          <w:rFonts w:hint="eastAsia" w:ascii="宋体" w:hAnsi="宋体" w:eastAsia="宋体" w:cstheme="minorBidi"/>
          <w:kern w:val="2"/>
          <w:sz w:val="21"/>
          <w:szCs w:val="21"/>
          <w:lang w:val="en-US" w:eastAsia="zh-CN" w:bidi="ar-SA"/>
          <w14:ligatures w14:val="standardContextual"/>
        </w:rPr>
      </w:pPr>
      <w:r>
        <w:rPr>
          <w:rFonts w:hint="eastAsia" w:ascii="宋体" w:hAnsi="宋体" w:eastAsia="宋体" w:cstheme="minorBidi"/>
          <w:kern w:val="2"/>
          <w:sz w:val="21"/>
          <w:szCs w:val="21"/>
          <w:lang w:val="en-US" w:eastAsia="zh-CN" w:bidi="ar-SA"/>
          <w14:ligatures w14:val="standardContextual"/>
        </w:rPr>
        <w:t>本项目围绕认养、骑行和生态展示，设计数字孪生果树、AR导览和生态数据看板等功能，让数字化不只停留在宣传层面，而是真正服务于经营、互动和体验提升，希望让数字工具真正嵌入杨家东庄村的经营和体验场景中</w:t>
      </w:r>
    </w:p>
    <w:p w14:paraId="5E9E118B">
      <w:pPr>
        <w:rPr>
          <w:rFonts w:hint="eastAsia" w:ascii="宋体" w:hAnsi="宋体" w:eastAsia="宋体"/>
          <w:b/>
          <w:sz w:val="21"/>
          <w:szCs w:val="21"/>
        </w:rPr>
      </w:pPr>
      <w:r>
        <w:rPr>
          <w:rFonts w:hint="eastAsia" w:ascii="宋体" w:hAnsi="宋体" w:eastAsia="宋体"/>
          <w:b/>
          <w:sz w:val="21"/>
          <w:szCs w:val="21"/>
        </w:rPr>
        <w:t>创新六【社交裂变】：</w:t>
      </w:r>
      <w:r>
        <w:rPr>
          <w:rFonts w:hint="eastAsia" w:ascii="宋体" w:hAnsi="宋体" w:eastAsia="宋体"/>
          <w:b/>
          <w:sz w:val="21"/>
          <w:szCs w:val="21"/>
          <w:highlight w:val="yellow"/>
        </w:rPr>
        <w:t>骑行数据社交海报自动合成</w:t>
      </w:r>
      <w:r>
        <w:rPr>
          <w:rFonts w:hint="eastAsia" w:ascii="宋体" w:hAnsi="宋体" w:eastAsia="宋体"/>
          <w:b/>
          <w:sz w:val="21"/>
          <w:szCs w:val="21"/>
        </w:rPr>
        <w:t>——让每一次骑行都自动生成一张品牌海报，实现零成本用户裂变传播</w:t>
      </w:r>
    </w:p>
    <w:p w14:paraId="7113E6A6">
      <w:pPr>
        <w:rPr>
          <w:rFonts w:hint="eastAsia" w:ascii="宋体" w:hAnsi="宋体" w:eastAsia="宋体"/>
          <w:b/>
          <w:sz w:val="21"/>
          <w:szCs w:val="21"/>
        </w:rPr>
      </w:pPr>
      <w:r>
        <w:rPr>
          <w:rFonts w:hint="eastAsia" w:ascii="宋体" w:hAnsi="宋体" w:eastAsia="宋体"/>
          <w:sz w:val="21"/>
          <w:szCs w:val="21"/>
        </w:rPr>
        <w:t>本项目充分考虑到骑行群体“爱记录、爱分享、爱展示”的特点，提出“骑行数据社交海报自动合成”功能。海报中可自动呈现路线轨迹图、骑行总里程、平均配速、卡路里消耗、打卡节点、骑行日期、个人昵称或头像，以及“樱动东庄”品牌标识和水印。让每一次骑行都不只是个人体验，也有机会转化为品牌传播和用户裂变的内容。</w:t>
      </w:r>
    </w:p>
    <w:p w14:paraId="23845063">
      <w:pPr>
        <w:rPr>
          <w:rFonts w:hint="eastAsia" w:ascii="宋体" w:hAnsi="宋体" w:eastAsia="宋体"/>
          <w:b/>
          <w:sz w:val="21"/>
          <w:szCs w:val="21"/>
        </w:rPr>
      </w:pPr>
      <w:r>
        <w:rPr>
          <w:rFonts w:hint="eastAsia" w:ascii="宋体" w:hAnsi="宋体" w:eastAsia="宋体"/>
          <w:b/>
          <w:sz w:val="21"/>
          <w:szCs w:val="21"/>
        </w:rPr>
        <w:t>创新七【眼见为实】：</w:t>
      </w:r>
      <w:r>
        <w:rPr>
          <w:rFonts w:hint="eastAsia" w:ascii="宋体" w:hAnsi="宋体" w:eastAsia="宋体"/>
          <w:b/>
          <w:sz w:val="21"/>
          <w:szCs w:val="21"/>
          <w:highlight w:val="yellow"/>
        </w:rPr>
        <w:t>水源生态实时看板</w:t>
      </w:r>
      <w:r>
        <w:rPr>
          <w:rFonts w:hint="eastAsia" w:ascii="宋体" w:hAnsi="宋体" w:eastAsia="宋体"/>
          <w:b/>
          <w:sz w:val="21"/>
          <w:szCs w:val="21"/>
        </w:rPr>
        <w:t>——用跳动的实时数据，让“生态保护”从口号变为消费者可见的信任状</w:t>
      </w:r>
    </w:p>
    <w:p w14:paraId="260CB6F7">
      <w:pPr>
        <w:rPr>
          <w:rFonts w:hint="eastAsia" w:ascii="宋体" w:hAnsi="宋体" w:eastAsia="宋体"/>
          <w:b/>
          <w:sz w:val="21"/>
          <w:szCs w:val="21"/>
        </w:rPr>
      </w:pPr>
      <w:r>
        <w:rPr>
          <w:rFonts w:hint="eastAsia" w:ascii="宋体" w:hAnsi="宋体" w:eastAsia="宋体"/>
          <w:sz w:val="21"/>
          <w:szCs w:val="21"/>
        </w:rPr>
        <w:t>在不少乡村项目中，生态保护常常只是写在牌子上、挂在墙上，游客知道它重要，却很难真正感受到。本项目针对这一点提出“水源生态实时看板”，通过在小程序中嵌入ECharts数据可视化大屏，把水质、土壤、空气质量以及游客骑行带来的碳减排等生态指标更直观地呈现出来。这样一来，原本抽象的生态价值就变成了用户可以看见、理解并愿意相信的“动态证据”，也更有助于强化“一级水源地”这一核心品牌认知。</w:t>
      </w:r>
    </w:p>
    <w:p w14:paraId="50D3E2C4">
      <w:pPr>
        <w:rPr>
          <w:rFonts w:hint="eastAsia" w:ascii="宋体" w:hAnsi="宋体" w:eastAsia="宋体"/>
          <w:b/>
          <w:sz w:val="21"/>
          <w:szCs w:val="21"/>
        </w:rPr>
      </w:pPr>
      <w:r>
        <w:rPr>
          <w:rFonts w:hint="eastAsia" w:ascii="宋体" w:hAnsi="宋体" w:eastAsia="宋体"/>
          <w:b/>
          <w:sz w:val="21"/>
          <w:szCs w:val="21"/>
        </w:rPr>
        <w:t>创新八【智能贴心】</w:t>
      </w:r>
      <w:r>
        <w:rPr>
          <w:rFonts w:hint="eastAsia" w:ascii="宋体" w:hAnsi="宋体" w:eastAsia="宋体"/>
          <w:b/>
          <w:sz w:val="21"/>
          <w:szCs w:val="21"/>
          <w:highlight w:val="yellow"/>
        </w:rPr>
        <w:t>：AI个性化行程推荐</w:t>
      </w:r>
      <w:r>
        <w:rPr>
          <w:rFonts w:hint="eastAsia" w:ascii="宋体" w:hAnsi="宋体" w:eastAsia="宋体"/>
          <w:b/>
          <w:sz w:val="21"/>
          <w:szCs w:val="21"/>
        </w:rPr>
        <w:t>——输入偏好，一键生成专属行程卡，提升决策效率与体验满意度</w:t>
      </w:r>
    </w:p>
    <w:p w14:paraId="43E2F2B2">
      <w:pPr>
        <w:rPr>
          <w:rFonts w:hint="eastAsia" w:ascii="宋体" w:hAnsi="宋体" w:eastAsia="宋体"/>
          <w:sz w:val="21"/>
          <w:szCs w:val="21"/>
        </w:rPr>
      </w:pPr>
      <w:r>
        <w:rPr>
          <w:rFonts w:hint="eastAsia" w:ascii="宋体" w:hAnsi="宋体" w:eastAsia="宋体"/>
          <w:sz w:val="21"/>
          <w:szCs w:val="21"/>
        </w:rPr>
        <w:t>为了提升游客体验的效率和满意度，本项目提出“AI个性化行程推荐”功能。游客进入小程序后，可以输入人数、出行时长、活动偏好、同行类型、预算区间等信息，例如“2位成年人+1位儿童”“半天游”“偏好骑行+亲子体验”“预算300元以内”等。系统再结合实时天气、季节变化、节点开放状态、路线难度、活动安排和用餐推荐，自动生成一张可视化的时间轴行程卡，清晰告诉游客几点出发、走哪条线、在哪个节点停留、适合参加什么体验、午餐去哪儿、预计花费多少，并支持保存、分享或一键导航启动。</w:t>
      </w:r>
    </w:p>
    <w:p w14:paraId="7485827C">
      <w:pPr>
        <w:rPr>
          <w:rFonts w:hint="eastAsia" w:ascii="宋体" w:hAnsi="宋体" w:eastAsia="宋体"/>
          <w:sz w:val="21"/>
          <w:szCs w:val="21"/>
        </w:rPr>
      </w:pPr>
      <w:r>
        <w:rPr>
          <w:rFonts w:hint="eastAsia" w:ascii="宋体" w:hAnsi="宋体" w:eastAsia="宋体"/>
          <w:b/>
          <w:sz w:val="21"/>
          <w:szCs w:val="21"/>
        </w:rPr>
        <w:t>创新九【核心壁垒】：</w:t>
      </w:r>
      <w:r>
        <w:rPr>
          <w:rFonts w:hint="eastAsia" w:ascii="宋体" w:hAnsi="宋体" w:eastAsia="宋体"/>
          <w:b/>
          <w:sz w:val="21"/>
          <w:szCs w:val="21"/>
          <w:highlight w:val="yellow"/>
        </w:rPr>
        <w:t>全栈自主开发能力</w:t>
      </w:r>
      <w:r>
        <w:rPr>
          <w:rFonts w:hint="eastAsia" w:ascii="宋体" w:hAnsi="宋体" w:eastAsia="宋体"/>
          <w:b/>
          <w:sz w:val="21"/>
          <w:szCs w:val="21"/>
        </w:rPr>
        <w:t>——所有技术模块自主实现，零外协成本，可在答辩现场演示可运行的产品Demo</w:t>
      </w:r>
    </w:p>
    <w:p w14:paraId="2DEB6512">
      <w:pPr>
        <w:rPr>
          <w:rFonts w:hint="eastAsia"/>
          <w:b/>
          <w:bCs/>
          <w:sz w:val="21"/>
          <w:szCs w:val="21"/>
        </w:rPr>
      </w:pPr>
      <w:r>
        <w:rPr>
          <w:rFonts w:hint="eastAsia" w:ascii="宋体" w:hAnsi="宋体" w:eastAsia="宋体"/>
          <w:sz w:val="21"/>
          <w:szCs w:val="21"/>
        </w:rPr>
        <w:t>本项目的一大优势，在于这些数字化设想并不只是停留</w:t>
      </w:r>
      <w:r>
        <w:rPr>
          <w:rFonts w:hint="eastAsia" w:ascii="宋体" w:hAnsi="宋体" w:eastAsia="宋体"/>
          <w:sz w:val="21"/>
          <w:szCs w:val="21"/>
          <w:lang w:val="en-US" w:eastAsia="zh-CN"/>
        </w:rPr>
        <w:t>在概念层面，而是有较强的技术实现基础。</w:t>
      </w:r>
      <w:r>
        <w:rPr>
          <w:rFonts w:hint="eastAsia" w:ascii="宋体" w:hAnsi="宋体" w:eastAsia="宋体"/>
          <w:sz w:val="21"/>
          <w:szCs w:val="21"/>
        </w:rPr>
        <w:t>团队成员覆盖前端开发、后端接口、数据库管理、地图SDK接入、Canvas图像生成、AR交互设计等关键技术环节，能够完成从需求设计、原型搭建到页面开发、功能联调的完整流程。这不仅降低了开发和维护成本，也让项目更容易根据实际运营情况持续优化迭代，真正把“方案里的创新”变成“跑得起来的产品”。</w:t>
      </w:r>
    </w:p>
    <w:p w14:paraId="3A912687">
      <w:pPr>
        <w:rPr>
          <w:rFonts w:hint="eastAsia"/>
        </w:rPr>
      </w:pPr>
      <w:r>
        <w:rPr>
          <w:rFonts w:ascii="宋体" w:hAnsi="宋体" w:eastAsia="宋体"/>
          <w:b/>
        </w:rPr>
        <w:t>创新十【合规突破】:</w:t>
      </w:r>
      <w:r>
        <w:rPr>
          <w:rFonts w:ascii="宋体" w:hAnsi="宋体" w:eastAsia="宋体"/>
          <w:b/>
          <w:highlight w:val="yellow"/>
        </w:rPr>
        <w:t>无人驿站替代方案</w:t>
      </w:r>
      <w:r>
        <w:rPr>
          <w:rFonts w:ascii="宋体" w:hAnsi="宋体" w:eastAsia="宋体"/>
          <w:b/>
        </w:rPr>
        <w:t>——以外部合规经营主体+场地租赁的方式承接骑行补给需求,绕开村内新许可禁令</w:t>
      </w:r>
    </w:p>
    <w:p w14:paraId="6D7FCB5A">
      <w:pPr>
        <w:rPr>
          <w:rFonts w:ascii="宋体" w:hAnsi="宋体" w:eastAsia="宋体"/>
          <w:sz w:val="21"/>
          <w:szCs w:val="21"/>
        </w:rPr>
      </w:pPr>
      <w:r>
        <w:rPr>
          <w:rFonts w:ascii="宋体" w:hAnsi="宋体" w:eastAsia="宋体"/>
          <w:sz w:val="21"/>
          <w:szCs w:val="21"/>
        </w:rPr>
        <w:t>水源保护区硬约束下,村内不新办任何商业经营许可。本项目设置"外部经营主体+场地租赁+复合节点"的无人驿站方案:经营主体为友宝、美宜多等外部无人零售公司或合作社挂靠,村委会仅以场地出租方身份出现,不参与任何销售行为,合规路径清晰;驿站不仅售卖预包装补给,同时是打卡点、骑行海报触发位、品牌墙、广告位的复合节点,单点年收益3.5—9万元,Y3三点合计可贡献约20万元村集体净收入。这是在政策硬约束下把"不可能"转化为"可运行"的结构性创新。</w:t>
      </w:r>
    </w:p>
    <w:p w14:paraId="13E5D7B2">
      <w:pPr>
        <w:rPr>
          <w:b/>
          <w:bCs/>
          <w:sz w:val="32"/>
          <w:szCs w:val="32"/>
        </w:rPr>
      </w:pPr>
    </w:p>
    <w:p w14:paraId="5EC4FE23">
      <w:pPr>
        <w:rPr>
          <w:b/>
          <w:bCs/>
          <w:sz w:val="32"/>
          <w:szCs w:val="32"/>
        </w:rPr>
      </w:pPr>
    </w:p>
    <w:p w14:paraId="15D6C27E">
      <w:pPr>
        <w:rPr>
          <w:b/>
          <w:bCs/>
          <w:sz w:val="32"/>
          <w:szCs w:val="32"/>
        </w:rPr>
      </w:pPr>
    </w:p>
    <w:p w14:paraId="798ACB43">
      <w:pPr>
        <w:rPr>
          <w:b/>
          <w:bCs/>
          <w:sz w:val="32"/>
          <w:szCs w:val="32"/>
        </w:rPr>
      </w:pPr>
    </w:p>
    <w:p w14:paraId="40C376B6">
      <w:pPr>
        <w:rPr>
          <w:b/>
          <w:bCs/>
          <w:sz w:val="32"/>
          <w:szCs w:val="32"/>
        </w:rPr>
      </w:pPr>
    </w:p>
    <w:p w14:paraId="5B6ED3F2">
      <w:pPr>
        <w:rPr>
          <w:b/>
          <w:bCs/>
          <w:sz w:val="32"/>
          <w:szCs w:val="32"/>
        </w:rPr>
      </w:pPr>
    </w:p>
    <w:p w14:paraId="28AFC01F">
      <w:pPr>
        <w:rPr>
          <w:b/>
          <w:bCs/>
          <w:sz w:val="32"/>
          <w:szCs w:val="32"/>
        </w:rPr>
      </w:pPr>
    </w:p>
    <w:p w14:paraId="1EB5B4BC">
      <w:pPr>
        <w:pStyle w:val="2"/>
        <w:bidi w:val="0"/>
        <w:spacing w:line="240" w:lineRule="auto"/>
      </w:pPr>
      <w:bookmarkStart w:id="19" w:name="_Toc1334"/>
      <w:r>
        <w:t>第三章  实践调研与问题诊断</w:t>
      </w:r>
      <w:bookmarkEnd w:id="19"/>
    </w:p>
    <w:p w14:paraId="6F98DA58">
      <w:pPr>
        <w:pStyle w:val="3"/>
        <w:bidi w:val="0"/>
        <w:rPr>
          <w:rFonts w:hint="eastAsia"/>
        </w:rPr>
      </w:pPr>
      <w:bookmarkStart w:id="20" w:name="_Toc4768"/>
      <w:r>
        <w:t>3.1  调研设计</w:t>
      </w:r>
      <w:bookmarkEnd w:id="20"/>
    </w:p>
    <w:p w14:paraId="55FD4D57">
      <w:pPr>
        <w:rPr>
          <w:rFonts w:hint="eastAsia" w:ascii="宋体" w:hAnsi="宋体" w:eastAsia="宋体"/>
          <w:sz w:val="21"/>
          <w:szCs w:val="21"/>
        </w:rPr>
      </w:pPr>
      <w:r>
        <w:rPr>
          <w:rFonts w:ascii="宋体" w:hAnsi="宋体" w:eastAsia="宋体"/>
          <w:sz w:val="21"/>
          <w:szCs w:val="21"/>
        </w:rPr>
        <w:t>为确保方案的可行性和针对性，本项目采用"四维调研法"——问卷调查、深度访谈、实地考察与二手数据分析相结合，构建多源数据交叉验证体系。</w:t>
      </w:r>
    </w:p>
    <w:p w14:paraId="718CE7AE">
      <w:pPr>
        <w:rPr>
          <w:rFonts w:hint="eastAsia" w:ascii="宋体" w:hAnsi="宋体" w:eastAsia="宋体"/>
          <w:sz w:val="21"/>
          <w:szCs w:val="21"/>
        </w:rPr>
      </w:pPr>
      <w:r>
        <w:rPr>
          <w:rFonts w:ascii="宋体" w:hAnsi="宋体" w:eastAsia="宋体"/>
          <w:b/>
          <w:sz w:val="21"/>
          <w:szCs w:val="21"/>
        </w:rPr>
        <w:t>表3-1  调研方法设计</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7"/>
        <w:gridCol w:w="2057"/>
        <w:gridCol w:w="2063"/>
        <w:gridCol w:w="2061"/>
      </w:tblGrid>
      <w:tr w14:paraId="220EF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trPr>
        <w:tc>
          <w:tcPr>
            <w:tcW w:w="2057" w:type="dxa"/>
            <w:tcBorders>
              <w:top w:val="single" w:color="auto" w:sz="4" w:space="0"/>
              <w:left w:val="single" w:color="auto" w:sz="4" w:space="0"/>
              <w:bottom w:val="single" w:color="auto" w:sz="4" w:space="0"/>
              <w:right w:val="single" w:color="auto" w:sz="4" w:space="0"/>
            </w:tcBorders>
          </w:tcPr>
          <w:p w14:paraId="45A0FFB0">
            <w:pPr>
              <w:spacing w:after="160" w:line="278" w:lineRule="auto"/>
              <w:rPr>
                <w:rFonts w:hint="eastAsia" w:ascii="宋体" w:hAnsi="宋体" w:eastAsia="宋体"/>
                <w:sz w:val="21"/>
                <w:szCs w:val="21"/>
              </w:rPr>
            </w:pPr>
            <w:r>
              <w:rPr>
                <w:rFonts w:ascii="宋体" w:hAnsi="宋体" w:eastAsia="宋体"/>
                <w:sz w:val="21"/>
                <w:szCs w:val="21"/>
              </w:rPr>
              <w:t>调研维度</w:t>
            </w:r>
          </w:p>
        </w:tc>
        <w:tc>
          <w:tcPr>
            <w:tcW w:w="2057" w:type="dxa"/>
            <w:tcBorders>
              <w:top w:val="single" w:color="auto" w:sz="4" w:space="0"/>
              <w:left w:val="single" w:color="auto" w:sz="4" w:space="0"/>
              <w:bottom w:val="single" w:color="auto" w:sz="4" w:space="0"/>
              <w:right w:val="single" w:color="auto" w:sz="4" w:space="0"/>
            </w:tcBorders>
          </w:tcPr>
          <w:p w14:paraId="4C7DD7FB">
            <w:pPr>
              <w:spacing w:after="160" w:line="278" w:lineRule="auto"/>
              <w:rPr>
                <w:rFonts w:hint="eastAsia" w:ascii="宋体" w:hAnsi="宋体" w:eastAsia="宋体"/>
                <w:sz w:val="21"/>
                <w:szCs w:val="21"/>
              </w:rPr>
            </w:pPr>
            <w:r>
              <w:rPr>
                <w:rFonts w:ascii="宋体" w:hAnsi="宋体" w:eastAsia="宋体"/>
                <w:sz w:val="21"/>
                <w:szCs w:val="21"/>
              </w:rPr>
              <w:t>方法</w:t>
            </w:r>
          </w:p>
        </w:tc>
        <w:tc>
          <w:tcPr>
            <w:tcW w:w="2063" w:type="dxa"/>
            <w:tcBorders>
              <w:top w:val="single" w:color="auto" w:sz="4" w:space="0"/>
              <w:left w:val="single" w:color="auto" w:sz="4" w:space="0"/>
              <w:bottom w:val="single" w:color="auto" w:sz="4" w:space="0"/>
              <w:right w:val="single" w:color="auto" w:sz="4" w:space="0"/>
            </w:tcBorders>
          </w:tcPr>
          <w:p w14:paraId="12D3983F">
            <w:pPr>
              <w:spacing w:after="160" w:line="278" w:lineRule="auto"/>
              <w:rPr>
                <w:rFonts w:hint="eastAsia" w:ascii="宋体" w:hAnsi="宋体" w:eastAsia="宋体"/>
                <w:sz w:val="21"/>
                <w:szCs w:val="21"/>
              </w:rPr>
            </w:pPr>
            <w:r>
              <w:rPr>
                <w:rFonts w:ascii="宋体" w:hAnsi="宋体" w:eastAsia="宋体"/>
                <w:sz w:val="21"/>
                <w:szCs w:val="21"/>
              </w:rPr>
              <w:t>对象/范围</w:t>
            </w:r>
          </w:p>
        </w:tc>
        <w:tc>
          <w:tcPr>
            <w:tcW w:w="2061" w:type="dxa"/>
            <w:tcBorders>
              <w:top w:val="single" w:color="auto" w:sz="4" w:space="0"/>
              <w:left w:val="single" w:color="auto" w:sz="4" w:space="0"/>
              <w:bottom w:val="single" w:color="auto" w:sz="4" w:space="0"/>
              <w:right w:val="single" w:color="auto" w:sz="4" w:space="0"/>
            </w:tcBorders>
          </w:tcPr>
          <w:p w14:paraId="5A84571E">
            <w:pPr>
              <w:spacing w:after="160" w:line="278" w:lineRule="auto"/>
              <w:rPr>
                <w:rFonts w:hint="eastAsia" w:ascii="宋体" w:hAnsi="宋体" w:eastAsia="宋体"/>
                <w:sz w:val="21"/>
                <w:szCs w:val="21"/>
              </w:rPr>
            </w:pPr>
            <w:r>
              <w:rPr>
                <w:rFonts w:ascii="宋体" w:hAnsi="宋体" w:eastAsia="宋体"/>
                <w:sz w:val="21"/>
                <w:szCs w:val="21"/>
              </w:rPr>
              <w:t>目标</w:t>
            </w:r>
          </w:p>
        </w:tc>
      </w:tr>
      <w:tr w14:paraId="7E701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7" w:hRule="atLeast"/>
        </w:trPr>
        <w:tc>
          <w:tcPr>
            <w:tcW w:w="2057" w:type="dxa"/>
            <w:tcBorders>
              <w:top w:val="single" w:color="auto" w:sz="4" w:space="0"/>
              <w:left w:val="single" w:color="auto" w:sz="4" w:space="0"/>
              <w:bottom w:val="single" w:color="auto" w:sz="4" w:space="0"/>
              <w:right w:val="single" w:color="auto" w:sz="4" w:space="0"/>
            </w:tcBorders>
          </w:tcPr>
          <w:p w14:paraId="3313C68C">
            <w:pPr>
              <w:spacing w:after="160" w:line="278" w:lineRule="auto"/>
              <w:rPr>
                <w:rFonts w:hint="eastAsia" w:ascii="宋体" w:hAnsi="宋体" w:eastAsia="宋体"/>
                <w:sz w:val="21"/>
                <w:szCs w:val="21"/>
              </w:rPr>
            </w:pPr>
            <w:r>
              <w:rPr>
                <w:rFonts w:ascii="宋体" w:hAnsi="宋体" w:eastAsia="宋体"/>
                <w:sz w:val="21"/>
                <w:szCs w:val="21"/>
              </w:rPr>
              <w:t>问卷调查</w:t>
            </w:r>
          </w:p>
        </w:tc>
        <w:tc>
          <w:tcPr>
            <w:tcW w:w="2057" w:type="dxa"/>
            <w:tcBorders>
              <w:top w:val="single" w:color="auto" w:sz="4" w:space="0"/>
              <w:left w:val="single" w:color="auto" w:sz="4" w:space="0"/>
              <w:bottom w:val="single" w:color="auto" w:sz="4" w:space="0"/>
              <w:right w:val="single" w:color="auto" w:sz="4" w:space="0"/>
            </w:tcBorders>
          </w:tcPr>
          <w:p w14:paraId="18B4C33A">
            <w:pPr>
              <w:spacing w:after="160" w:line="278" w:lineRule="auto"/>
              <w:rPr>
                <w:rFonts w:hint="eastAsia" w:ascii="宋体" w:hAnsi="宋体" w:eastAsia="宋体"/>
                <w:sz w:val="21"/>
                <w:szCs w:val="21"/>
              </w:rPr>
            </w:pPr>
            <w:r>
              <w:rPr>
                <w:rFonts w:ascii="宋体" w:hAnsi="宋体" w:eastAsia="宋体"/>
                <w:sz w:val="21"/>
                <w:szCs w:val="21"/>
              </w:rPr>
              <w:t>线上+线下发放</w:t>
            </w:r>
          </w:p>
        </w:tc>
        <w:tc>
          <w:tcPr>
            <w:tcW w:w="2063" w:type="dxa"/>
            <w:tcBorders>
              <w:top w:val="single" w:color="auto" w:sz="4" w:space="0"/>
              <w:left w:val="single" w:color="auto" w:sz="4" w:space="0"/>
              <w:bottom w:val="single" w:color="auto" w:sz="4" w:space="0"/>
              <w:right w:val="single" w:color="auto" w:sz="4" w:space="0"/>
            </w:tcBorders>
          </w:tcPr>
          <w:p w14:paraId="69B23DCB">
            <w:pPr>
              <w:spacing w:after="160" w:line="278" w:lineRule="auto"/>
              <w:rPr>
                <w:rFonts w:hint="eastAsia" w:ascii="宋体" w:hAnsi="宋体" w:eastAsia="宋体"/>
                <w:sz w:val="21"/>
                <w:szCs w:val="21"/>
              </w:rPr>
            </w:pPr>
            <w:r>
              <w:rPr>
                <w:rFonts w:ascii="宋体" w:hAnsi="宋体" w:eastAsia="宋体"/>
                <w:sz w:val="21"/>
                <w:szCs w:val="21"/>
              </w:rPr>
              <w:t>村民/游客/潜在消费者（目标≥500份）</w:t>
            </w:r>
          </w:p>
        </w:tc>
        <w:tc>
          <w:tcPr>
            <w:tcW w:w="2061" w:type="dxa"/>
            <w:tcBorders>
              <w:top w:val="single" w:color="auto" w:sz="4" w:space="0"/>
              <w:left w:val="single" w:color="auto" w:sz="4" w:space="0"/>
              <w:bottom w:val="single" w:color="auto" w:sz="4" w:space="0"/>
              <w:right w:val="single" w:color="auto" w:sz="4" w:space="0"/>
            </w:tcBorders>
          </w:tcPr>
          <w:p w14:paraId="75F977A6">
            <w:pPr>
              <w:spacing w:after="160" w:line="278" w:lineRule="auto"/>
              <w:rPr>
                <w:rFonts w:hint="eastAsia" w:ascii="宋体" w:hAnsi="宋体" w:eastAsia="宋体"/>
                <w:sz w:val="21"/>
                <w:szCs w:val="21"/>
              </w:rPr>
            </w:pPr>
            <w:r>
              <w:rPr>
                <w:rFonts w:ascii="宋体" w:hAnsi="宋体" w:eastAsia="宋体"/>
                <w:sz w:val="21"/>
                <w:szCs w:val="21"/>
              </w:rPr>
              <w:t>量化需求、消费偏好、品牌认知</w:t>
            </w:r>
          </w:p>
        </w:tc>
      </w:tr>
      <w:tr w14:paraId="0DB2A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7" w:hRule="atLeast"/>
        </w:trPr>
        <w:tc>
          <w:tcPr>
            <w:tcW w:w="2057" w:type="dxa"/>
            <w:tcBorders>
              <w:top w:val="single" w:color="auto" w:sz="4" w:space="0"/>
              <w:left w:val="single" w:color="auto" w:sz="4" w:space="0"/>
              <w:bottom w:val="single" w:color="auto" w:sz="4" w:space="0"/>
              <w:right w:val="single" w:color="auto" w:sz="4" w:space="0"/>
            </w:tcBorders>
          </w:tcPr>
          <w:p w14:paraId="2C832B7E">
            <w:pPr>
              <w:spacing w:after="160" w:line="278" w:lineRule="auto"/>
              <w:rPr>
                <w:rFonts w:hint="eastAsia" w:ascii="宋体" w:hAnsi="宋体" w:eastAsia="宋体"/>
                <w:sz w:val="21"/>
                <w:szCs w:val="21"/>
              </w:rPr>
            </w:pPr>
            <w:r>
              <w:rPr>
                <w:rFonts w:ascii="宋体" w:hAnsi="宋体" w:eastAsia="宋体"/>
                <w:sz w:val="21"/>
                <w:szCs w:val="21"/>
              </w:rPr>
              <w:t>深度访谈</w:t>
            </w:r>
          </w:p>
        </w:tc>
        <w:tc>
          <w:tcPr>
            <w:tcW w:w="2057" w:type="dxa"/>
            <w:tcBorders>
              <w:top w:val="single" w:color="auto" w:sz="4" w:space="0"/>
              <w:left w:val="single" w:color="auto" w:sz="4" w:space="0"/>
              <w:bottom w:val="single" w:color="auto" w:sz="4" w:space="0"/>
              <w:right w:val="single" w:color="auto" w:sz="4" w:space="0"/>
            </w:tcBorders>
          </w:tcPr>
          <w:p w14:paraId="3F285D03">
            <w:pPr>
              <w:spacing w:after="160" w:line="278" w:lineRule="auto"/>
              <w:rPr>
                <w:rFonts w:hint="eastAsia" w:ascii="宋体" w:hAnsi="宋体" w:eastAsia="宋体"/>
                <w:sz w:val="21"/>
                <w:szCs w:val="21"/>
              </w:rPr>
            </w:pPr>
            <w:r>
              <w:rPr>
                <w:rFonts w:ascii="宋体" w:hAnsi="宋体" w:eastAsia="宋体"/>
                <w:sz w:val="21"/>
                <w:szCs w:val="21"/>
              </w:rPr>
              <w:t>半结构化访谈</w:t>
            </w:r>
          </w:p>
        </w:tc>
        <w:tc>
          <w:tcPr>
            <w:tcW w:w="2063" w:type="dxa"/>
            <w:tcBorders>
              <w:top w:val="single" w:color="auto" w:sz="4" w:space="0"/>
              <w:left w:val="single" w:color="auto" w:sz="4" w:space="0"/>
              <w:bottom w:val="single" w:color="auto" w:sz="4" w:space="0"/>
              <w:right w:val="single" w:color="auto" w:sz="4" w:space="0"/>
            </w:tcBorders>
          </w:tcPr>
          <w:p w14:paraId="0665E2A6">
            <w:pPr>
              <w:spacing w:after="0" w:line="240" w:lineRule="auto"/>
              <w:rPr>
                <w:sz w:val="21"/>
                <w:szCs w:val="21"/>
              </w:rPr>
            </w:pPr>
            <w:r>
              <w:rPr>
                <w:rFonts w:ascii="宋体" w:hAnsi="宋体" w:eastAsia="宋体"/>
                <w:b w:val="0"/>
                <w:sz w:val="21"/>
                <w:szCs w:val="21"/>
              </w:rPr>
              <w:t>村书记/果农/合作社/联盟村/周边村代表</w:t>
            </w:r>
          </w:p>
        </w:tc>
        <w:tc>
          <w:tcPr>
            <w:tcW w:w="2061" w:type="dxa"/>
            <w:tcBorders>
              <w:top w:val="single" w:color="auto" w:sz="4" w:space="0"/>
              <w:left w:val="single" w:color="auto" w:sz="4" w:space="0"/>
              <w:bottom w:val="single" w:color="auto" w:sz="4" w:space="0"/>
              <w:right w:val="single" w:color="auto" w:sz="4" w:space="0"/>
            </w:tcBorders>
          </w:tcPr>
          <w:p w14:paraId="2C59D7A5">
            <w:pPr>
              <w:spacing w:after="160" w:line="278" w:lineRule="auto"/>
              <w:rPr>
                <w:rFonts w:hint="eastAsia" w:ascii="宋体" w:hAnsi="宋体" w:eastAsia="宋体"/>
                <w:sz w:val="21"/>
                <w:szCs w:val="21"/>
              </w:rPr>
            </w:pPr>
            <w:r>
              <w:rPr>
                <w:rFonts w:ascii="宋体" w:hAnsi="宋体" w:eastAsia="宋体"/>
                <w:sz w:val="21"/>
                <w:szCs w:val="21"/>
              </w:rPr>
              <w:t>挖掘深层诉求和运营痛点</w:t>
            </w:r>
          </w:p>
        </w:tc>
      </w:tr>
      <w:tr w14:paraId="4214D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7" w:hRule="atLeast"/>
        </w:trPr>
        <w:tc>
          <w:tcPr>
            <w:tcW w:w="2057" w:type="dxa"/>
            <w:tcBorders>
              <w:top w:val="single" w:color="auto" w:sz="4" w:space="0"/>
              <w:left w:val="single" w:color="auto" w:sz="4" w:space="0"/>
              <w:bottom w:val="single" w:color="auto" w:sz="4" w:space="0"/>
              <w:right w:val="single" w:color="auto" w:sz="4" w:space="0"/>
            </w:tcBorders>
          </w:tcPr>
          <w:p w14:paraId="1AF65FAF">
            <w:pPr>
              <w:spacing w:after="160" w:line="278" w:lineRule="auto"/>
              <w:rPr>
                <w:rFonts w:hint="eastAsia" w:ascii="宋体" w:hAnsi="宋体" w:eastAsia="宋体"/>
                <w:sz w:val="21"/>
                <w:szCs w:val="21"/>
              </w:rPr>
            </w:pPr>
            <w:r>
              <w:rPr>
                <w:rFonts w:ascii="宋体" w:hAnsi="宋体" w:eastAsia="宋体"/>
                <w:sz w:val="21"/>
                <w:szCs w:val="21"/>
              </w:rPr>
              <w:t>实地考察</w:t>
            </w:r>
          </w:p>
        </w:tc>
        <w:tc>
          <w:tcPr>
            <w:tcW w:w="2057" w:type="dxa"/>
            <w:tcBorders>
              <w:top w:val="single" w:color="auto" w:sz="4" w:space="0"/>
              <w:left w:val="single" w:color="auto" w:sz="4" w:space="0"/>
              <w:bottom w:val="single" w:color="auto" w:sz="4" w:space="0"/>
              <w:right w:val="single" w:color="auto" w:sz="4" w:space="0"/>
            </w:tcBorders>
          </w:tcPr>
          <w:p w14:paraId="78C1815B">
            <w:pPr>
              <w:spacing w:after="160" w:line="278" w:lineRule="auto"/>
              <w:rPr>
                <w:rFonts w:hint="eastAsia" w:ascii="宋体" w:hAnsi="宋体" w:eastAsia="宋体"/>
                <w:sz w:val="21"/>
                <w:szCs w:val="21"/>
              </w:rPr>
            </w:pPr>
            <w:r>
              <w:rPr>
                <w:rFonts w:ascii="宋体" w:hAnsi="宋体" w:eastAsia="宋体"/>
                <w:sz w:val="21"/>
                <w:szCs w:val="21"/>
              </w:rPr>
              <w:t>现场踏勘+影像记录</w:t>
            </w:r>
          </w:p>
        </w:tc>
        <w:tc>
          <w:tcPr>
            <w:tcW w:w="2063" w:type="dxa"/>
            <w:tcBorders>
              <w:top w:val="single" w:color="auto" w:sz="4" w:space="0"/>
              <w:left w:val="single" w:color="auto" w:sz="4" w:space="0"/>
              <w:bottom w:val="single" w:color="auto" w:sz="4" w:space="0"/>
              <w:right w:val="single" w:color="auto" w:sz="4" w:space="0"/>
            </w:tcBorders>
          </w:tcPr>
          <w:p w14:paraId="504E9D8F">
            <w:pPr>
              <w:spacing w:after="0" w:line="240" w:lineRule="auto"/>
              <w:rPr>
                <w:sz w:val="21"/>
                <w:szCs w:val="21"/>
              </w:rPr>
            </w:pPr>
            <w:r>
              <w:rPr>
                <w:rFonts w:ascii="宋体" w:hAnsi="宋体" w:eastAsia="宋体"/>
                <w:b w:val="0"/>
                <w:sz w:val="21"/>
                <w:szCs w:val="21"/>
              </w:rPr>
              <w:t>樱桃园/骑行路线/联盟村/水源地/村庄空间</w:t>
            </w:r>
          </w:p>
        </w:tc>
        <w:tc>
          <w:tcPr>
            <w:tcW w:w="2061" w:type="dxa"/>
            <w:tcBorders>
              <w:top w:val="single" w:color="auto" w:sz="4" w:space="0"/>
              <w:left w:val="single" w:color="auto" w:sz="4" w:space="0"/>
              <w:bottom w:val="single" w:color="auto" w:sz="4" w:space="0"/>
              <w:right w:val="single" w:color="auto" w:sz="4" w:space="0"/>
            </w:tcBorders>
          </w:tcPr>
          <w:p w14:paraId="51ABACE6">
            <w:pPr>
              <w:spacing w:after="160" w:line="278" w:lineRule="auto"/>
              <w:rPr>
                <w:rFonts w:hint="eastAsia" w:ascii="宋体" w:hAnsi="宋体" w:eastAsia="宋体"/>
                <w:sz w:val="21"/>
                <w:szCs w:val="21"/>
              </w:rPr>
            </w:pPr>
            <w:r>
              <w:rPr>
                <w:rFonts w:ascii="宋体" w:hAnsi="宋体" w:eastAsia="宋体"/>
                <w:sz w:val="21"/>
                <w:szCs w:val="21"/>
              </w:rPr>
              <w:t>验证资源禀赋和落地条件</w:t>
            </w:r>
          </w:p>
        </w:tc>
      </w:tr>
      <w:tr w14:paraId="14AA5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1" w:hRule="atLeast"/>
        </w:trPr>
        <w:tc>
          <w:tcPr>
            <w:tcW w:w="2057" w:type="dxa"/>
            <w:tcBorders>
              <w:top w:val="single" w:color="auto" w:sz="4" w:space="0"/>
              <w:left w:val="single" w:color="auto" w:sz="4" w:space="0"/>
              <w:bottom w:val="single" w:color="auto" w:sz="4" w:space="0"/>
              <w:right w:val="single" w:color="auto" w:sz="4" w:space="0"/>
            </w:tcBorders>
          </w:tcPr>
          <w:p w14:paraId="33DEC471">
            <w:pPr>
              <w:spacing w:after="160" w:line="278" w:lineRule="auto"/>
              <w:rPr>
                <w:rFonts w:hint="eastAsia" w:ascii="宋体" w:hAnsi="宋体" w:eastAsia="宋体"/>
                <w:sz w:val="21"/>
                <w:szCs w:val="21"/>
              </w:rPr>
            </w:pPr>
            <w:r>
              <w:rPr>
                <w:rFonts w:ascii="宋体" w:hAnsi="宋体" w:eastAsia="宋体"/>
                <w:sz w:val="21"/>
                <w:szCs w:val="21"/>
              </w:rPr>
              <w:t>二手数据</w:t>
            </w:r>
          </w:p>
        </w:tc>
        <w:tc>
          <w:tcPr>
            <w:tcW w:w="2057" w:type="dxa"/>
            <w:tcBorders>
              <w:top w:val="single" w:color="auto" w:sz="4" w:space="0"/>
              <w:left w:val="single" w:color="auto" w:sz="4" w:space="0"/>
              <w:bottom w:val="single" w:color="auto" w:sz="4" w:space="0"/>
              <w:right w:val="single" w:color="auto" w:sz="4" w:space="0"/>
            </w:tcBorders>
          </w:tcPr>
          <w:p w14:paraId="0422ECA2">
            <w:pPr>
              <w:spacing w:after="160" w:line="278" w:lineRule="auto"/>
              <w:rPr>
                <w:rFonts w:hint="eastAsia" w:ascii="宋体" w:hAnsi="宋体" w:eastAsia="宋体"/>
                <w:sz w:val="21"/>
                <w:szCs w:val="21"/>
              </w:rPr>
            </w:pPr>
            <w:r>
              <w:rPr>
                <w:rFonts w:ascii="宋体" w:hAnsi="宋体" w:eastAsia="宋体"/>
                <w:sz w:val="21"/>
                <w:szCs w:val="21"/>
              </w:rPr>
              <w:t>公开数据+村庄档案</w:t>
            </w:r>
          </w:p>
        </w:tc>
        <w:tc>
          <w:tcPr>
            <w:tcW w:w="2063" w:type="dxa"/>
            <w:tcBorders>
              <w:top w:val="single" w:color="auto" w:sz="4" w:space="0"/>
              <w:left w:val="single" w:color="auto" w:sz="4" w:space="0"/>
              <w:bottom w:val="single" w:color="auto" w:sz="4" w:space="0"/>
              <w:right w:val="single" w:color="auto" w:sz="4" w:space="0"/>
            </w:tcBorders>
          </w:tcPr>
          <w:p w14:paraId="4ADCC490">
            <w:pPr>
              <w:spacing w:after="160" w:line="278" w:lineRule="auto"/>
              <w:rPr>
                <w:rFonts w:hint="eastAsia" w:ascii="宋体" w:hAnsi="宋体" w:eastAsia="宋体"/>
                <w:sz w:val="21"/>
                <w:szCs w:val="21"/>
              </w:rPr>
            </w:pPr>
            <w:r>
              <w:rPr>
                <w:rFonts w:ascii="宋体" w:hAnsi="宋体" w:eastAsia="宋体"/>
                <w:sz w:val="21"/>
                <w:szCs w:val="21"/>
              </w:rPr>
              <w:t>怀柔旅游数据/骑行市场/樱桃产业/政策法规</w:t>
            </w:r>
          </w:p>
        </w:tc>
        <w:tc>
          <w:tcPr>
            <w:tcW w:w="2061" w:type="dxa"/>
            <w:tcBorders>
              <w:top w:val="single" w:color="auto" w:sz="4" w:space="0"/>
              <w:left w:val="single" w:color="auto" w:sz="4" w:space="0"/>
              <w:bottom w:val="single" w:color="auto" w:sz="4" w:space="0"/>
              <w:right w:val="single" w:color="auto" w:sz="4" w:space="0"/>
            </w:tcBorders>
          </w:tcPr>
          <w:p w14:paraId="126DAD9E">
            <w:pPr>
              <w:spacing w:after="160" w:line="278" w:lineRule="auto"/>
              <w:rPr>
                <w:rFonts w:hint="eastAsia" w:ascii="宋体" w:hAnsi="宋体" w:eastAsia="宋体"/>
                <w:sz w:val="21"/>
                <w:szCs w:val="21"/>
              </w:rPr>
            </w:pPr>
            <w:r>
              <w:rPr>
                <w:rFonts w:ascii="宋体" w:hAnsi="宋体" w:eastAsia="宋体"/>
                <w:sz w:val="21"/>
                <w:szCs w:val="21"/>
              </w:rPr>
              <w:t>行业基准和政策边界</w:t>
            </w:r>
          </w:p>
        </w:tc>
      </w:tr>
    </w:tbl>
    <w:p w14:paraId="38670604">
      <w:pPr>
        <w:pStyle w:val="3"/>
        <w:bidi w:val="0"/>
        <w:rPr>
          <w:rFonts w:hint="eastAsia" w:ascii="宋体" w:hAnsi="宋体" w:eastAsia="宋体" w:cs="宋体"/>
          <w:b/>
          <w:bCs/>
        </w:rPr>
      </w:pPr>
      <w:bookmarkStart w:id="21" w:name="heading_0"/>
      <w:bookmarkStart w:id="22" w:name="_Toc18084"/>
      <w:r>
        <w:rPr>
          <w:rFonts w:hint="eastAsia" w:ascii="宋体" w:hAnsi="宋体" w:eastAsia="宋体" w:cs="宋体"/>
          <w:b/>
          <w:bCs/>
        </w:rPr>
        <w:t>3.2 问卷调研与数据分析</w:t>
      </w:r>
      <w:bookmarkEnd w:id="21"/>
      <w:bookmarkEnd w:id="22"/>
    </w:p>
    <w:p w14:paraId="635EAABB">
      <w:pPr>
        <w:spacing w:before="120" w:after="120" w:line="288" w:lineRule="auto"/>
        <w:rPr>
          <w:rFonts w:hint="eastAsia"/>
          <w:sz w:val="21"/>
          <w:szCs w:val="21"/>
        </w:rPr>
      </w:pPr>
      <w:r>
        <w:rPr>
          <w:rFonts w:ascii="Arial" w:hAnsi="Arial" w:eastAsia="等线" w:cs="Arial"/>
          <w:sz w:val="21"/>
          <w:szCs w:val="21"/>
        </w:rPr>
        <w:t>为确保方案设计的科学性与针对性，本项目采用</w:t>
      </w:r>
      <w:r>
        <w:rPr>
          <w:rFonts w:ascii="Arial" w:hAnsi="Arial" w:eastAsia="等线" w:cs="Arial"/>
          <w:b/>
          <w:sz w:val="21"/>
          <w:szCs w:val="21"/>
        </w:rPr>
        <w:t>四维调研法</w:t>
      </w:r>
      <w:r>
        <w:rPr>
          <w:rFonts w:ascii="Arial" w:hAnsi="Arial" w:eastAsia="等线" w:cs="Arial"/>
          <w:sz w:val="21"/>
          <w:szCs w:val="21"/>
        </w:rPr>
        <w:t>——问卷调查、深度访谈、实地考察与二手数据分析相结合，构建多源数据交叉验证体系。其中问卷调查覆盖供给侧（农户）、需求侧（游客）及潜在市场（北京城区消费者）三个维度，共回收有效问卷340份（农户20份+游客120份+潜在消费者200份），为方案设计提供量化决策依据。</w:t>
      </w:r>
    </w:p>
    <w:p w14:paraId="41C8BBA0">
      <w:pPr>
        <w:pStyle w:val="4"/>
        <w:bidi w:val="0"/>
        <w:rPr>
          <w:rFonts w:hint="eastAsia"/>
        </w:rPr>
      </w:pPr>
      <w:bookmarkStart w:id="23" w:name="heading_1"/>
      <w:bookmarkStart w:id="24" w:name="_Toc26369"/>
      <w:r>
        <w:t>3.2.1 调研设计与样本构成</w:t>
      </w:r>
      <w:bookmarkEnd w:id="23"/>
      <w:bookmarkEnd w:id="24"/>
    </w:p>
    <w:p w14:paraId="4CD2ADFC">
      <w:pPr>
        <w:spacing w:before="120" w:after="120" w:line="288" w:lineRule="auto"/>
        <w:rPr>
          <w:rFonts w:hint="eastAsia" w:ascii="宋体" w:hAnsi="宋体" w:eastAsia="宋体" w:cs="宋体"/>
          <w:sz w:val="21"/>
          <w:szCs w:val="21"/>
        </w:rPr>
      </w:pPr>
      <w:r>
        <w:rPr>
          <w:rFonts w:hint="eastAsia" w:ascii="宋体" w:hAnsi="宋体" w:eastAsia="宋体" w:cs="宋体"/>
          <w:sz w:val="21"/>
          <w:szCs w:val="21"/>
        </w:rPr>
        <w:t>本项目设计三套结构化问卷，分别针对不同的利益相关方：</w:t>
      </w:r>
    </w:p>
    <w:p w14:paraId="4969739D">
      <w:pPr>
        <w:spacing w:before="120" w:after="120" w:line="288" w:lineRule="auto"/>
        <w:jc w:val="center"/>
        <w:rPr>
          <w:rFonts w:hint="eastAsia" w:ascii="宋体" w:hAnsi="宋体" w:eastAsia="宋体" w:cs="宋体"/>
          <w:sz w:val="21"/>
          <w:szCs w:val="21"/>
        </w:rPr>
      </w:pPr>
      <w:r>
        <w:rPr>
          <w:rFonts w:hint="eastAsia" w:ascii="宋体" w:hAnsi="宋体" w:eastAsia="宋体" w:cs="宋体"/>
          <w:sz w:val="21"/>
          <w:szCs w:val="21"/>
        </w:rPr>
        <w:t>表3-1 问卷调研设计框架</w:t>
      </w:r>
    </w:p>
    <w:tbl>
      <w:tblPr>
        <w:tblStyle w:val="1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22BF423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6D852A6B">
            <w:pPr>
              <w:spacing w:before="120" w:after="120" w:line="288" w:lineRule="auto"/>
              <w:rPr>
                <w:rFonts w:hint="eastAsia" w:ascii="宋体" w:hAnsi="宋体" w:eastAsia="宋体" w:cs="宋体"/>
                <w:sz w:val="21"/>
                <w:szCs w:val="21"/>
              </w:rPr>
            </w:pPr>
            <w:r>
              <w:rPr>
                <w:rFonts w:hint="eastAsia" w:ascii="宋体" w:hAnsi="宋体" w:eastAsia="宋体" w:cs="宋体"/>
                <w:sz w:val="21"/>
                <w:szCs w:val="21"/>
              </w:rPr>
              <w:t>调研维度</w:t>
            </w:r>
          </w:p>
        </w:tc>
        <w:tc>
          <w:tcPr>
            <w:tcW w:w="1650" w:type="dxa"/>
            <w:tcMar>
              <w:top w:w="60" w:type="dxa"/>
              <w:left w:w="120" w:type="dxa"/>
              <w:bottom w:w="30" w:type="dxa"/>
              <w:right w:w="120" w:type="dxa"/>
            </w:tcMar>
          </w:tcPr>
          <w:p w14:paraId="28B949A7">
            <w:pPr>
              <w:spacing w:before="120" w:after="120" w:line="288" w:lineRule="auto"/>
              <w:rPr>
                <w:rFonts w:hint="eastAsia" w:ascii="宋体" w:hAnsi="宋体" w:eastAsia="宋体" w:cs="宋体"/>
                <w:sz w:val="21"/>
                <w:szCs w:val="21"/>
              </w:rPr>
            </w:pPr>
            <w:r>
              <w:rPr>
                <w:rFonts w:hint="eastAsia" w:ascii="宋体" w:hAnsi="宋体" w:eastAsia="宋体" w:cs="宋体"/>
                <w:sz w:val="21"/>
                <w:szCs w:val="21"/>
              </w:rPr>
              <w:t>样本量</w:t>
            </w:r>
          </w:p>
        </w:tc>
        <w:tc>
          <w:tcPr>
            <w:tcW w:w="1650" w:type="dxa"/>
            <w:tcMar>
              <w:top w:w="60" w:type="dxa"/>
              <w:left w:w="120" w:type="dxa"/>
              <w:bottom w:w="30" w:type="dxa"/>
              <w:right w:w="120" w:type="dxa"/>
            </w:tcMar>
          </w:tcPr>
          <w:p w14:paraId="674B4C08">
            <w:pPr>
              <w:spacing w:before="120" w:after="120" w:line="288" w:lineRule="auto"/>
              <w:rPr>
                <w:rFonts w:hint="eastAsia" w:ascii="宋体" w:hAnsi="宋体" w:eastAsia="宋体" w:cs="宋体"/>
                <w:sz w:val="21"/>
                <w:szCs w:val="21"/>
              </w:rPr>
            </w:pPr>
            <w:r>
              <w:rPr>
                <w:rFonts w:hint="eastAsia" w:ascii="宋体" w:hAnsi="宋体" w:eastAsia="宋体" w:cs="宋体"/>
                <w:sz w:val="21"/>
                <w:szCs w:val="21"/>
              </w:rPr>
              <w:t>调研对象</w:t>
            </w:r>
          </w:p>
        </w:tc>
        <w:tc>
          <w:tcPr>
            <w:tcW w:w="1650" w:type="dxa"/>
            <w:tcMar>
              <w:top w:w="60" w:type="dxa"/>
              <w:left w:w="120" w:type="dxa"/>
              <w:bottom w:w="30" w:type="dxa"/>
              <w:right w:w="120" w:type="dxa"/>
            </w:tcMar>
          </w:tcPr>
          <w:p w14:paraId="4EB0A9DE">
            <w:pPr>
              <w:spacing w:before="120" w:after="120" w:line="288" w:lineRule="auto"/>
              <w:rPr>
                <w:rFonts w:hint="eastAsia" w:ascii="宋体" w:hAnsi="宋体" w:eastAsia="宋体" w:cs="宋体"/>
                <w:sz w:val="21"/>
                <w:szCs w:val="21"/>
              </w:rPr>
            </w:pPr>
            <w:r>
              <w:rPr>
                <w:rFonts w:hint="eastAsia" w:ascii="宋体" w:hAnsi="宋体" w:eastAsia="宋体" w:cs="宋体"/>
                <w:sz w:val="21"/>
                <w:szCs w:val="21"/>
              </w:rPr>
              <w:t>核心测量变量</w:t>
            </w:r>
          </w:p>
        </w:tc>
        <w:tc>
          <w:tcPr>
            <w:tcW w:w="1650" w:type="dxa"/>
            <w:tcMar>
              <w:top w:w="60" w:type="dxa"/>
              <w:left w:w="120" w:type="dxa"/>
              <w:bottom w:w="30" w:type="dxa"/>
              <w:right w:w="120" w:type="dxa"/>
            </w:tcMar>
          </w:tcPr>
          <w:p w14:paraId="6A71971E">
            <w:pPr>
              <w:spacing w:before="120" w:after="120" w:line="288" w:lineRule="auto"/>
              <w:rPr>
                <w:rFonts w:hint="eastAsia" w:ascii="宋体" w:hAnsi="宋体" w:eastAsia="宋体" w:cs="宋体"/>
                <w:sz w:val="21"/>
                <w:szCs w:val="21"/>
              </w:rPr>
            </w:pPr>
            <w:r>
              <w:rPr>
                <w:rFonts w:hint="eastAsia" w:ascii="宋体" w:hAnsi="宋体" w:eastAsia="宋体" w:cs="宋体"/>
                <w:sz w:val="21"/>
                <w:szCs w:val="21"/>
              </w:rPr>
              <w:t>数据来源</w:t>
            </w:r>
          </w:p>
        </w:tc>
      </w:tr>
      <w:tr w14:paraId="325E839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E5B7260">
            <w:pPr>
              <w:spacing w:before="120" w:after="120" w:line="288" w:lineRule="auto"/>
              <w:rPr>
                <w:rFonts w:hint="eastAsia" w:ascii="宋体" w:hAnsi="宋体" w:eastAsia="宋体" w:cs="宋体"/>
                <w:sz w:val="21"/>
                <w:szCs w:val="21"/>
              </w:rPr>
            </w:pPr>
            <w:r>
              <w:rPr>
                <w:rFonts w:hint="eastAsia" w:ascii="宋体" w:hAnsi="宋体" w:eastAsia="宋体" w:cs="宋体"/>
                <w:sz w:val="21"/>
                <w:szCs w:val="21"/>
              </w:rPr>
              <w:t>供给侧（农户问卷）</w:t>
            </w:r>
          </w:p>
        </w:tc>
        <w:tc>
          <w:tcPr>
            <w:tcW w:w="1650" w:type="dxa"/>
            <w:tcMar>
              <w:top w:w="60" w:type="dxa"/>
              <w:left w:w="120" w:type="dxa"/>
              <w:bottom w:w="30" w:type="dxa"/>
              <w:right w:w="120" w:type="dxa"/>
            </w:tcMar>
          </w:tcPr>
          <w:p w14:paraId="353F8A2B">
            <w:pPr>
              <w:spacing w:before="120" w:after="120" w:line="288" w:lineRule="auto"/>
              <w:rPr>
                <w:rFonts w:hint="eastAsia" w:ascii="宋体" w:hAnsi="宋体" w:eastAsia="宋体" w:cs="宋体"/>
                <w:sz w:val="21"/>
                <w:szCs w:val="21"/>
              </w:rPr>
            </w:pPr>
            <w:r>
              <w:rPr>
                <w:rFonts w:hint="eastAsia" w:ascii="宋体" w:hAnsi="宋体" w:eastAsia="宋体" w:cs="宋体"/>
                <w:sz w:val="21"/>
                <w:szCs w:val="21"/>
              </w:rPr>
              <w:t>n=20</w:t>
            </w:r>
          </w:p>
        </w:tc>
        <w:tc>
          <w:tcPr>
            <w:tcW w:w="1650" w:type="dxa"/>
            <w:tcMar>
              <w:top w:w="60" w:type="dxa"/>
              <w:left w:w="120" w:type="dxa"/>
              <w:bottom w:w="30" w:type="dxa"/>
              <w:right w:w="120" w:type="dxa"/>
            </w:tcMar>
          </w:tcPr>
          <w:p w14:paraId="61A45D6C">
            <w:pPr>
              <w:spacing w:before="120" w:after="120" w:line="288" w:lineRule="auto"/>
              <w:rPr>
                <w:rFonts w:hint="eastAsia" w:ascii="宋体" w:hAnsi="宋体" w:eastAsia="宋体" w:cs="宋体"/>
                <w:sz w:val="21"/>
                <w:szCs w:val="21"/>
              </w:rPr>
            </w:pPr>
            <w:r>
              <w:rPr>
                <w:rFonts w:hint="eastAsia" w:ascii="宋体" w:hAnsi="宋体" w:eastAsia="宋体" w:cs="宋体"/>
                <w:sz w:val="21"/>
                <w:szCs w:val="21"/>
              </w:rPr>
              <w:t>果农、普通村民、合作社成员、经营业主</w:t>
            </w:r>
          </w:p>
        </w:tc>
        <w:tc>
          <w:tcPr>
            <w:tcW w:w="1650" w:type="dxa"/>
            <w:tcMar>
              <w:top w:w="60" w:type="dxa"/>
              <w:left w:w="120" w:type="dxa"/>
              <w:bottom w:w="30" w:type="dxa"/>
              <w:right w:w="120" w:type="dxa"/>
            </w:tcMar>
          </w:tcPr>
          <w:p w14:paraId="79A0F536">
            <w:pPr>
              <w:spacing w:before="120" w:after="120" w:line="288" w:lineRule="auto"/>
              <w:rPr>
                <w:rFonts w:hint="eastAsia" w:ascii="宋体" w:hAnsi="宋体" w:eastAsia="宋体" w:cs="宋体"/>
                <w:sz w:val="21"/>
                <w:szCs w:val="21"/>
              </w:rPr>
            </w:pPr>
            <w:r>
              <w:rPr>
                <w:rFonts w:hint="eastAsia" w:ascii="宋体" w:hAnsi="宋体" w:eastAsia="宋体" w:cs="宋体"/>
                <w:sz w:val="21"/>
                <w:szCs w:val="21"/>
              </w:rPr>
              <w:t>生产现状、参与意愿、收益分配预期、数字化能力</w:t>
            </w:r>
          </w:p>
        </w:tc>
        <w:tc>
          <w:tcPr>
            <w:tcW w:w="1650" w:type="dxa"/>
            <w:tcMar>
              <w:top w:w="60" w:type="dxa"/>
              <w:left w:w="120" w:type="dxa"/>
              <w:bottom w:w="30" w:type="dxa"/>
              <w:right w:w="120" w:type="dxa"/>
            </w:tcMar>
          </w:tcPr>
          <w:p w14:paraId="2EEC17EC">
            <w:pPr>
              <w:spacing w:before="120" w:after="120" w:line="288" w:lineRule="auto"/>
              <w:rPr>
                <w:rFonts w:hint="eastAsia" w:ascii="宋体" w:hAnsi="宋体" w:eastAsia="宋体" w:cs="宋体"/>
                <w:sz w:val="21"/>
                <w:szCs w:val="21"/>
              </w:rPr>
            </w:pPr>
            <w:r>
              <w:rPr>
                <w:rFonts w:hint="eastAsia" w:ascii="宋体" w:hAnsi="宋体" w:eastAsia="宋体" w:cs="宋体"/>
                <w:sz w:val="21"/>
                <w:szCs w:val="21"/>
              </w:rPr>
              <w:t>实地入户调研</w:t>
            </w:r>
          </w:p>
        </w:tc>
      </w:tr>
      <w:tr w14:paraId="139BF9E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6EEAFCF0">
            <w:pPr>
              <w:spacing w:before="120" w:after="120" w:line="288" w:lineRule="auto"/>
              <w:rPr>
                <w:rFonts w:hint="eastAsia" w:ascii="宋体" w:hAnsi="宋体" w:eastAsia="宋体" w:cs="宋体"/>
                <w:sz w:val="21"/>
                <w:szCs w:val="21"/>
              </w:rPr>
            </w:pPr>
            <w:r>
              <w:rPr>
                <w:rFonts w:hint="eastAsia" w:ascii="宋体" w:hAnsi="宋体" w:eastAsia="宋体" w:cs="宋体"/>
                <w:sz w:val="21"/>
                <w:szCs w:val="21"/>
              </w:rPr>
              <w:t>需求侧（游客问卷）</w:t>
            </w:r>
          </w:p>
        </w:tc>
        <w:tc>
          <w:tcPr>
            <w:tcW w:w="1650" w:type="dxa"/>
            <w:tcMar>
              <w:top w:w="60" w:type="dxa"/>
              <w:left w:w="120" w:type="dxa"/>
              <w:bottom w:w="30" w:type="dxa"/>
              <w:right w:w="120" w:type="dxa"/>
            </w:tcMar>
          </w:tcPr>
          <w:p w14:paraId="47F66F29">
            <w:pPr>
              <w:spacing w:before="120" w:after="120" w:line="288" w:lineRule="auto"/>
              <w:rPr>
                <w:rFonts w:hint="eastAsia" w:ascii="宋体" w:hAnsi="宋体" w:eastAsia="宋体" w:cs="宋体"/>
                <w:sz w:val="21"/>
                <w:szCs w:val="21"/>
              </w:rPr>
            </w:pPr>
            <w:r>
              <w:rPr>
                <w:rFonts w:hint="eastAsia" w:ascii="宋体" w:hAnsi="宋体" w:eastAsia="宋体" w:cs="宋体"/>
                <w:sz w:val="21"/>
                <w:szCs w:val="21"/>
              </w:rPr>
              <w:t>n=120</w:t>
            </w:r>
          </w:p>
        </w:tc>
        <w:tc>
          <w:tcPr>
            <w:tcW w:w="1650" w:type="dxa"/>
            <w:tcMar>
              <w:top w:w="60" w:type="dxa"/>
              <w:left w:w="120" w:type="dxa"/>
              <w:bottom w:w="30" w:type="dxa"/>
              <w:right w:w="120" w:type="dxa"/>
            </w:tcMar>
          </w:tcPr>
          <w:p w14:paraId="541347FE">
            <w:pPr>
              <w:spacing w:before="120" w:after="120" w:line="288" w:lineRule="auto"/>
              <w:rPr>
                <w:rFonts w:hint="eastAsia" w:ascii="宋体" w:hAnsi="宋体" w:eastAsia="宋体" w:cs="宋体"/>
                <w:sz w:val="21"/>
                <w:szCs w:val="21"/>
              </w:rPr>
            </w:pPr>
            <w:r>
              <w:rPr>
                <w:rFonts w:hint="eastAsia" w:ascii="宋体" w:hAnsi="宋体" w:eastAsia="宋体" w:cs="宋体"/>
                <w:sz w:val="21"/>
                <w:szCs w:val="21"/>
              </w:rPr>
              <w:t>到访游客（含骑行者）</w:t>
            </w:r>
          </w:p>
        </w:tc>
        <w:tc>
          <w:tcPr>
            <w:tcW w:w="1650" w:type="dxa"/>
            <w:tcMar>
              <w:top w:w="60" w:type="dxa"/>
              <w:left w:w="120" w:type="dxa"/>
              <w:bottom w:w="30" w:type="dxa"/>
              <w:right w:w="120" w:type="dxa"/>
            </w:tcMar>
          </w:tcPr>
          <w:p w14:paraId="02BDBBC9">
            <w:pPr>
              <w:spacing w:before="120" w:after="120" w:line="288" w:lineRule="auto"/>
              <w:rPr>
                <w:rFonts w:hint="eastAsia" w:ascii="宋体" w:hAnsi="宋体" w:eastAsia="宋体" w:cs="宋体"/>
                <w:sz w:val="21"/>
                <w:szCs w:val="21"/>
              </w:rPr>
            </w:pPr>
            <w:r>
              <w:rPr>
                <w:rFonts w:hint="eastAsia" w:ascii="宋体" w:hAnsi="宋体" w:eastAsia="宋体" w:cs="宋体"/>
                <w:sz w:val="21"/>
                <w:szCs w:val="21"/>
              </w:rPr>
              <w:t>满意度、消费行为、复购意愿、骑行兴趣</w:t>
            </w:r>
          </w:p>
        </w:tc>
        <w:tc>
          <w:tcPr>
            <w:tcW w:w="1650" w:type="dxa"/>
            <w:tcMar>
              <w:top w:w="60" w:type="dxa"/>
              <w:left w:w="120" w:type="dxa"/>
              <w:bottom w:w="30" w:type="dxa"/>
              <w:right w:w="120" w:type="dxa"/>
            </w:tcMar>
          </w:tcPr>
          <w:p w14:paraId="43D9BFB2">
            <w:pPr>
              <w:spacing w:before="120" w:after="120" w:line="288" w:lineRule="auto"/>
              <w:rPr>
                <w:rFonts w:hint="eastAsia" w:ascii="宋体" w:hAnsi="宋体" w:eastAsia="宋体" w:cs="宋体"/>
                <w:sz w:val="21"/>
                <w:szCs w:val="21"/>
              </w:rPr>
            </w:pPr>
            <w:r>
              <w:rPr>
                <w:rFonts w:hint="eastAsia" w:ascii="宋体" w:hAnsi="宋体" w:eastAsia="宋体" w:cs="宋体"/>
                <w:sz w:val="21"/>
                <w:szCs w:val="21"/>
              </w:rPr>
              <w:t>樱桃园出口拦截访问</w:t>
            </w:r>
          </w:p>
        </w:tc>
      </w:tr>
      <w:tr w14:paraId="59BA17B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61CF6637">
            <w:pPr>
              <w:spacing w:before="120" w:after="120" w:line="288" w:lineRule="auto"/>
              <w:rPr>
                <w:rFonts w:hint="eastAsia" w:ascii="宋体" w:hAnsi="宋体" w:eastAsia="宋体" w:cs="宋体"/>
                <w:sz w:val="21"/>
                <w:szCs w:val="21"/>
              </w:rPr>
            </w:pPr>
            <w:r>
              <w:rPr>
                <w:rFonts w:hint="eastAsia" w:ascii="宋体" w:hAnsi="宋体" w:eastAsia="宋体" w:cs="宋体"/>
                <w:sz w:val="21"/>
                <w:szCs w:val="21"/>
              </w:rPr>
              <w:t>潜在市场（消费者问卷）</w:t>
            </w:r>
          </w:p>
        </w:tc>
        <w:tc>
          <w:tcPr>
            <w:tcW w:w="1650" w:type="dxa"/>
            <w:tcMar>
              <w:top w:w="60" w:type="dxa"/>
              <w:left w:w="120" w:type="dxa"/>
              <w:bottom w:w="30" w:type="dxa"/>
              <w:right w:w="120" w:type="dxa"/>
            </w:tcMar>
          </w:tcPr>
          <w:p w14:paraId="6C912E82">
            <w:pPr>
              <w:spacing w:before="120" w:after="120" w:line="288" w:lineRule="auto"/>
              <w:rPr>
                <w:rFonts w:hint="eastAsia" w:ascii="宋体" w:hAnsi="宋体" w:eastAsia="宋体" w:cs="宋体"/>
                <w:sz w:val="21"/>
                <w:szCs w:val="21"/>
              </w:rPr>
            </w:pPr>
            <w:r>
              <w:rPr>
                <w:rFonts w:hint="eastAsia" w:ascii="宋体" w:hAnsi="宋体" w:eastAsia="宋体" w:cs="宋体"/>
                <w:sz w:val="21"/>
                <w:szCs w:val="21"/>
              </w:rPr>
              <w:t>n=200</w:t>
            </w:r>
          </w:p>
        </w:tc>
        <w:tc>
          <w:tcPr>
            <w:tcW w:w="1650" w:type="dxa"/>
            <w:tcMar>
              <w:top w:w="60" w:type="dxa"/>
              <w:left w:w="120" w:type="dxa"/>
              <w:bottom w:w="30" w:type="dxa"/>
              <w:right w:w="120" w:type="dxa"/>
            </w:tcMar>
          </w:tcPr>
          <w:p w14:paraId="18B22BF6">
            <w:pPr>
              <w:spacing w:before="120" w:after="120" w:line="288" w:lineRule="auto"/>
              <w:rPr>
                <w:rFonts w:hint="eastAsia" w:ascii="宋体" w:hAnsi="宋体" w:eastAsia="宋体" w:cs="宋体"/>
                <w:sz w:val="21"/>
                <w:szCs w:val="21"/>
              </w:rPr>
            </w:pPr>
            <w:r>
              <w:rPr>
                <w:rFonts w:hint="eastAsia" w:ascii="宋体" w:hAnsi="宋体" w:eastAsia="宋体" w:cs="宋体"/>
                <w:sz w:val="21"/>
                <w:szCs w:val="21"/>
              </w:rPr>
              <w:t>北京城区25-60岁中高收入人群</w:t>
            </w:r>
          </w:p>
        </w:tc>
        <w:tc>
          <w:tcPr>
            <w:tcW w:w="1650" w:type="dxa"/>
            <w:tcMar>
              <w:top w:w="60" w:type="dxa"/>
              <w:left w:w="120" w:type="dxa"/>
              <w:bottom w:w="30" w:type="dxa"/>
              <w:right w:w="120" w:type="dxa"/>
            </w:tcMar>
          </w:tcPr>
          <w:p w14:paraId="064D443A">
            <w:pPr>
              <w:spacing w:before="120" w:after="120" w:line="288" w:lineRule="auto"/>
              <w:rPr>
                <w:rFonts w:hint="eastAsia" w:ascii="宋体" w:hAnsi="宋体" w:eastAsia="宋体" w:cs="宋体"/>
                <w:sz w:val="21"/>
                <w:szCs w:val="21"/>
              </w:rPr>
            </w:pPr>
            <w:r>
              <w:rPr>
                <w:rFonts w:hint="eastAsia" w:ascii="宋体" w:hAnsi="宋体" w:eastAsia="宋体" w:cs="宋体"/>
                <w:sz w:val="21"/>
                <w:szCs w:val="21"/>
              </w:rPr>
              <w:t>产品概念认知、溢价接受度、到访意愿、生活方式</w:t>
            </w:r>
          </w:p>
        </w:tc>
        <w:tc>
          <w:tcPr>
            <w:tcW w:w="1650" w:type="dxa"/>
            <w:tcMar>
              <w:top w:w="60" w:type="dxa"/>
              <w:left w:w="120" w:type="dxa"/>
              <w:bottom w:w="30" w:type="dxa"/>
              <w:right w:w="120" w:type="dxa"/>
            </w:tcMar>
          </w:tcPr>
          <w:p w14:paraId="5D3F1FF6">
            <w:pPr>
              <w:spacing w:before="120" w:after="120" w:line="288" w:lineRule="auto"/>
              <w:rPr>
                <w:rFonts w:hint="eastAsia" w:ascii="宋体" w:hAnsi="宋体" w:eastAsia="宋体" w:cs="宋体"/>
                <w:sz w:val="21"/>
                <w:szCs w:val="21"/>
              </w:rPr>
            </w:pPr>
            <w:r>
              <w:rPr>
                <w:rFonts w:hint="eastAsia" w:ascii="宋体" w:hAnsi="宋体" w:eastAsia="宋体" w:cs="宋体"/>
                <w:sz w:val="21"/>
                <w:szCs w:val="21"/>
              </w:rPr>
              <w:t>线上精准投放</w:t>
            </w:r>
          </w:p>
        </w:tc>
      </w:tr>
    </w:tbl>
    <w:p w14:paraId="532D21F8">
      <w:pPr>
        <w:spacing w:before="120" w:after="120" w:line="288" w:lineRule="auto"/>
        <w:rPr>
          <w:rFonts w:hint="eastAsia" w:ascii="宋体" w:hAnsi="宋体" w:eastAsia="宋体" w:cs="宋体"/>
          <w:sz w:val="21"/>
          <w:szCs w:val="21"/>
        </w:rPr>
      </w:pPr>
      <w:r>
        <w:rPr>
          <w:rFonts w:hint="eastAsia" w:ascii="宋体" w:hAnsi="宋体" w:eastAsia="宋体" w:cs="宋体"/>
          <w:sz w:val="21"/>
          <w:szCs w:val="21"/>
        </w:rPr>
        <w:t>调研实施严格遵循分层随机抽样原则。农户问卷覆盖全村主要劳动力群体，采用普查式入户访谈；游客问卷覆盖2025年樱桃季全周期（5-6月）的不同日期与时段；潜在消费者问卷通过社交媒体定向投放至北京城区，筛选条件为年龄25-60岁、家庭月收入8000元以上、过去半年内有京郊出游经历。</w:t>
      </w:r>
    </w:p>
    <w:p w14:paraId="057D1A6A">
      <w:pPr>
        <w:pStyle w:val="4"/>
        <w:bidi w:val="0"/>
        <w:rPr>
          <w:rFonts w:hint="eastAsia"/>
        </w:rPr>
      </w:pPr>
      <w:bookmarkStart w:id="25" w:name="heading_2"/>
      <w:bookmarkStart w:id="26" w:name="_Toc7457"/>
      <w:r>
        <w:t>3.2.2 供给侧农户数据分析</w:t>
      </w:r>
      <w:bookmarkEnd w:id="25"/>
      <w:bookmarkEnd w:id="26"/>
    </w:p>
    <w:p w14:paraId="2B6AF687">
      <w:pPr>
        <w:spacing w:before="120" w:after="120" w:line="288" w:lineRule="auto"/>
        <w:rPr>
          <w:rFonts w:hint="eastAsia"/>
        </w:rPr>
      </w:pPr>
      <w:r>
        <w:rPr>
          <w:rFonts w:ascii="Arial" w:hAnsi="Arial" w:eastAsia="等线" w:cs="Arial"/>
        </w:rPr>
        <w:t>农户问卷数据揭示了村庄供给侧的结构性特征与参与意愿分布，为后续</w:t>
      </w:r>
      <w:r>
        <w:rPr>
          <w:rFonts w:ascii="Arial" w:hAnsi="Arial" w:eastAsia="等线" w:cs="Arial"/>
          <w:b/>
        </w:rPr>
        <w:t>三岗合一</w:t>
      </w:r>
      <w:r>
        <w:rPr>
          <w:rFonts w:ascii="Arial" w:hAnsi="Arial" w:eastAsia="等线" w:cs="Arial"/>
        </w:rPr>
        <w:t>人力配置与数字化平台设计提供关键依据。</w:t>
      </w:r>
    </w:p>
    <w:p w14:paraId="41805E5A">
      <w:pPr>
        <w:spacing w:before="260" w:after="120" w:line="288" w:lineRule="auto"/>
        <w:outlineLvl w:val="3"/>
        <w:rPr>
          <w:rFonts w:hint="eastAsia"/>
        </w:rPr>
      </w:pPr>
      <w:bookmarkStart w:id="27" w:name="heading_3"/>
      <w:r>
        <w:rPr>
          <w:rFonts w:ascii="Arial" w:hAnsi="Arial" w:eastAsia="等线" w:cs="Arial"/>
          <w:b/>
          <w:sz w:val="28"/>
        </w:rPr>
        <w:t>（1）人口统计特征</w:t>
      </w:r>
      <w:bookmarkEnd w:id="27"/>
    </w:p>
    <w:p w14:paraId="74B07D35">
      <w:pPr>
        <w:spacing w:before="120" w:after="120" w:line="288" w:lineRule="auto"/>
        <w:rPr>
          <w:rFonts w:hint="eastAsia"/>
        </w:rPr>
      </w:pPr>
      <w:r>
        <w:rPr>
          <w:rFonts w:ascii="Arial" w:hAnsi="Arial" w:eastAsia="等线" w:cs="Arial"/>
        </w:rPr>
        <w:t>调研显示，样本中果农占比70%（14/20），构成樱桃产业的核心经营主体；普通村民占20%（4/20），为潜在的服务岗位供给者；合作社成员与经营业主各占5%，体现组织化程度仍处初级阶段。</w:t>
      </w:r>
    </w:p>
    <w:p w14:paraId="31C04447">
      <w:pPr>
        <w:spacing w:before="120" w:after="120" w:line="288" w:lineRule="auto"/>
        <w:rPr>
          <w:rFonts w:ascii="Arial" w:hAnsi="Arial" w:eastAsia="等线" w:cs="Arial"/>
        </w:rPr>
      </w:pPr>
      <w:r>
        <w:rPr>
          <w:rFonts w:ascii="Arial" w:hAnsi="Arial" w:eastAsia="等线" w:cs="Arial"/>
        </w:rPr>
        <w:t>年龄结构呈现显著老龄化特征：60岁以上占40%（8/20），45-60岁占40%，30-45岁仅占20%。该数据与策划书预估的45%老龄化率基本吻合，验证</w:t>
      </w:r>
      <w:r>
        <w:rPr>
          <w:rFonts w:ascii="Arial" w:hAnsi="Arial" w:eastAsia="等线" w:cs="Arial"/>
          <w:b/>
        </w:rPr>
        <w:t>认养管家+驿站巡检+研学接待</w:t>
      </w:r>
      <w:r>
        <w:rPr>
          <w:rFonts w:ascii="Arial" w:hAnsi="Arial" w:eastAsia="等线" w:cs="Arial"/>
        </w:rPr>
        <w:t>三岗合一设计的必要性——通过岗位合并降低对单一技能的依赖，适应老龄化劳动力结构。</w:t>
      </w:r>
    </w:p>
    <w:p w14:paraId="5C4B29BC">
      <w:pPr>
        <w:pStyle w:val="19"/>
        <w:jc w:val="left"/>
        <w:rPr>
          <w:lang w:eastAsia="zh-CN"/>
        </w:rPr>
      </w:pPr>
      <w:r>
        <w:drawing>
          <wp:inline distT="0" distB="0" distL="0" distR="0">
            <wp:extent cx="2478405" cy="1474470"/>
            <wp:effectExtent l="0" t="0" r="10795" b="11430"/>
            <wp:docPr id="1683219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1961" name="图片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478405" cy="1474470"/>
                    </a:xfrm>
                    <a:prstGeom prst="rect">
                      <a:avLst/>
                    </a:prstGeom>
                    <a:noFill/>
                    <a:ln>
                      <a:noFill/>
                    </a:ln>
                  </pic:spPr>
                </pic:pic>
              </a:graphicData>
            </a:graphic>
          </wp:inline>
        </w:drawing>
      </w:r>
      <w:r>
        <w:drawing>
          <wp:inline distT="0" distB="0" distL="0" distR="0">
            <wp:extent cx="2463800" cy="1495425"/>
            <wp:effectExtent l="0" t="0" r="0" b="3175"/>
            <wp:docPr id="1410429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29472" name="图片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463800" cy="1495425"/>
                    </a:xfrm>
                    <a:prstGeom prst="rect">
                      <a:avLst/>
                    </a:prstGeom>
                    <a:noFill/>
                    <a:ln>
                      <a:noFill/>
                    </a:ln>
                  </pic:spPr>
                </pic:pic>
              </a:graphicData>
            </a:graphic>
          </wp:inline>
        </w:drawing>
      </w:r>
    </w:p>
    <w:p w14:paraId="1060CEE2">
      <w:pPr>
        <w:spacing w:before="120" w:after="120" w:line="288" w:lineRule="auto"/>
        <w:rPr>
          <w:rFonts w:hint="eastAsia"/>
        </w:rPr>
      </w:pPr>
      <w:r>
        <w:t>图3-1 农户身份结构分布</w:t>
      </w:r>
      <w:r>
        <w:rPr>
          <w:rFonts w:hint="eastAsia"/>
          <w:lang w:val="en-US" w:eastAsia="zh-CN"/>
        </w:rPr>
        <w:t xml:space="preserve">                </w:t>
      </w:r>
      <w:r>
        <w:t>图3-2 农户年龄结构分布</w:t>
      </w:r>
    </w:p>
    <w:p w14:paraId="2626E066">
      <w:pPr>
        <w:spacing w:before="260" w:after="120" w:line="288" w:lineRule="auto"/>
        <w:outlineLvl w:val="3"/>
        <w:rPr>
          <w:rFonts w:hint="eastAsia"/>
        </w:rPr>
      </w:pPr>
      <w:bookmarkStart w:id="28" w:name="heading_4"/>
      <w:r>
        <w:rPr>
          <w:rFonts w:ascii="Arial" w:hAnsi="Arial" w:eastAsia="等线" w:cs="Arial"/>
          <w:b/>
          <w:sz w:val="28"/>
        </w:rPr>
        <w:t>（2）参与意愿与能力评估</w:t>
      </w:r>
      <w:bookmarkEnd w:id="28"/>
    </w:p>
    <w:p w14:paraId="3C7B7F5F">
      <w:pPr>
        <w:spacing w:before="120" w:after="120" w:line="288" w:lineRule="auto"/>
        <w:rPr>
          <w:rFonts w:hint="eastAsia"/>
        </w:rPr>
      </w:pPr>
      <w:r>
        <w:rPr>
          <w:rFonts w:ascii="Arial" w:hAnsi="Arial" w:eastAsia="等线" w:cs="Arial"/>
        </w:rPr>
        <w:t>农户参与意愿呈现</w:t>
      </w:r>
      <w:r>
        <w:rPr>
          <w:rFonts w:ascii="Arial" w:hAnsi="Arial" w:eastAsia="等线" w:cs="Arial"/>
          <w:b/>
        </w:rPr>
        <w:t>三高一低</w:t>
      </w:r>
      <w:r>
        <w:rPr>
          <w:rFonts w:ascii="Arial" w:hAnsi="Arial" w:eastAsia="等线" w:cs="Arial"/>
        </w:rPr>
        <w:t>特征：品牌参与高意愿（≥4分）占比75.0%，服务岗位高意愿占比45.0%，溢价接受高意愿仅25.0%，数字化高意愿仅10.0%，高熟练度（智能手机操作）占比为0。</w:t>
      </w:r>
    </w:p>
    <w:p w14:paraId="68D242F0">
      <w:pPr>
        <w:spacing w:before="120" w:after="120" w:line="288" w:lineRule="auto"/>
        <w:rPr>
          <w:rFonts w:hint="eastAsia"/>
        </w:rPr>
      </w:pPr>
      <w:r>
        <w:rPr>
          <w:rFonts w:ascii="Arial" w:hAnsi="Arial" w:eastAsia="等线" w:cs="Arial"/>
        </w:rPr>
        <w:t>该数据直接支撑策划书两项关键设计决策：一是</w:t>
      </w:r>
      <w:r>
        <w:rPr>
          <w:rFonts w:ascii="Arial" w:hAnsi="Arial" w:eastAsia="等线" w:cs="Arial"/>
          <w:b/>
        </w:rPr>
        <w:t>极简小程序</w:t>
      </w:r>
      <w:r>
        <w:rPr>
          <w:rFonts w:ascii="Arial" w:hAnsi="Arial" w:eastAsia="等线" w:cs="Arial"/>
        </w:rPr>
        <w:t>交互设计——鉴于90%农户数字化意愿低且熟练度为零，数字平台必须实现</w:t>
      </w:r>
      <w:r>
        <w:rPr>
          <w:rFonts w:ascii="Arial" w:hAnsi="Arial" w:eastAsia="等线" w:cs="Arial"/>
          <w:b/>
        </w:rPr>
        <w:t>一键操作</w:t>
      </w:r>
      <w:r>
        <w:rPr>
          <w:rFonts w:ascii="Arial" w:hAnsi="Arial" w:eastAsia="等线" w:cs="Arial"/>
        </w:rPr>
        <w:t>，认养管家仅承担拍照上传等基础动作，复杂操作由后台自动处理；二是</w:t>
      </w:r>
      <w:r>
        <w:rPr>
          <w:rFonts w:ascii="Arial" w:hAnsi="Arial" w:eastAsia="等线" w:cs="Arial"/>
          <w:b/>
        </w:rPr>
        <w:t>三岗合一</w:t>
      </w:r>
      <w:r>
        <w:rPr>
          <w:rFonts w:ascii="Arial" w:hAnsi="Arial" w:eastAsia="等线" w:cs="Arial"/>
        </w:rPr>
        <w:t>的人力配置——45%的服务岗位意愿足以支撑合并后的综合岗位设置，避免单独设置高门槛的技术岗位。</w:t>
      </w:r>
    </w:p>
    <w:p w14:paraId="655EF2D0">
      <w:pPr>
        <w:spacing w:before="120" w:after="120" w:line="288" w:lineRule="auto"/>
        <w:rPr>
          <w:rFonts w:hint="eastAsia"/>
        </w:rPr>
      </w:pPr>
      <w:r>
        <w:rPr>
          <w:rFonts w:ascii="Arial" w:hAnsi="Arial" w:eastAsia="等线" w:cs="Arial"/>
        </w:rPr>
        <w:t>表 农户参与意愿强度指标（n=20）</w:t>
      </w:r>
    </w:p>
    <w:tbl>
      <w:tblPr>
        <w:tblStyle w:val="1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0" w:type="dxa"/>
          <w:bottom w:w="0" w:type="dxa"/>
          <w:right w:w="0" w:type="dxa"/>
        </w:tblCellMar>
      </w:tblPr>
      <w:tblGrid>
        <w:gridCol w:w="1988"/>
        <w:gridCol w:w="1262"/>
        <w:gridCol w:w="864"/>
        <w:gridCol w:w="4432"/>
      </w:tblGrid>
      <w:tr w14:paraId="4515D5C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0" w:type="dxa"/>
            <w:bottom w:w="0" w:type="dxa"/>
            <w:right w:w="0" w:type="dxa"/>
          </w:tblCellMar>
        </w:tblPrEx>
        <w:tc>
          <w:tcPr>
            <w:tcW w:w="0" w:type="auto"/>
            <w:tcMar>
              <w:top w:w="60" w:type="dxa"/>
              <w:left w:w="120" w:type="dxa"/>
              <w:bottom w:w="30" w:type="dxa"/>
              <w:right w:w="120" w:type="dxa"/>
            </w:tcMar>
          </w:tcPr>
          <w:p w14:paraId="0695F88C">
            <w:pPr>
              <w:spacing w:before="120" w:after="120" w:line="288" w:lineRule="auto"/>
              <w:rPr>
                <w:rFonts w:hint="eastAsia"/>
              </w:rPr>
            </w:pPr>
            <w:r>
              <w:rPr>
                <w:rFonts w:ascii="Arial" w:hAnsi="Arial" w:eastAsia="等线" w:cs="Arial"/>
              </w:rPr>
              <w:t>指标</w:t>
            </w:r>
          </w:p>
        </w:tc>
        <w:tc>
          <w:tcPr>
            <w:tcW w:w="0" w:type="auto"/>
            <w:tcMar>
              <w:top w:w="60" w:type="dxa"/>
              <w:left w:w="120" w:type="dxa"/>
              <w:bottom w:w="30" w:type="dxa"/>
              <w:right w:w="120" w:type="dxa"/>
            </w:tcMar>
          </w:tcPr>
          <w:p w14:paraId="426CC450">
            <w:pPr>
              <w:spacing w:before="120" w:after="120" w:line="288" w:lineRule="auto"/>
              <w:rPr>
                <w:rFonts w:hint="eastAsia"/>
              </w:rPr>
            </w:pPr>
            <w:r>
              <w:rPr>
                <w:rFonts w:ascii="Arial" w:hAnsi="Arial" w:eastAsia="等线" w:cs="Arial"/>
              </w:rPr>
              <w:t>高意愿人数</w:t>
            </w:r>
          </w:p>
        </w:tc>
        <w:tc>
          <w:tcPr>
            <w:tcW w:w="0" w:type="auto"/>
            <w:tcMar>
              <w:top w:w="60" w:type="dxa"/>
              <w:left w:w="120" w:type="dxa"/>
              <w:bottom w:w="30" w:type="dxa"/>
              <w:right w:w="120" w:type="dxa"/>
            </w:tcMar>
          </w:tcPr>
          <w:p w14:paraId="61B40667">
            <w:pPr>
              <w:spacing w:before="120" w:after="120" w:line="288" w:lineRule="auto"/>
              <w:rPr>
                <w:rFonts w:hint="eastAsia"/>
              </w:rPr>
            </w:pPr>
            <w:r>
              <w:rPr>
                <w:rFonts w:ascii="Arial" w:hAnsi="Arial" w:eastAsia="等线" w:cs="Arial"/>
              </w:rPr>
              <w:t>占比</w:t>
            </w:r>
          </w:p>
        </w:tc>
        <w:tc>
          <w:tcPr>
            <w:tcW w:w="0" w:type="auto"/>
            <w:tcMar>
              <w:top w:w="60" w:type="dxa"/>
              <w:left w:w="120" w:type="dxa"/>
              <w:bottom w:w="30" w:type="dxa"/>
              <w:right w:w="120" w:type="dxa"/>
            </w:tcMar>
          </w:tcPr>
          <w:p w14:paraId="52669959">
            <w:pPr>
              <w:spacing w:before="120" w:after="120" w:line="288" w:lineRule="auto"/>
              <w:rPr>
                <w:rFonts w:hint="eastAsia"/>
              </w:rPr>
            </w:pPr>
            <w:r>
              <w:rPr>
                <w:rFonts w:ascii="Arial" w:hAnsi="Arial" w:eastAsia="等线" w:cs="Arial"/>
              </w:rPr>
              <w:t>策划书应用</w:t>
            </w:r>
          </w:p>
        </w:tc>
      </w:tr>
      <w:tr w14:paraId="362C3DD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0" w:type="dxa"/>
            <w:bottom w:w="0" w:type="dxa"/>
            <w:right w:w="0" w:type="dxa"/>
          </w:tblCellMar>
        </w:tblPrEx>
        <w:tc>
          <w:tcPr>
            <w:tcW w:w="0" w:type="auto"/>
            <w:tcMar>
              <w:top w:w="60" w:type="dxa"/>
              <w:left w:w="120" w:type="dxa"/>
              <w:bottom w:w="30" w:type="dxa"/>
              <w:right w:w="120" w:type="dxa"/>
            </w:tcMar>
          </w:tcPr>
          <w:p w14:paraId="71B81DF1">
            <w:pPr>
              <w:spacing w:before="120" w:after="120" w:line="288" w:lineRule="auto"/>
              <w:rPr>
                <w:rFonts w:hint="eastAsia"/>
              </w:rPr>
            </w:pPr>
            <w:r>
              <w:rPr>
                <w:rFonts w:ascii="Arial" w:hAnsi="Arial" w:eastAsia="等线" w:cs="Arial"/>
              </w:rPr>
              <w:t>品牌参与意愿(≥4分)</w:t>
            </w:r>
          </w:p>
        </w:tc>
        <w:tc>
          <w:tcPr>
            <w:tcW w:w="0" w:type="auto"/>
            <w:tcMar>
              <w:top w:w="60" w:type="dxa"/>
              <w:left w:w="120" w:type="dxa"/>
              <w:bottom w:w="30" w:type="dxa"/>
              <w:right w:w="120" w:type="dxa"/>
            </w:tcMar>
          </w:tcPr>
          <w:p w14:paraId="3F61AC26">
            <w:pPr>
              <w:spacing w:before="120" w:after="120" w:line="288" w:lineRule="auto"/>
              <w:rPr>
                <w:rFonts w:hint="eastAsia"/>
              </w:rPr>
            </w:pPr>
            <w:r>
              <w:rPr>
                <w:rFonts w:ascii="Arial" w:hAnsi="Arial" w:eastAsia="等线" w:cs="Arial"/>
              </w:rPr>
              <w:t>15/20</w:t>
            </w:r>
          </w:p>
        </w:tc>
        <w:tc>
          <w:tcPr>
            <w:tcW w:w="0" w:type="auto"/>
            <w:tcMar>
              <w:top w:w="60" w:type="dxa"/>
              <w:left w:w="120" w:type="dxa"/>
              <w:bottom w:w="30" w:type="dxa"/>
              <w:right w:w="120" w:type="dxa"/>
            </w:tcMar>
          </w:tcPr>
          <w:p w14:paraId="2116028D">
            <w:pPr>
              <w:spacing w:before="120" w:after="120" w:line="288" w:lineRule="auto"/>
              <w:rPr>
                <w:rFonts w:hint="eastAsia"/>
              </w:rPr>
            </w:pPr>
            <w:r>
              <w:rPr>
                <w:rFonts w:ascii="Arial" w:hAnsi="Arial" w:eastAsia="等线" w:cs="Arial"/>
              </w:rPr>
              <w:t>75.0%</w:t>
            </w:r>
          </w:p>
        </w:tc>
        <w:tc>
          <w:tcPr>
            <w:tcW w:w="0" w:type="auto"/>
            <w:tcMar>
              <w:top w:w="60" w:type="dxa"/>
              <w:left w:w="120" w:type="dxa"/>
              <w:bottom w:w="30" w:type="dxa"/>
              <w:right w:w="120" w:type="dxa"/>
            </w:tcMar>
          </w:tcPr>
          <w:p w14:paraId="646C9F68">
            <w:pPr>
              <w:spacing w:before="120" w:after="120" w:line="288" w:lineRule="auto"/>
              <w:rPr>
                <w:rFonts w:hint="eastAsia"/>
              </w:rPr>
            </w:pPr>
            <w:r>
              <w:rPr>
                <w:rFonts w:ascii="Arial" w:hAnsi="Arial" w:eastAsia="等线" w:cs="Arial"/>
              </w:rPr>
              <w:t>支持品牌统一销售策略</w:t>
            </w:r>
          </w:p>
        </w:tc>
      </w:tr>
      <w:tr w14:paraId="2C7689E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0" w:type="dxa"/>
            <w:bottom w:w="0" w:type="dxa"/>
            <w:right w:w="0" w:type="dxa"/>
          </w:tblCellMar>
        </w:tblPrEx>
        <w:tc>
          <w:tcPr>
            <w:tcW w:w="0" w:type="auto"/>
            <w:tcMar>
              <w:top w:w="60" w:type="dxa"/>
              <w:left w:w="120" w:type="dxa"/>
              <w:bottom w:w="30" w:type="dxa"/>
              <w:right w:w="120" w:type="dxa"/>
            </w:tcMar>
          </w:tcPr>
          <w:p w14:paraId="5A4DFC09">
            <w:pPr>
              <w:spacing w:before="120" w:after="120" w:line="288" w:lineRule="auto"/>
              <w:rPr>
                <w:rFonts w:hint="eastAsia"/>
              </w:rPr>
            </w:pPr>
            <w:r>
              <w:rPr>
                <w:rFonts w:ascii="Arial" w:hAnsi="Arial" w:eastAsia="等线" w:cs="Arial"/>
              </w:rPr>
              <w:t>服务岗位意愿(≥4分)</w:t>
            </w:r>
          </w:p>
        </w:tc>
        <w:tc>
          <w:tcPr>
            <w:tcW w:w="0" w:type="auto"/>
            <w:tcMar>
              <w:top w:w="60" w:type="dxa"/>
              <w:left w:w="120" w:type="dxa"/>
              <w:bottom w:w="30" w:type="dxa"/>
              <w:right w:w="120" w:type="dxa"/>
            </w:tcMar>
          </w:tcPr>
          <w:p w14:paraId="7CCABA4F">
            <w:pPr>
              <w:spacing w:before="120" w:after="120" w:line="288" w:lineRule="auto"/>
              <w:rPr>
                <w:rFonts w:hint="eastAsia"/>
              </w:rPr>
            </w:pPr>
            <w:r>
              <w:rPr>
                <w:rFonts w:ascii="Arial" w:hAnsi="Arial" w:eastAsia="等线" w:cs="Arial"/>
              </w:rPr>
              <w:t>9/20</w:t>
            </w:r>
          </w:p>
        </w:tc>
        <w:tc>
          <w:tcPr>
            <w:tcW w:w="0" w:type="auto"/>
            <w:tcMar>
              <w:top w:w="60" w:type="dxa"/>
              <w:left w:w="120" w:type="dxa"/>
              <w:bottom w:w="30" w:type="dxa"/>
              <w:right w:w="120" w:type="dxa"/>
            </w:tcMar>
          </w:tcPr>
          <w:p w14:paraId="085A6F20">
            <w:pPr>
              <w:spacing w:before="120" w:after="120" w:line="288" w:lineRule="auto"/>
              <w:rPr>
                <w:rFonts w:hint="eastAsia"/>
              </w:rPr>
            </w:pPr>
            <w:r>
              <w:rPr>
                <w:rFonts w:ascii="Arial" w:hAnsi="Arial" w:eastAsia="等线" w:cs="Arial"/>
              </w:rPr>
              <w:t>45.0%</w:t>
            </w:r>
          </w:p>
        </w:tc>
        <w:tc>
          <w:tcPr>
            <w:tcW w:w="0" w:type="auto"/>
            <w:tcMar>
              <w:top w:w="60" w:type="dxa"/>
              <w:left w:w="120" w:type="dxa"/>
              <w:bottom w:w="30" w:type="dxa"/>
              <w:right w:w="120" w:type="dxa"/>
            </w:tcMar>
          </w:tcPr>
          <w:p w14:paraId="1065CD02">
            <w:pPr>
              <w:spacing w:before="120" w:after="120" w:line="288" w:lineRule="auto"/>
              <w:rPr>
                <w:rFonts w:hint="eastAsia"/>
              </w:rPr>
            </w:pPr>
            <w:r>
              <w:rPr>
                <w:rFonts w:ascii="Arial" w:hAnsi="Arial" w:eastAsia="等线" w:cs="Arial"/>
              </w:rPr>
              <w:t>支撑"认养管家+驿站巡检+研学接待"三岗合一设计</w:t>
            </w:r>
          </w:p>
        </w:tc>
      </w:tr>
      <w:tr w14:paraId="2E78A26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0" w:type="dxa"/>
            <w:bottom w:w="0" w:type="dxa"/>
            <w:right w:w="0" w:type="dxa"/>
          </w:tblCellMar>
        </w:tblPrEx>
        <w:tc>
          <w:tcPr>
            <w:tcW w:w="0" w:type="auto"/>
            <w:tcMar>
              <w:top w:w="60" w:type="dxa"/>
              <w:left w:w="120" w:type="dxa"/>
              <w:bottom w:w="30" w:type="dxa"/>
              <w:right w:w="120" w:type="dxa"/>
            </w:tcMar>
          </w:tcPr>
          <w:p w14:paraId="5A9594B9">
            <w:pPr>
              <w:spacing w:before="120" w:after="120" w:line="288" w:lineRule="auto"/>
              <w:rPr>
                <w:rFonts w:hint="eastAsia"/>
              </w:rPr>
            </w:pPr>
            <w:r>
              <w:rPr>
                <w:rFonts w:ascii="Arial" w:hAnsi="Arial" w:eastAsia="等线" w:cs="Arial"/>
              </w:rPr>
              <w:t>溢价接受意愿(≥4分)</w:t>
            </w:r>
          </w:p>
        </w:tc>
        <w:tc>
          <w:tcPr>
            <w:tcW w:w="0" w:type="auto"/>
            <w:tcMar>
              <w:top w:w="60" w:type="dxa"/>
              <w:left w:w="120" w:type="dxa"/>
              <w:bottom w:w="30" w:type="dxa"/>
              <w:right w:w="120" w:type="dxa"/>
            </w:tcMar>
          </w:tcPr>
          <w:p w14:paraId="37775852">
            <w:pPr>
              <w:spacing w:before="120" w:after="120" w:line="288" w:lineRule="auto"/>
              <w:rPr>
                <w:rFonts w:hint="eastAsia"/>
              </w:rPr>
            </w:pPr>
            <w:r>
              <w:rPr>
                <w:rFonts w:ascii="Arial" w:hAnsi="Arial" w:eastAsia="等线" w:cs="Arial"/>
              </w:rPr>
              <w:t>5/20</w:t>
            </w:r>
          </w:p>
        </w:tc>
        <w:tc>
          <w:tcPr>
            <w:tcW w:w="0" w:type="auto"/>
            <w:tcMar>
              <w:top w:w="60" w:type="dxa"/>
              <w:left w:w="120" w:type="dxa"/>
              <w:bottom w:w="30" w:type="dxa"/>
              <w:right w:w="120" w:type="dxa"/>
            </w:tcMar>
          </w:tcPr>
          <w:p w14:paraId="788416D4">
            <w:pPr>
              <w:spacing w:before="120" w:after="120" w:line="288" w:lineRule="auto"/>
              <w:rPr>
                <w:rFonts w:hint="eastAsia"/>
              </w:rPr>
            </w:pPr>
            <w:r>
              <w:rPr>
                <w:rFonts w:ascii="Arial" w:hAnsi="Arial" w:eastAsia="等线" w:cs="Arial"/>
              </w:rPr>
              <w:t>25.0%</w:t>
            </w:r>
          </w:p>
        </w:tc>
        <w:tc>
          <w:tcPr>
            <w:tcW w:w="0" w:type="auto"/>
            <w:tcMar>
              <w:top w:w="60" w:type="dxa"/>
              <w:left w:w="120" w:type="dxa"/>
              <w:bottom w:w="30" w:type="dxa"/>
              <w:right w:w="120" w:type="dxa"/>
            </w:tcMar>
          </w:tcPr>
          <w:p w14:paraId="7E6CC96F">
            <w:pPr>
              <w:spacing w:before="120" w:after="120" w:line="288" w:lineRule="auto"/>
              <w:rPr>
                <w:rFonts w:hint="eastAsia"/>
              </w:rPr>
            </w:pPr>
            <w:r>
              <w:rPr>
                <w:rFonts w:ascii="Arial" w:hAnsi="Arial" w:eastAsia="等线" w:cs="Arial"/>
              </w:rPr>
              <w:t>印证需通过"水源地认证+认养绑定"建立溢价逻辑</w:t>
            </w:r>
          </w:p>
        </w:tc>
      </w:tr>
      <w:tr w14:paraId="6E4F42B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0" w:type="dxa"/>
            <w:bottom w:w="0" w:type="dxa"/>
            <w:right w:w="0" w:type="dxa"/>
          </w:tblCellMar>
        </w:tblPrEx>
        <w:tc>
          <w:tcPr>
            <w:tcW w:w="0" w:type="auto"/>
            <w:tcMar>
              <w:top w:w="60" w:type="dxa"/>
              <w:left w:w="120" w:type="dxa"/>
              <w:bottom w:w="30" w:type="dxa"/>
              <w:right w:w="120" w:type="dxa"/>
            </w:tcMar>
          </w:tcPr>
          <w:p w14:paraId="64FC4095">
            <w:pPr>
              <w:spacing w:before="120" w:after="120" w:line="288" w:lineRule="auto"/>
              <w:rPr>
                <w:rFonts w:hint="eastAsia"/>
              </w:rPr>
            </w:pPr>
            <w:r>
              <w:rPr>
                <w:rFonts w:ascii="Arial" w:hAnsi="Arial" w:eastAsia="等线" w:cs="Arial"/>
              </w:rPr>
              <w:t>数字化意愿(≥4分)</w:t>
            </w:r>
          </w:p>
        </w:tc>
        <w:tc>
          <w:tcPr>
            <w:tcW w:w="0" w:type="auto"/>
            <w:tcMar>
              <w:top w:w="60" w:type="dxa"/>
              <w:left w:w="120" w:type="dxa"/>
              <w:bottom w:w="30" w:type="dxa"/>
              <w:right w:w="120" w:type="dxa"/>
            </w:tcMar>
          </w:tcPr>
          <w:p w14:paraId="3C46802D">
            <w:pPr>
              <w:spacing w:before="120" w:after="120" w:line="288" w:lineRule="auto"/>
              <w:rPr>
                <w:rFonts w:hint="eastAsia"/>
              </w:rPr>
            </w:pPr>
            <w:r>
              <w:rPr>
                <w:rFonts w:ascii="Arial" w:hAnsi="Arial" w:eastAsia="等线" w:cs="Arial"/>
              </w:rPr>
              <w:t>2/20</w:t>
            </w:r>
          </w:p>
        </w:tc>
        <w:tc>
          <w:tcPr>
            <w:tcW w:w="0" w:type="auto"/>
            <w:tcMar>
              <w:top w:w="60" w:type="dxa"/>
              <w:left w:w="120" w:type="dxa"/>
              <w:bottom w:w="30" w:type="dxa"/>
              <w:right w:w="120" w:type="dxa"/>
            </w:tcMar>
          </w:tcPr>
          <w:p w14:paraId="77B01556">
            <w:pPr>
              <w:spacing w:before="120" w:after="120" w:line="288" w:lineRule="auto"/>
              <w:rPr>
                <w:rFonts w:hint="eastAsia"/>
              </w:rPr>
            </w:pPr>
            <w:r>
              <w:rPr>
                <w:rFonts w:ascii="Arial" w:hAnsi="Arial" w:eastAsia="等线" w:cs="Arial"/>
              </w:rPr>
              <w:t>10.0%</w:t>
            </w:r>
          </w:p>
        </w:tc>
        <w:tc>
          <w:tcPr>
            <w:tcW w:w="0" w:type="auto"/>
            <w:tcMar>
              <w:top w:w="60" w:type="dxa"/>
              <w:left w:w="120" w:type="dxa"/>
              <w:bottom w:w="30" w:type="dxa"/>
              <w:right w:w="120" w:type="dxa"/>
            </w:tcMar>
          </w:tcPr>
          <w:p w14:paraId="392F8006">
            <w:pPr>
              <w:spacing w:before="120" w:after="120" w:line="288" w:lineRule="auto"/>
              <w:rPr>
                <w:rFonts w:hint="eastAsia"/>
              </w:rPr>
            </w:pPr>
            <w:r>
              <w:rPr>
                <w:rFonts w:ascii="Arial" w:hAnsi="Arial" w:eastAsia="等线" w:cs="Arial"/>
              </w:rPr>
              <w:t>关键发现：数字化工具必须极简设计</w:t>
            </w:r>
          </w:p>
        </w:tc>
      </w:tr>
      <w:tr w14:paraId="1B64589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0" w:type="dxa"/>
            <w:bottom w:w="0" w:type="dxa"/>
            <w:right w:w="0" w:type="dxa"/>
          </w:tblCellMar>
        </w:tblPrEx>
        <w:tc>
          <w:tcPr>
            <w:tcW w:w="0" w:type="auto"/>
            <w:tcMar>
              <w:top w:w="60" w:type="dxa"/>
              <w:left w:w="120" w:type="dxa"/>
              <w:bottom w:w="30" w:type="dxa"/>
              <w:right w:w="120" w:type="dxa"/>
            </w:tcMar>
          </w:tcPr>
          <w:p w14:paraId="71BF4CD4">
            <w:pPr>
              <w:spacing w:before="120" w:after="120" w:line="288" w:lineRule="auto"/>
              <w:rPr>
                <w:rFonts w:hint="eastAsia"/>
              </w:rPr>
            </w:pPr>
            <w:r>
              <w:rPr>
                <w:rFonts w:ascii="Arial" w:hAnsi="Arial" w:eastAsia="等线" w:cs="Arial"/>
              </w:rPr>
              <w:t>高熟练度(≥4分)</w:t>
            </w:r>
          </w:p>
        </w:tc>
        <w:tc>
          <w:tcPr>
            <w:tcW w:w="0" w:type="auto"/>
            <w:tcMar>
              <w:top w:w="60" w:type="dxa"/>
              <w:left w:w="120" w:type="dxa"/>
              <w:bottom w:w="30" w:type="dxa"/>
              <w:right w:w="120" w:type="dxa"/>
            </w:tcMar>
          </w:tcPr>
          <w:p w14:paraId="52F36603">
            <w:pPr>
              <w:spacing w:before="120" w:after="120" w:line="288" w:lineRule="auto"/>
              <w:rPr>
                <w:rFonts w:hint="eastAsia"/>
              </w:rPr>
            </w:pPr>
            <w:r>
              <w:rPr>
                <w:rFonts w:ascii="Arial" w:hAnsi="Arial" w:eastAsia="等线" w:cs="Arial"/>
              </w:rPr>
              <w:t>0/20</w:t>
            </w:r>
          </w:p>
        </w:tc>
        <w:tc>
          <w:tcPr>
            <w:tcW w:w="0" w:type="auto"/>
            <w:tcMar>
              <w:top w:w="60" w:type="dxa"/>
              <w:left w:w="120" w:type="dxa"/>
              <w:bottom w:w="30" w:type="dxa"/>
              <w:right w:w="120" w:type="dxa"/>
            </w:tcMar>
          </w:tcPr>
          <w:p w14:paraId="5E9D6AD0">
            <w:pPr>
              <w:spacing w:before="120" w:after="120" w:line="288" w:lineRule="auto"/>
              <w:rPr>
                <w:rFonts w:hint="eastAsia"/>
              </w:rPr>
            </w:pPr>
            <w:r>
              <w:rPr>
                <w:rFonts w:ascii="Arial" w:hAnsi="Arial" w:eastAsia="等线" w:cs="Arial"/>
              </w:rPr>
              <w:t>0.0%</w:t>
            </w:r>
          </w:p>
        </w:tc>
        <w:tc>
          <w:tcPr>
            <w:tcW w:w="0" w:type="auto"/>
            <w:tcMar>
              <w:top w:w="60" w:type="dxa"/>
              <w:left w:w="120" w:type="dxa"/>
              <w:bottom w:w="30" w:type="dxa"/>
              <w:right w:w="120" w:type="dxa"/>
            </w:tcMar>
          </w:tcPr>
          <w:p w14:paraId="581792B7">
            <w:pPr>
              <w:spacing w:before="120" w:after="120" w:line="288" w:lineRule="auto"/>
              <w:rPr>
                <w:rFonts w:hint="eastAsia"/>
              </w:rPr>
            </w:pPr>
            <w:r>
              <w:rPr>
                <w:rFonts w:ascii="Arial" w:hAnsi="Arial" w:eastAsia="等线" w:cs="Arial"/>
              </w:rPr>
              <w:t>小程序必须为"一键操作"</w:t>
            </w:r>
          </w:p>
        </w:tc>
      </w:tr>
    </w:tbl>
    <w:p w14:paraId="73A65D3B">
      <w:pPr>
        <w:spacing w:before="120" w:after="120" w:line="288" w:lineRule="auto"/>
        <w:jc w:val="center"/>
        <w:rPr>
          <w:rFonts w:ascii="Arial" w:hAnsi="Arial" w:eastAsia="等线" w:cs="Arial"/>
        </w:rPr>
      </w:pPr>
      <w:r>
        <w:rPr>
          <w:rFonts w:ascii="Arial" w:hAnsi="Arial" w:eastAsia="等线" w:cs="Arial"/>
        </w:rPr>
        <w:t>图3-3 农户参与意愿强度分析（n=20）</w:t>
      </w:r>
    </w:p>
    <w:p w14:paraId="65E3E8CA">
      <w:pPr>
        <w:spacing w:before="120" w:after="120" w:line="288" w:lineRule="auto"/>
        <w:jc w:val="center"/>
        <w:rPr>
          <w:rFonts w:hint="eastAsia"/>
        </w:rPr>
      </w:pPr>
      <w:r>
        <w:drawing>
          <wp:inline distT="0" distB="0" distL="0" distR="0">
            <wp:extent cx="2776855" cy="1606550"/>
            <wp:effectExtent l="0" t="0" r="4445" b="6350"/>
            <wp:docPr id="68162474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24748" name="图片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776855" cy="1606550"/>
                    </a:xfrm>
                    <a:prstGeom prst="rect">
                      <a:avLst/>
                    </a:prstGeom>
                    <a:noFill/>
                    <a:ln>
                      <a:noFill/>
                    </a:ln>
                  </pic:spPr>
                </pic:pic>
              </a:graphicData>
            </a:graphic>
          </wp:inline>
        </w:drawing>
      </w:r>
    </w:p>
    <w:p w14:paraId="5053A73B">
      <w:pPr>
        <w:spacing w:before="260" w:after="120" w:line="288" w:lineRule="auto"/>
        <w:outlineLvl w:val="3"/>
        <w:rPr>
          <w:rFonts w:hint="eastAsia"/>
        </w:rPr>
      </w:pPr>
      <w:bookmarkStart w:id="29" w:name="heading_5"/>
      <w:r>
        <w:rPr>
          <w:rFonts w:ascii="Arial" w:hAnsi="Arial" w:eastAsia="等线" w:cs="Arial"/>
          <w:b/>
          <w:sz w:val="28"/>
        </w:rPr>
        <w:t>（3）收益分配预期</w:t>
      </w:r>
      <w:bookmarkEnd w:id="29"/>
    </w:p>
    <w:p w14:paraId="34435395">
      <w:pPr>
        <w:spacing w:before="120" w:after="120" w:line="288" w:lineRule="auto"/>
        <w:rPr>
          <w:rFonts w:hint="eastAsia"/>
        </w:rPr>
      </w:pPr>
      <w:r>
        <w:rPr>
          <w:rFonts w:ascii="Arial" w:hAnsi="Arial" w:eastAsia="等线" w:cs="Arial"/>
        </w:rPr>
        <w:t>农户期望收益分配比例为：村集体24.0%、合作社24.3%、农户51.7%。该数据为策划书9.4节</w:t>
      </w:r>
      <w:r>
        <w:rPr>
          <w:rFonts w:ascii="Arial" w:hAnsi="Arial" w:eastAsia="等线" w:cs="Arial"/>
          <w:b/>
        </w:rPr>
        <w:t>三级收益分配模型</w:t>
      </w:r>
      <w:r>
        <w:rPr>
          <w:rFonts w:ascii="Arial" w:hAnsi="Arial" w:eastAsia="等线" w:cs="Arial"/>
        </w:rPr>
        <w:t>提供基准参考，显示农户期望获得超过半数的直接收益分成，提示在收益共享机制设计中需保障农户直接收益比例不低于50%，以维持参与积极性。</w:t>
      </w:r>
    </w:p>
    <w:p w14:paraId="15EA4A1B">
      <w:pPr>
        <w:spacing w:before="120" w:after="120" w:line="288" w:lineRule="auto"/>
        <w:jc w:val="center"/>
        <w:rPr>
          <w:rFonts w:ascii="Arial" w:hAnsi="Arial" w:eastAsia="等线" w:cs="Arial"/>
        </w:rPr>
      </w:pPr>
      <w:r>
        <w:rPr>
          <w:rFonts w:ascii="Arial" w:hAnsi="Arial" w:eastAsia="等线" w:cs="Arial"/>
        </w:rPr>
        <w:t>图3-4 农户收益分配预期（n=20）</w:t>
      </w:r>
    </w:p>
    <w:p w14:paraId="0FEBD81A">
      <w:pPr>
        <w:spacing w:before="120" w:after="120" w:line="288" w:lineRule="auto"/>
        <w:jc w:val="center"/>
        <w:rPr>
          <w:rFonts w:hint="eastAsia"/>
        </w:rPr>
      </w:pPr>
      <w:r>
        <w:drawing>
          <wp:inline distT="0" distB="0" distL="0" distR="0">
            <wp:extent cx="2042160" cy="2134870"/>
            <wp:effectExtent l="0" t="0" r="0" b="13970"/>
            <wp:docPr id="111940597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05978" name="图片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054525" cy="2148214"/>
                    </a:xfrm>
                    <a:prstGeom prst="rect">
                      <a:avLst/>
                    </a:prstGeom>
                    <a:noFill/>
                    <a:ln>
                      <a:noFill/>
                    </a:ln>
                  </pic:spPr>
                </pic:pic>
              </a:graphicData>
            </a:graphic>
          </wp:inline>
        </w:drawing>
      </w:r>
    </w:p>
    <w:p w14:paraId="5829B284">
      <w:pPr>
        <w:pStyle w:val="4"/>
        <w:bidi w:val="0"/>
        <w:rPr>
          <w:rFonts w:hint="eastAsia"/>
        </w:rPr>
      </w:pPr>
      <w:bookmarkStart w:id="30" w:name="heading_6"/>
      <w:bookmarkStart w:id="31" w:name="_Toc4042"/>
      <w:r>
        <w:t>3.2.3 需求侧综合数据分析</w:t>
      </w:r>
      <w:bookmarkEnd w:id="30"/>
      <w:bookmarkEnd w:id="31"/>
    </w:p>
    <w:p w14:paraId="52B26172">
      <w:pPr>
        <w:spacing w:before="120" w:after="120" w:line="288" w:lineRule="auto"/>
        <w:rPr>
          <w:rFonts w:hint="eastAsia"/>
        </w:rPr>
      </w:pPr>
      <w:r>
        <w:rPr>
          <w:rFonts w:ascii="Arial" w:hAnsi="Arial" w:eastAsia="等线" w:cs="Arial"/>
        </w:rPr>
        <w:t>需求侧调研覆盖120名现有游客与200名潜在消费者，系统验证</w:t>
      </w:r>
      <w:r>
        <w:rPr>
          <w:rFonts w:ascii="Arial" w:hAnsi="Arial" w:eastAsia="等线" w:cs="Arial"/>
          <w:b/>
        </w:rPr>
        <w:t>骑行引流+体验增值+认养绑定</w:t>
      </w:r>
      <w:r>
        <w:rPr>
          <w:rFonts w:ascii="Arial" w:hAnsi="Arial" w:eastAsia="等线" w:cs="Arial"/>
        </w:rPr>
        <w:t>核心策略的市场基础。</w:t>
      </w:r>
    </w:p>
    <w:p w14:paraId="2051370C">
      <w:pPr>
        <w:spacing w:before="260" w:after="120" w:line="288" w:lineRule="auto"/>
        <w:outlineLvl w:val="3"/>
        <w:rPr>
          <w:rFonts w:hint="eastAsia"/>
        </w:rPr>
      </w:pPr>
      <w:bookmarkStart w:id="32" w:name="heading_7"/>
      <w:r>
        <w:rPr>
          <w:rFonts w:ascii="Arial" w:hAnsi="Arial" w:eastAsia="等线" w:cs="Arial"/>
          <w:b/>
          <w:sz w:val="28"/>
        </w:rPr>
        <w:t>[3.2.3.1]潜在消费者画像深度分析（N=200）</w:t>
      </w:r>
      <w:bookmarkEnd w:id="32"/>
    </w:p>
    <w:p w14:paraId="66B978A9">
      <w:pPr>
        <w:spacing w:before="240" w:after="120" w:line="288" w:lineRule="auto"/>
        <w:outlineLvl w:val="4"/>
        <w:rPr>
          <w:rFonts w:hint="eastAsia"/>
        </w:rPr>
      </w:pPr>
      <w:bookmarkStart w:id="33" w:name="heading_8"/>
      <w:r>
        <w:rPr>
          <w:rFonts w:ascii="Arial" w:hAnsi="Arial" w:eastAsia="等线" w:cs="Arial"/>
          <w:b/>
          <w:sz w:val="24"/>
        </w:rPr>
        <w:t>一、人口统计特征详解</w:t>
      </w:r>
      <w:bookmarkEnd w:id="33"/>
    </w:p>
    <w:p w14:paraId="7456D929">
      <w:pPr>
        <w:spacing w:before="120" w:after="120" w:line="288" w:lineRule="auto"/>
        <w:rPr>
          <w:rFonts w:hint="eastAsia"/>
        </w:rPr>
      </w:pPr>
      <w:r>
        <w:rPr>
          <w:rFonts w:ascii="Arial" w:hAnsi="Arial" w:eastAsia="等线" w:cs="Arial"/>
        </w:rPr>
        <w:t>基于200份潜在消费者问卷数据的系统分析，本项目目标客群呈现鲜明的</w:t>
      </w:r>
      <w:r>
        <w:rPr>
          <w:rFonts w:ascii="Arial" w:hAnsi="Arial" w:eastAsia="等线" w:cs="Arial"/>
          <w:b/>
        </w:rPr>
        <w:t>城市中产家庭</w:t>
      </w:r>
      <w:r>
        <w:rPr>
          <w:rFonts w:ascii="Arial" w:hAnsi="Arial" w:eastAsia="等线" w:cs="Arial"/>
        </w:rPr>
        <w:t>特征：</w:t>
      </w:r>
    </w:p>
    <w:p w14:paraId="4CEACC3E">
      <w:pPr>
        <w:spacing w:before="120" w:after="120" w:line="288" w:lineRule="auto"/>
        <w:rPr>
          <w:rFonts w:ascii="Arial" w:hAnsi="Arial" w:eastAsia="等线" w:cs="Arial"/>
        </w:rPr>
      </w:pPr>
      <w:r>
        <w:rPr>
          <w:rFonts w:ascii="Arial" w:hAnsi="Arial" w:eastAsia="等线" w:cs="Arial"/>
        </w:rPr>
        <w:drawing>
          <wp:inline distT="0" distB="0" distL="0" distR="0">
            <wp:extent cx="4553585" cy="2279650"/>
            <wp:effectExtent l="0" t="0" r="5715" b="6350"/>
            <wp:docPr id="3289247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24705" name="图片 1"/>
                    <pic:cNvPicPr>
                      <a:picLocks noChangeAspect="1"/>
                    </pic:cNvPicPr>
                  </pic:nvPicPr>
                  <pic:blipFill>
                    <a:blip r:embed="rId14"/>
                    <a:stretch>
                      <a:fillRect/>
                    </a:stretch>
                  </pic:blipFill>
                  <pic:spPr>
                    <a:xfrm>
                      <a:off x="0" y="0"/>
                      <a:ext cx="4553585" cy="2279650"/>
                    </a:xfrm>
                    <a:prstGeom prst="rect">
                      <a:avLst/>
                    </a:prstGeom>
                  </pic:spPr>
                </pic:pic>
              </a:graphicData>
            </a:graphic>
          </wp:inline>
        </w:drawing>
      </w:r>
    </w:p>
    <w:p w14:paraId="1D4FA2E1">
      <w:pPr>
        <w:spacing w:before="120" w:after="120" w:line="288" w:lineRule="auto"/>
      </w:pPr>
      <w:r>
        <w:t>潜在消费者呈现鲜明的城市中产家庭特征：</w:t>
      </w:r>
      <w:r>
        <w:rPr>
          <w:b/>
          <w:bCs/>
        </w:rPr>
        <w:t>30-60 岁中年群体占比 84.5%</w:t>
      </w:r>
      <w:r>
        <w:t>，具备稳定收入、家庭责任与健康意识觉醒三重特征，与项目定位的城市白领 + 品质家庭目标客群高度吻合。值得注意的是，&gt;60 岁群体虽仅占 9.0%，但对认养定制的偏好率达 44.4%，显著高于其他年龄段的平均 4.0%。</w:t>
      </w:r>
    </w:p>
    <w:p w14:paraId="13284F68">
      <w:pPr>
        <w:spacing w:before="120" w:after="120" w:line="288" w:lineRule="auto"/>
      </w:pPr>
      <w:r>
        <w:t>收入方面，</w:t>
      </w:r>
      <w:r>
        <w:rPr>
          <w:b/>
          <w:bCs/>
        </w:rPr>
        <w:t>月收入≥8000 元群体占比 76.0%</w:t>
      </w:r>
      <w:r>
        <w:t>，其中月收入≥12000 元的高收入群体中，22.0% 愿意支付 30% 以上的产品溢价，为水源地认证的品牌溢价提供了坚实支撑。</w:t>
      </w:r>
    </w:p>
    <w:p w14:paraId="7B140750">
      <w:pPr>
        <w:spacing w:before="120" w:after="120" w:line="288" w:lineRule="auto"/>
      </w:pPr>
      <w:r>
        <w:t>出行习惯上，83.0% 的受访者保持季度及以上的京郊出行频率，其中 44.0% 每月出行 1 次，说明周末微度假已从尝鲜行为演变为城市中产的生活方式常态。</w:t>
      </w:r>
    </w:p>
    <w:p w14:paraId="3D48A767">
      <w:pPr>
        <w:spacing w:before="240" w:after="120" w:line="288" w:lineRule="auto"/>
        <w:outlineLvl w:val="4"/>
        <w:rPr>
          <w:rFonts w:ascii="Arial" w:hAnsi="Arial" w:eastAsia="等线" w:cs="Arial"/>
          <w:b/>
          <w:sz w:val="24"/>
        </w:rPr>
      </w:pPr>
      <w:bookmarkStart w:id="34" w:name="heading_9"/>
      <w:r>
        <w:rPr>
          <w:rFonts w:ascii="Arial" w:hAnsi="Arial" w:eastAsia="等线" w:cs="Arial"/>
          <w:b/>
          <w:sz w:val="24"/>
        </w:rPr>
        <w:t>二、行为与偏好深度分析</w:t>
      </w:r>
      <w:bookmarkEnd w:id="34"/>
    </w:p>
    <w:p w14:paraId="670C084F">
      <w:pPr>
        <w:spacing w:before="240" w:after="120" w:line="288" w:lineRule="auto"/>
        <w:outlineLvl w:val="4"/>
      </w:pPr>
      <w:r>
        <w:t>47.5% 的受访者对骑行表现出高兴趣，且高骑行兴趣群体的到访转化率（46.3%）是低兴趣群体（14.3%）的 3.2 倍，证明骑行不仅是引流手段，更是筛选高价值客群的有效工具。</w:t>
      </w:r>
    </w:p>
    <w:p w14:paraId="53A7AA72">
      <w:pPr>
        <w:spacing w:before="240" w:after="120" w:line="288" w:lineRule="auto"/>
        <w:outlineLvl w:val="4"/>
      </w:pPr>
      <w:r>
        <w:t>产品偏好上，</w:t>
      </w:r>
      <w:r>
        <w:rPr>
          <w:b/>
          <w:bCs/>
        </w:rPr>
        <w:t>86.5% 的受访者倾向高端礼盒或品质优选产品</w:t>
      </w:r>
      <w:r>
        <w:t>，仅有 9.5% 选择性价比标准款，充分验证了项目中高端定位的正确性；89.5% 的受访者能接受 100-300 元的一日游套餐价格，可据此设置梯度价格体系。</w:t>
      </w:r>
    </w:p>
    <w:p w14:paraId="2BF7765D">
      <w:pPr>
        <w:spacing w:before="240" w:after="120" w:line="288" w:lineRule="auto"/>
        <w:outlineLvl w:val="4"/>
      </w:pPr>
      <w:r>
        <w:t>溢价支付意愿方面，68.0% 的受访者接受 10% 以上的水源地认证溢价，16.0% 接受 30% 以上溢价，证明一级水源地的品质背书具备真实的商业价值。</w:t>
      </w:r>
    </w:p>
    <w:p w14:paraId="44B3DE34">
      <w:pPr>
        <w:spacing w:before="240" w:after="120" w:line="288" w:lineRule="auto"/>
        <w:outlineLvl w:val="4"/>
        <w:rPr>
          <w:rFonts w:hint="eastAsia"/>
        </w:rPr>
      </w:pPr>
      <w:r>
        <w:drawing>
          <wp:inline distT="0" distB="0" distL="0" distR="0">
            <wp:extent cx="4787900" cy="3453765"/>
            <wp:effectExtent l="0" t="0" r="0" b="635"/>
            <wp:docPr id="1841324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24210" name="图片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4787900" cy="3453765"/>
                    </a:xfrm>
                    <a:prstGeom prst="rect">
                      <a:avLst/>
                    </a:prstGeom>
                    <a:noFill/>
                    <a:ln>
                      <a:noFill/>
                    </a:ln>
                  </pic:spPr>
                </pic:pic>
              </a:graphicData>
            </a:graphic>
          </wp:inline>
        </w:drawing>
      </w:r>
    </w:p>
    <w:p w14:paraId="6754553F">
      <w:pPr>
        <w:spacing w:before="260" w:after="120" w:line="288" w:lineRule="auto"/>
        <w:outlineLvl w:val="3"/>
        <w:rPr>
          <w:rFonts w:hint="eastAsia"/>
        </w:rPr>
      </w:pPr>
      <w:bookmarkStart w:id="35" w:name="heading_10"/>
      <w:r>
        <w:rPr>
          <w:rFonts w:ascii="Arial" w:hAnsi="Arial" w:eastAsia="等线" w:cs="Arial"/>
          <w:b/>
          <w:sz w:val="28"/>
        </w:rPr>
        <w:t>[3.2.3.2]游客满意度与行为深度分析（N=120）</w:t>
      </w:r>
      <w:bookmarkEnd w:id="35"/>
    </w:p>
    <w:p w14:paraId="295734DE">
      <w:pPr>
        <w:pStyle w:val="20"/>
        <w:numPr>
          <w:ilvl w:val="0"/>
          <w:numId w:val="1"/>
        </w:numPr>
        <w:spacing w:before="240" w:after="120" w:line="288" w:lineRule="auto"/>
        <w:ind w:firstLineChars="0"/>
        <w:outlineLvl w:val="4"/>
        <w:rPr>
          <w:rFonts w:hint="eastAsia"/>
        </w:rPr>
      </w:pPr>
      <w:bookmarkStart w:id="36" w:name="heading_11"/>
      <w:r>
        <w:rPr>
          <w:rFonts w:ascii="Arial" w:hAnsi="Arial" w:eastAsia="等线" w:cs="Arial"/>
          <w:b/>
          <w:sz w:val="24"/>
        </w:rPr>
        <w:t>满意度四维评价</w:t>
      </w:r>
      <w:bookmarkEnd w:id="36"/>
    </w:p>
    <w:p w14:paraId="1392C23A">
      <w:pPr>
        <w:spacing w:before="120" w:after="120" w:line="288" w:lineRule="auto"/>
        <w:rPr>
          <w:rFonts w:ascii="Arial" w:hAnsi="Arial" w:eastAsia="等线" w:cs="Arial"/>
        </w:rPr>
      </w:pPr>
      <w:r>
        <w:rPr>
          <w:rFonts w:ascii="Arial" w:hAnsi="Arial" w:eastAsia="等线" w:cs="Arial"/>
        </w:rPr>
        <w:t>满意度测评覆盖采摘体验、村庄环境、服务态度、性价比四个维度，采用Likert 5级量表。结果显示：</w:t>
      </w:r>
    </w:p>
    <w:p w14:paraId="75E2AA92">
      <w:pPr>
        <w:spacing w:before="120" w:after="120" w:line="288" w:lineRule="auto"/>
        <w:rPr>
          <w:rFonts w:hint="eastAsia"/>
        </w:rPr>
      </w:pPr>
      <w:r>
        <w:rPr>
          <w:rFonts w:ascii="Arial" w:hAnsi="Arial" w:eastAsia="等线" w:cs="Arial"/>
        </w:rPr>
        <w:t>采摘体验满意度最高（4.22分），生态环境次之（4.18分），服务质量（4.09分）与性价比（4.09分）相对较低；</w:t>
      </w:r>
    </w:p>
    <w:p w14:paraId="13B69EF9">
      <w:pPr>
        <w:spacing w:before="120" w:after="120" w:line="288" w:lineRule="auto"/>
        <w:rPr>
          <w:rFonts w:hint="eastAsia"/>
        </w:rPr>
      </w:pPr>
      <w:r>
        <w:rPr>
          <w:rFonts w:ascii="Arial" w:hAnsi="Arial" w:eastAsia="等线" w:cs="Arial"/>
        </w:rPr>
        <w:t>满意度与复购意愿相关系数r=0.869（p&lt;0.001），呈现强正相关；</w:t>
      </w:r>
    </w:p>
    <w:p w14:paraId="5FFD7AB7">
      <w:pPr>
        <w:spacing w:before="120" w:after="120" w:line="288" w:lineRule="auto"/>
        <w:rPr>
          <w:rFonts w:hint="eastAsia"/>
        </w:rPr>
      </w:pPr>
      <w:r>
        <w:rPr>
          <w:rFonts w:ascii="Arial" w:hAnsi="Arial" w:eastAsia="等线" w:cs="Arial"/>
        </w:rPr>
        <w:t>服务质量标准差最大（0.94），存在明显波动性，是体验提升的核心短板。</w:t>
      </w:r>
    </w:p>
    <w:p w14:paraId="1A59AA88">
      <w:pPr>
        <w:spacing w:before="120" w:after="120" w:line="288" w:lineRule="auto"/>
        <w:jc w:val="center"/>
        <w:rPr>
          <w:rFonts w:hint="eastAsia"/>
        </w:rPr>
      </w:pPr>
      <w:r>
        <w:rPr>
          <w:rFonts w:ascii="Arial" w:hAnsi="Arial" w:eastAsia="等线" w:cs="Arial"/>
        </w:rPr>
        <w:t>表 游客四维满意度评价详情（N=120）</w:t>
      </w:r>
    </w:p>
    <w:tbl>
      <w:tblPr>
        <w:tblStyle w:val="1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380"/>
        <w:gridCol w:w="1380"/>
        <w:gridCol w:w="1380"/>
        <w:gridCol w:w="1380"/>
        <w:gridCol w:w="1380"/>
        <w:gridCol w:w="1380"/>
      </w:tblGrid>
      <w:tr w14:paraId="342C1E7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7CEFD408">
            <w:pPr>
              <w:spacing w:before="120" w:after="120" w:line="288" w:lineRule="auto"/>
              <w:rPr>
                <w:rFonts w:hint="eastAsia"/>
              </w:rPr>
            </w:pPr>
            <w:r>
              <w:rPr>
                <w:rFonts w:ascii="Arial" w:hAnsi="Arial" w:eastAsia="等线" w:cs="Arial"/>
              </w:rPr>
              <w:t>满意度维度</w:t>
            </w:r>
          </w:p>
        </w:tc>
        <w:tc>
          <w:tcPr>
            <w:tcW w:w="1380" w:type="dxa"/>
            <w:tcMar>
              <w:top w:w="60" w:type="dxa"/>
              <w:left w:w="120" w:type="dxa"/>
              <w:bottom w:w="30" w:type="dxa"/>
              <w:right w:w="120" w:type="dxa"/>
            </w:tcMar>
          </w:tcPr>
          <w:p w14:paraId="17A632B1">
            <w:pPr>
              <w:spacing w:before="120" w:after="120" w:line="288" w:lineRule="auto"/>
              <w:rPr>
                <w:rFonts w:hint="eastAsia"/>
              </w:rPr>
            </w:pPr>
            <w:r>
              <w:rPr>
                <w:rFonts w:ascii="Arial" w:hAnsi="Arial" w:eastAsia="等线" w:cs="Arial"/>
              </w:rPr>
              <w:t>平均分</w:t>
            </w:r>
          </w:p>
        </w:tc>
        <w:tc>
          <w:tcPr>
            <w:tcW w:w="1380" w:type="dxa"/>
            <w:tcMar>
              <w:top w:w="60" w:type="dxa"/>
              <w:left w:w="120" w:type="dxa"/>
              <w:bottom w:w="30" w:type="dxa"/>
              <w:right w:w="120" w:type="dxa"/>
            </w:tcMar>
          </w:tcPr>
          <w:p w14:paraId="5DF36679">
            <w:pPr>
              <w:spacing w:before="120" w:after="120" w:line="288" w:lineRule="auto"/>
              <w:rPr>
                <w:rFonts w:hint="eastAsia"/>
              </w:rPr>
            </w:pPr>
            <w:r>
              <w:rPr>
                <w:rFonts w:ascii="Arial" w:hAnsi="Arial" w:eastAsia="等线" w:cs="Arial"/>
              </w:rPr>
              <w:t>标准差</w:t>
            </w:r>
          </w:p>
        </w:tc>
        <w:tc>
          <w:tcPr>
            <w:tcW w:w="1380" w:type="dxa"/>
            <w:tcMar>
              <w:top w:w="60" w:type="dxa"/>
              <w:left w:w="120" w:type="dxa"/>
              <w:bottom w:w="30" w:type="dxa"/>
              <w:right w:w="120" w:type="dxa"/>
            </w:tcMar>
          </w:tcPr>
          <w:p w14:paraId="5DAF164F">
            <w:pPr>
              <w:spacing w:before="120" w:after="120" w:line="288" w:lineRule="auto"/>
              <w:rPr>
                <w:rFonts w:hint="eastAsia"/>
              </w:rPr>
            </w:pPr>
            <w:r>
              <w:rPr>
                <w:rFonts w:ascii="Arial" w:hAnsi="Arial" w:eastAsia="等线" w:cs="Arial"/>
              </w:rPr>
              <w:t>高满意度占比(≥4分)</w:t>
            </w:r>
          </w:p>
        </w:tc>
        <w:tc>
          <w:tcPr>
            <w:tcW w:w="1380" w:type="dxa"/>
            <w:tcMar>
              <w:top w:w="60" w:type="dxa"/>
              <w:left w:w="120" w:type="dxa"/>
              <w:bottom w:w="30" w:type="dxa"/>
              <w:right w:w="120" w:type="dxa"/>
            </w:tcMar>
          </w:tcPr>
          <w:p w14:paraId="20F7B330">
            <w:pPr>
              <w:spacing w:before="120" w:after="120" w:line="288" w:lineRule="auto"/>
              <w:rPr>
                <w:rFonts w:hint="eastAsia"/>
              </w:rPr>
            </w:pPr>
            <w:r>
              <w:rPr>
                <w:rFonts w:ascii="Arial" w:hAnsi="Arial" w:eastAsia="等线" w:cs="Arial"/>
              </w:rPr>
              <w:t>行业对比</w:t>
            </w:r>
          </w:p>
        </w:tc>
        <w:tc>
          <w:tcPr>
            <w:tcW w:w="1380" w:type="dxa"/>
            <w:tcMar>
              <w:top w:w="60" w:type="dxa"/>
              <w:left w:w="120" w:type="dxa"/>
              <w:bottom w:w="30" w:type="dxa"/>
              <w:right w:w="120" w:type="dxa"/>
            </w:tcMar>
          </w:tcPr>
          <w:p w14:paraId="59A1EDC9">
            <w:pPr>
              <w:spacing w:before="120" w:after="120" w:line="288" w:lineRule="auto"/>
              <w:rPr>
                <w:rFonts w:hint="eastAsia"/>
              </w:rPr>
            </w:pPr>
            <w:r>
              <w:rPr>
                <w:rFonts w:ascii="Arial" w:hAnsi="Arial" w:eastAsia="等线" w:cs="Arial"/>
              </w:rPr>
              <w:t>改进优先级</w:t>
            </w:r>
          </w:p>
        </w:tc>
      </w:tr>
      <w:tr w14:paraId="15A06D6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1B98E0DF">
            <w:pPr>
              <w:spacing w:before="120" w:after="120" w:line="288" w:lineRule="auto"/>
              <w:rPr>
                <w:rFonts w:hint="eastAsia"/>
              </w:rPr>
            </w:pPr>
            <w:r>
              <w:rPr>
                <w:rFonts w:ascii="Arial" w:hAnsi="Arial" w:eastAsia="等线" w:cs="Arial"/>
              </w:rPr>
              <w:t>采摘体验</w:t>
            </w:r>
          </w:p>
        </w:tc>
        <w:tc>
          <w:tcPr>
            <w:tcW w:w="1380" w:type="dxa"/>
            <w:tcMar>
              <w:top w:w="60" w:type="dxa"/>
              <w:left w:w="120" w:type="dxa"/>
              <w:bottom w:w="30" w:type="dxa"/>
              <w:right w:w="120" w:type="dxa"/>
            </w:tcMar>
          </w:tcPr>
          <w:p w14:paraId="52F77C3D">
            <w:pPr>
              <w:spacing w:before="120" w:after="120" w:line="288" w:lineRule="auto"/>
              <w:rPr>
                <w:rFonts w:hint="eastAsia"/>
              </w:rPr>
            </w:pPr>
            <w:r>
              <w:rPr>
                <w:rFonts w:ascii="Arial" w:hAnsi="Arial" w:eastAsia="等线" w:cs="Arial"/>
              </w:rPr>
              <w:t>4.22</w:t>
            </w:r>
          </w:p>
        </w:tc>
        <w:tc>
          <w:tcPr>
            <w:tcW w:w="1380" w:type="dxa"/>
            <w:tcMar>
              <w:top w:w="60" w:type="dxa"/>
              <w:left w:w="120" w:type="dxa"/>
              <w:bottom w:w="30" w:type="dxa"/>
              <w:right w:w="120" w:type="dxa"/>
            </w:tcMar>
          </w:tcPr>
          <w:p w14:paraId="7B6616F5">
            <w:pPr>
              <w:spacing w:before="120" w:after="120" w:line="288" w:lineRule="auto"/>
              <w:rPr>
                <w:rFonts w:hint="eastAsia"/>
              </w:rPr>
            </w:pPr>
            <w:r>
              <w:rPr>
                <w:rFonts w:ascii="Arial" w:hAnsi="Arial" w:eastAsia="等线" w:cs="Arial"/>
              </w:rPr>
              <w:t>0.86</w:t>
            </w:r>
          </w:p>
        </w:tc>
        <w:tc>
          <w:tcPr>
            <w:tcW w:w="1380" w:type="dxa"/>
            <w:tcMar>
              <w:top w:w="60" w:type="dxa"/>
              <w:left w:w="120" w:type="dxa"/>
              <w:bottom w:w="30" w:type="dxa"/>
              <w:right w:w="120" w:type="dxa"/>
            </w:tcMar>
          </w:tcPr>
          <w:p w14:paraId="168BBD4D">
            <w:pPr>
              <w:spacing w:before="120" w:after="120" w:line="288" w:lineRule="auto"/>
              <w:rPr>
                <w:rFonts w:hint="eastAsia"/>
              </w:rPr>
            </w:pPr>
            <w:r>
              <w:rPr>
                <w:rFonts w:ascii="Arial" w:hAnsi="Arial" w:eastAsia="等线" w:cs="Arial"/>
              </w:rPr>
              <w:t>86.7%</w:t>
            </w:r>
          </w:p>
        </w:tc>
        <w:tc>
          <w:tcPr>
            <w:tcW w:w="1380" w:type="dxa"/>
            <w:tcMar>
              <w:top w:w="60" w:type="dxa"/>
              <w:left w:w="120" w:type="dxa"/>
              <w:bottom w:w="30" w:type="dxa"/>
              <w:right w:w="120" w:type="dxa"/>
            </w:tcMar>
          </w:tcPr>
          <w:p w14:paraId="09E9F609">
            <w:pPr>
              <w:spacing w:before="120" w:after="120" w:line="288" w:lineRule="auto"/>
              <w:rPr>
                <w:rFonts w:hint="eastAsia"/>
              </w:rPr>
            </w:pPr>
            <w:r>
              <w:rPr>
                <w:rFonts w:ascii="Arial" w:hAnsi="Arial" w:eastAsia="等线" w:cs="Arial"/>
              </w:rPr>
              <w:t>优于平均</w:t>
            </w:r>
          </w:p>
        </w:tc>
        <w:tc>
          <w:tcPr>
            <w:tcW w:w="1380" w:type="dxa"/>
            <w:tcMar>
              <w:top w:w="60" w:type="dxa"/>
              <w:left w:w="120" w:type="dxa"/>
              <w:bottom w:w="30" w:type="dxa"/>
              <w:right w:w="120" w:type="dxa"/>
            </w:tcMar>
          </w:tcPr>
          <w:p w14:paraId="6F90808C">
            <w:pPr>
              <w:spacing w:before="120" w:after="120" w:line="288" w:lineRule="auto"/>
              <w:rPr>
                <w:rFonts w:hint="eastAsia"/>
              </w:rPr>
            </w:pPr>
            <w:r>
              <w:rPr>
                <w:rFonts w:ascii="Arial" w:hAnsi="Arial" w:eastAsia="等线" w:cs="Arial"/>
              </w:rPr>
              <w:t>保持优势</w:t>
            </w:r>
          </w:p>
        </w:tc>
      </w:tr>
      <w:tr w14:paraId="5C0405D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4692BE19">
            <w:pPr>
              <w:spacing w:before="120" w:after="120" w:line="288" w:lineRule="auto"/>
              <w:rPr>
                <w:rFonts w:hint="eastAsia"/>
              </w:rPr>
            </w:pPr>
            <w:r>
              <w:rPr>
                <w:rFonts w:ascii="Arial" w:hAnsi="Arial" w:eastAsia="等线" w:cs="Arial"/>
              </w:rPr>
              <w:t>生态环境</w:t>
            </w:r>
          </w:p>
        </w:tc>
        <w:tc>
          <w:tcPr>
            <w:tcW w:w="1380" w:type="dxa"/>
            <w:tcMar>
              <w:top w:w="60" w:type="dxa"/>
              <w:left w:w="120" w:type="dxa"/>
              <w:bottom w:w="30" w:type="dxa"/>
              <w:right w:w="120" w:type="dxa"/>
            </w:tcMar>
          </w:tcPr>
          <w:p w14:paraId="06939436">
            <w:pPr>
              <w:spacing w:before="120" w:after="120" w:line="288" w:lineRule="auto"/>
              <w:rPr>
                <w:rFonts w:hint="eastAsia"/>
              </w:rPr>
            </w:pPr>
            <w:r>
              <w:rPr>
                <w:rFonts w:ascii="Arial" w:hAnsi="Arial" w:eastAsia="等线" w:cs="Arial"/>
              </w:rPr>
              <w:t>4.18</w:t>
            </w:r>
          </w:p>
        </w:tc>
        <w:tc>
          <w:tcPr>
            <w:tcW w:w="1380" w:type="dxa"/>
            <w:tcMar>
              <w:top w:w="60" w:type="dxa"/>
              <w:left w:w="120" w:type="dxa"/>
              <w:bottom w:w="30" w:type="dxa"/>
              <w:right w:w="120" w:type="dxa"/>
            </w:tcMar>
          </w:tcPr>
          <w:p w14:paraId="66A987E6">
            <w:pPr>
              <w:spacing w:before="120" w:after="120" w:line="288" w:lineRule="auto"/>
              <w:rPr>
                <w:rFonts w:hint="eastAsia"/>
              </w:rPr>
            </w:pPr>
            <w:r>
              <w:rPr>
                <w:rFonts w:ascii="Arial" w:hAnsi="Arial" w:eastAsia="等线" w:cs="Arial"/>
              </w:rPr>
              <w:t>0.91</w:t>
            </w:r>
          </w:p>
        </w:tc>
        <w:tc>
          <w:tcPr>
            <w:tcW w:w="1380" w:type="dxa"/>
            <w:tcMar>
              <w:top w:w="60" w:type="dxa"/>
              <w:left w:w="120" w:type="dxa"/>
              <w:bottom w:w="30" w:type="dxa"/>
              <w:right w:w="120" w:type="dxa"/>
            </w:tcMar>
          </w:tcPr>
          <w:p w14:paraId="10CF69CF">
            <w:pPr>
              <w:spacing w:before="120" w:after="120" w:line="288" w:lineRule="auto"/>
              <w:rPr>
                <w:rFonts w:hint="eastAsia"/>
              </w:rPr>
            </w:pPr>
            <w:r>
              <w:rPr>
                <w:rFonts w:ascii="Arial" w:hAnsi="Arial" w:eastAsia="等线" w:cs="Arial"/>
              </w:rPr>
              <w:t>82.5%</w:t>
            </w:r>
          </w:p>
        </w:tc>
        <w:tc>
          <w:tcPr>
            <w:tcW w:w="1380" w:type="dxa"/>
            <w:tcMar>
              <w:top w:w="60" w:type="dxa"/>
              <w:left w:w="120" w:type="dxa"/>
              <w:bottom w:w="30" w:type="dxa"/>
              <w:right w:w="120" w:type="dxa"/>
            </w:tcMar>
          </w:tcPr>
          <w:p w14:paraId="001AE938">
            <w:pPr>
              <w:spacing w:before="120" w:after="120" w:line="288" w:lineRule="auto"/>
              <w:rPr>
                <w:rFonts w:hint="eastAsia"/>
              </w:rPr>
            </w:pPr>
            <w:r>
              <w:rPr>
                <w:rFonts w:ascii="Arial" w:hAnsi="Arial" w:eastAsia="等线" w:cs="Arial"/>
              </w:rPr>
              <w:t>显著优于</w:t>
            </w:r>
          </w:p>
        </w:tc>
        <w:tc>
          <w:tcPr>
            <w:tcW w:w="1380" w:type="dxa"/>
            <w:tcMar>
              <w:top w:w="60" w:type="dxa"/>
              <w:left w:w="120" w:type="dxa"/>
              <w:bottom w:w="30" w:type="dxa"/>
              <w:right w:w="120" w:type="dxa"/>
            </w:tcMar>
          </w:tcPr>
          <w:p w14:paraId="2371B39B">
            <w:pPr>
              <w:spacing w:before="120" w:after="120" w:line="288" w:lineRule="auto"/>
              <w:rPr>
                <w:rFonts w:hint="eastAsia"/>
              </w:rPr>
            </w:pPr>
            <w:r>
              <w:rPr>
                <w:rFonts w:ascii="Arial" w:hAnsi="Arial" w:eastAsia="等线" w:cs="Arial"/>
              </w:rPr>
              <w:t>核心卖点</w:t>
            </w:r>
          </w:p>
        </w:tc>
      </w:tr>
      <w:tr w14:paraId="5DD3690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21620598">
            <w:pPr>
              <w:spacing w:before="120" w:after="120" w:line="288" w:lineRule="auto"/>
              <w:rPr>
                <w:rFonts w:hint="eastAsia"/>
              </w:rPr>
            </w:pPr>
            <w:r>
              <w:rPr>
                <w:rFonts w:ascii="Arial" w:hAnsi="Arial" w:eastAsia="等线" w:cs="Arial"/>
              </w:rPr>
              <w:t>服务质量</w:t>
            </w:r>
          </w:p>
        </w:tc>
        <w:tc>
          <w:tcPr>
            <w:tcW w:w="1380" w:type="dxa"/>
            <w:tcMar>
              <w:top w:w="60" w:type="dxa"/>
              <w:left w:w="120" w:type="dxa"/>
              <w:bottom w:w="30" w:type="dxa"/>
              <w:right w:w="120" w:type="dxa"/>
            </w:tcMar>
          </w:tcPr>
          <w:p w14:paraId="487D59EE">
            <w:pPr>
              <w:spacing w:before="120" w:after="120" w:line="288" w:lineRule="auto"/>
              <w:rPr>
                <w:rFonts w:hint="eastAsia"/>
              </w:rPr>
            </w:pPr>
            <w:r>
              <w:rPr>
                <w:rFonts w:ascii="Arial" w:hAnsi="Arial" w:eastAsia="等线" w:cs="Arial"/>
              </w:rPr>
              <w:t>4.09</w:t>
            </w:r>
          </w:p>
        </w:tc>
        <w:tc>
          <w:tcPr>
            <w:tcW w:w="1380" w:type="dxa"/>
            <w:tcMar>
              <w:top w:w="60" w:type="dxa"/>
              <w:left w:w="120" w:type="dxa"/>
              <w:bottom w:w="30" w:type="dxa"/>
              <w:right w:w="120" w:type="dxa"/>
            </w:tcMar>
          </w:tcPr>
          <w:p w14:paraId="0BEFE4C4">
            <w:pPr>
              <w:spacing w:before="120" w:after="120" w:line="288" w:lineRule="auto"/>
              <w:rPr>
                <w:rFonts w:hint="eastAsia"/>
              </w:rPr>
            </w:pPr>
            <w:r>
              <w:rPr>
                <w:rFonts w:ascii="Arial" w:hAnsi="Arial" w:eastAsia="等线" w:cs="Arial"/>
              </w:rPr>
              <w:t>0.94</w:t>
            </w:r>
          </w:p>
        </w:tc>
        <w:tc>
          <w:tcPr>
            <w:tcW w:w="1380" w:type="dxa"/>
            <w:tcMar>
              <w:top w:w="60" w:type="dxa"/>
              <w:left w:w="120" w:type="dxa"/>
              <w:bottom w:w="30" w:type="dxa"/>
              <w:right w:w="120" w:type="dxa"/>
            </w:tcMar>
          </w:tcPr>
          <w:p w14:paraId="0D27FCDC">
            <w:pPr>
              <w:spacing w:before="120" w:after="120" w:line="288" w:lineRule="auto"/>
              <w:rPr>
                <w:rFonts w:hint="eastAsia"/>
              </w:rPr>
            </w:pPr>
            <w:r>
              <w:rPr>
                <w:rFonts w:ascii="Arial" w:hAnsi="Arial" w:eastAsia="等线" w:cs="Arial"/>
              </w:rPr>
              <w:t>74.2%</w:t>
            </w:r>
          </w:p>
        </w:tc>
        <w:tc>
          <w:tcPr>
            <w:tcW w:w="1380" w:type="dxa"/>
            <w:tcMar>
              <w:top w:w="60" w:type="dxa"/>
              <w:left w:w="120" w:type="dxa"/>
              <w:bottom w:w="30" w:type="dxa"/>
              <w:right w:w="120" w:type="dxa"/>
            </w:tcMar>
          </w:tcPr>
          <w:p w14:paraId="521C4C9A">
            <w:pPr>
              <w:spacing w:before="120" w:after="120" w:line="288" w:lineRule="auto"/>
              <w:rPr>
                <w:rFonts w:hint="eastAsia"/>
              </w:rPr>
            </w:pPr>
            <w:r>
              <w:rPr>
                <w:rFonts w:ascii="Arial" w:hAnsi="Arial" w:eastAsia="等线" w:cs="Arial"/>
              </w:rPr>
              <w:t>略优于</w:t>
            </w:r>
          </w:p>
        </w:tc>
        <w:tc>
          <w:tcPr>
            <w:tcW w:w="1380" w:type="dxa"/>
            <w:tcMar>
              <w:top w:w="60" w:type="dxa"/>
              <w:left w:w="120" w:type="dxa"/>
              <w:bottom w:w="30" w:type="dxa"/>
              <w:right w:w="120" w:type="dxa"/>
            </w:tcMar>
          </w:tcPr>
          <w:p w14:paraId="22B39121">
            <w:pPr>
              <w:spacing w:before="120" w:after="120" w:line="288" w:lineRule="auto"/>
              <w:rPr>
                <w:rFonts w:hint="eastAsia"/>
              </w:rPr>
            </w:pPr>
            <w:r>
              <w:rPr>
                <w:rFonts w:ascii="Arial" w:hAnsi="Arial" w:eastAsia="等线" w:cs="Arial"/>
              </w:rPr>
              <w:t>重点提升</w:t>
            </w:r>
          </w:p>
        </w:tc>
      </w:tr>
      <w:tr w14:paraId="4EA6FC0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1270A9FA">
            <w:pPr>
              <w:spacing w:before="120" w:after="120" w:line="288" w:lineRule="auto"/>
              <w:rPr>
                <w:rFonts w:hint="eastAsia"/>
              </w:rPr>
            </w:pPr>
            <w:r>
              <w:rPr>
                <w:rFonts w:ascii="Arial" w:hAnsi="Arial" w:eastAsia="等线" w:cs="Arial"/>
              </w:rPr>
              <w:t>性价比</w:t>
            </w:r>
          </w:p>
        </w:tc>
        <w:tc>
          <w:tcPr>
            <w:tcW w:w="1380" w:type="dxa"/>
            <w:tcMar>
              <w:top w:w="60" w:type="dxa"/>
              <w:left w:w="120" w:type="dxa"/>
              <w:bottom w:w="30" w:type="dxa"/>
              <w:right w:w="120" w:type="dxa"/>
            </w:tcMar>
          </w:tcPr>
          <w:p w14:paraId="0735A867">
            <w:pPr>
              <w:spacing w:before="120" w:after="120" w:line="288" w:lineRule="auto"/>
              <w:rPr>
                <w:rFonts w:hint="eastAsia"/>
              </w:rPr>
            </w:pPr>
            <w:r>
              <w:rPr>
                <w:rFonts w:ascii="Arial" w:hAnsi="Arial" w:eastAsia="等线" w:cs="Arial"/>
              </w:rPr>
              <w:t>4.09</w:t>
            </w:r>
          </w:p>
        </w:tc>
        <w:tc>
          <w:tcPr>
            <w:tcW w:w="1380" w:type="dxa"/>
            <w:tcMar>
              <w:top w:w="60" w:type="dxa"/>
              <w:left w:w="120" w:type="dxa"/>
              <w:bottom w:w="30" w:type="dxa"/>
              <w:right w:w="120" w:type="dxa"/>
            </w:tcMar>
          </w:tcPr>
          <w:p w14:paraId="308A1CF5">
            <w:pPr>
              <w:spacing w:before="120" w:after="120" w:line="288" w:lineRule="auto"/>
              <w:rPr>
                <w:rFonts w:hint="eastAsia"/>
              </w:rPr>
            </w:pPr>
            <w:r>
              <w:rPr>
                <w:rFonts w:ascii="Arial" w:hAnsi="Arial" w:eastAsia="等线" w:cs="Arial"/>
              </w:rPr>
              <w:t>0.89</w:t>
            </w:r>
          </w:p>
        </w:tc>
        <w:tc>
          <w:tcPr>
            <w:tcW w:w="1380" w:type="dxa"/>
            <w:tcMar>
              <w:top w:w="60" w:type="dxa"/>
              <w:left w:w="120" w:type="dxa"/>
              <w:bottom w:w="30" w:type="dxa"/>
              <w:right w:w="120" w:type="dxa"/>
            </w:tcMar>
          </w:tcPr>
          <w:p w14:paraId="3D85BCEB">
            <w:pPr>
              <w:spacing w:before="120" w:after="120" w:line="288" w:lineRule="auto"/>
              <w:rPr>
                <w:rFonts w:hint="eastAsia"/>
              </w:rPr>
            </w:pPr>
            <w:r>
              <w:rPr>
                <w:rFonts w:ascii="Arial" w:hAnsi="Arial" w:eastAsia="等线" w:cs="Arial"/>
              </w:rPr>
              <w:t>77.5%</w:t>
            </w:r>
          </w:p>
        </w:tc>
        <w:tc>
          <w:tcPr>
            <w:tcW w:w="1380" w:type="dxa"/>
            <w:tcMar>
              <w:top w:w="60" w:type="dxa"/>
              <w:left w:w="120" w:type="dxa"/>
              <w:bottom w:w="30" w:type="dxa"/>
              <w:right w:w="120" w:type="dxa"/>
            </w:tcMar>
          </w:tcPr>
          <w:p w14:paraId="4EAD5C03">
            <w:pPr>
              <w:spacing w:before="120" w:after="120" w:line="288" w:lineRule="auto"/>
              <w:rPr>
                <w:rFonts w:hint="eastAsia"/>
              </w:rPr>
            </w:pPr>
            <w:r>
              <w:rPr>
                <w:rFonts w:ascii="Arial" w:hAnsi="Arial" w:eastAsia="等线" w:cs="Arial"/>
              </w:rPr>
              <w:t>优于平均</w:t>
            </w:r>
          </w:p>
        </w:tc>
        <w:tc>
          <w:tcPr>
            <w:tcW w:w="1380" w:type="dxa"/>
            <w:tcMar>
              <w:top w:w="60" w:type="dxa"/>
              <w:left w:w="120" w:type="dxa"/>
              <w:bottom w:w="30" w:type="dxa"/>
              <w:right w:w="120" w:type="dxa"/>
            </w:tcMar>
          </w:tcPr>
          <w:p w14:paraId="6BAFB45B">
            <w:pPr>
              <w:spacing w:before="120" w:after="120" w:line="288" w:lineRule="auto"/>
              <w:rPr>
                <w:rFonts w:hint="eastAsia"/>
              </w:rPr>
            </w:pPr>
            <w:r>
              <w:rPr>
                <w:rFonts w:ascii="Arial" w:hAnsi="Arial" w:eastAsia="等线" w:cs="Arial"/>
              </w:rPr>
              <w:t>维持稳定</w:t>
            </w:r>
          </w:p>
        </w:tc>
      </w:tr>
    </w:tbl>
    <w:p w14:paraId="771F3A7C">
      <w:pPr>
        <w:spacing w:before="120" w:after="120" w:line="288" w:lineRule="auto"/>
        <w:rPr>
          <w:rFonts w:hint="eastAsia"/>
        </w:rPr>
      </w:pPr>
      <w:r>
        <w:rPr>
          <w:rFonts w:ascii="Arial" w:hAnsi="Arial" w:eastAsia="等线" w:cs="Arial"/>
        </w:rPr>
        <w:t>核心发现：生态环境满意度4.18分显著高于行业平均（3.5-3.8分），</w:t>
      </w:r>
      <w:r>
        <w:rPr>
          <w:rFonts w:ascii="Arial" w:hAnsi="Arial" w:eastAsia="等线" w:cs="Arial"/>
          <w:b/>
        </w:rPr>
        <w:t>一级水源地</w:t>
      </w:r>
      <w:r>
        <w:rPr>
          <w:rFonts w:ascii="Arial" w:hAnsi="Arial" w:eastAsia="等线" w:cs="Arial"/>
        </w:rPr>
        <w:t>构成难以复制的核心竞争壁垒；服务质量虽达标但波动大，需通过</w:t>
      </w:r>
      <w:r>
        <w:rPr>
          <w:rFonts w:ascii="Arial" w:hAnsi="Arial" w:eastAsia="等线" w:cs="Arial"/>
          <w:b/>
        </w:rPr>
        <w:t>认养管家</w:t>
      </w:r>
      <w:r>
        <w:rPr>
          <w:rFonts w:ascii="Arial" w:hAnsi="Arial" w:eastAsia="等线" w:cs="Arial"/>
        </w:rPr>
        <w:t>岗位设置与标准化培训解决。</w:t>
      </w:r>
    </w:p>
    <w:p w14:paraId="04138BC1">
      <w:pPr>
        <w:spacing w:before="240" w:after="120" w:line="288" w:lineRule="auto"/>
        <w:outlineLvl w:val="4"/>
        <w:rPr>
          <w:rFonts w:hint="eastAsia"/>
        </w:rPr>
      </w:pPr>
      <w:bookmarkStart w:id="37" w:name="heading_12"/>
      <w:r>
        <w:rPr>
          <w:rFonts w:ascii="Arial" w:hAnsi="Arial" w:eastAsia="等线" w:cs="Arial"/>
          <w:b/>
          <w:sz w:val="24"/>
        </w:rPr>
        <w:t>二、NPS净推荐值深度诊断</w:t>
      </w:r>
      <w:bookmarkEnd w:id="37"/>
    </w:p>
    <w:p w14:paraId="7CE52362">
      <w:pPr>
        <w:spacing w:before="120" w:after="120" w:line="288" w:lineRule="auto"/>
        <w:jc w:val="center"/>
        <w:rPr>
          <w:rFonts w:hint="eastAsia"/>
        </w:rPr>
      </w:pPr>
      <w:r>
        <w:rPr>
          <w:rFonts w:ascii="Arial" w:hAnsi="Arial" w:eastAsia="等线" w:cs="Arial"/>
        </w:rPr>
        <w:t>表 游客NPS净推荐值分析（N=120）</w:t>
      </w:r>
    </w:p>
    <w:tbl>
      <w:tblPr>
        <w:tblStyle w:val="1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153EBDD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D8B503F">
            <w:pPr>
              <w:spacing w:before="120" w:after="120" w:line="288" w:lineRule="auto"/>
              <w:rPr>
                <w:rFonts w:hint="eastAsia"/>
              </w:rPr>
            </w:pPr>
            <w:r>
              <w:rPr>
                <w:rFonts w:ascii="Arial" w:hAnsi="Arial" w:eastAsia="等线" w:cs="Arial"/>
              </w:rPr>
              <w:t>推荐类型</w:t>
            </w:r>
          </w:p>
        </w:tc>
        <w:tc>
          <w:tcPr>
            <w:tcW w:w="1650" w:type="dxa"/>
            <w:tcMar>
              <w:top w:w="60" w:type="dxa"/>
              <w:left w:w="120" w:type="dxa"/>
              <w:bottom w:w="30" w:type="dxa"/>
              <w:right w:w="120" w:type="dxa"/>
            </w:tcMar>
          </w:tcPr>
          <w:p w14:paraId="64928595">
            <w:pPr>
              <w:spacing w:before="120" w:after="120" w:line="288" w:lineRule="auto"/>
              <w:rPr>
                <w:rFonts w:hint="eastAsia"/>
              </w:rPr>
            </w:pPr>
            <w:r>
              <w:rPr>
                <w:rFonts w:ascii="Arial" w:hAnsi="Arial" w:eastAsia="等线" w:cs="Arial"/>
              </w:rPr>
              <w:t>评分区间</w:t>
            </w:r>
          </w:p>
        </w:tc>
        <w:tc>
          <w:tcPr>
            <w:tcW w:w="1650" w:type="dxa"/>
            <w:tcMar>
              <w:top w:w="60" w:type="dxa"/>
              <w:left w:w="120" w:type="dxa"/>
              <w:bottom w:w="30" w:type="dxa"/>
              <w:right w:w="120" w:type="dxa"/>
            </w:tcMar>
          </w:tcPr>
          <w:p w14:paraId="641B9957">
            <w:pPr>
              <w:spacing w:before="120" w:after="120" w:line="288" w:lineRule="auto"/>
              <w:rPr>
                <w:rFonts w:hint="eastAsia"/>
              </w:rPr>
            </w:pPr>
            <w:r>
              <w:rPr>
                <w:rFonts w:ascii="Arial" w:hAnsi="Arial" w:eastAsia="等线" w:cs="Arial"/>
              </w:rPr>
              <w:t>频数</w:t>
            </w:r>
          </w:p>
        </w:tc>
        <w:tc>
          <w:tcPr>
            <w:tcW w:w="1650" w:type="dxa"/>
            <w:tcMar>
              <w:top w:w="60" w:type="dxa"/>
              <w:left w:w="120" w:type="dxa"/>
              <w:bottom w:w="30" w:type="dxa"/>
              <w:right w:w="120" w:type="dxa"/>
            </w:tcMar>
          </w:tcPr>
          <w:p w14:paraId="11D6943F">
            <w:pPr>
              <w:spacing w:before="120" w:after="120" w:line="288" w:lineRule="auto"/>
              <w:rPr>
                <w:rFonts w:hint="eastAsia"/>
              </w:rPr>
            </w:pPr>
            <w:r>
              <w:rPr>
                <w:rFonts w:ascii="Arial" w:hAnsi="Arial" w:eastAsia="等线" w:cs="Arial"/>
              </w:rPr>
              <w:t>占比</w:t>
            </w:r>
          </w:p>
        </w:tc>
        <w:tc>
          <w:tcPr>
            <w:tcW w:w="1650" w:type="dxa"/>
            <w:tcMar>
              <w:top w:w="60" w:type="dxa"/>
              <w:left w:w="120" w:type="dxa"/>
              <w:bottom w:w="30" w:type="dxa"/>
              <w:right w:w="120" w:type="dxa"/>
            </w:tcMar>
          </w:tcPr>
          <w:p w14:paraId="7001EF1A">
            <w:pPr>
              <w:spacing w:before="120" w:after="120" w:line="288" w:lineRule="auto"/>
              <w:rPr>
                <w:rFonts w:hint="eastAsia"/>
              </w:rPr>
            </w:pPr>
            <w:r>
              <w:rPr>
                <w:rFonts w:ascii="Arial" w:hAnsi="Arial" w:eastAsia="等线" w:cs="Arial"/>
              </w:rPr>
              <w:t>特征描述</w:t>
            </w:r>
          </w:p>
        </w:tc>
      </w:tr>
      <w:tr w14:paraId="17CFBB3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304E10E">
            <w:pPr>
              <w:spacing w:before="120" w:after="120" w:line="288" w:lineRule="auto"/>
              <w:rPr>
                <w:rFonts w:hint="eastAsia"/>
              </w:rPr>
            </w:pPr>
            <w:r>
              <w:rPr>
                <w:rFonts w:ascii="Arial" w:hAnsi="Arial" w:eastAsia="等线" w:cs="Arial"/>
              </w:rPr>
              <w:t>推荐者(Promoters)</w:t>
            </w:r>
          </w:p>
        </w:tc>
        <w:tc>
          <w:tcPr>
            <w:tcW w:w="1650" w:type="dxa"/>
            <w:tcMar>
              <w:top w:w="60" w:type="dxa"/>
              <w:left w:w="120" w:type="dxa"/>
              <w:bottom w:w="30" w:type="dxa"/>
              <w:right w:w="120" w:type="dxa"/>
            </w:tcMar>
          </w:tcPr>
          <w:p w14:paraId="0D3A9FAB">
            <w:pPr>
              <w:spacing w:before="120" w:after="120" w:line="288" w:lineRule="auto"/>
              <w:rPr>
                <w:rFonts w:hint="eastAsia"/>
              </w:rPr>
            </w:pPr>
            <w:r>
              <w:rPr>
                <w:rFonts w:ascii="Arial" w:hAnsi="Arial" w:eastAsia="等线" w:cs="Arial"/>
              </w:rPr>
              <w:t>9-10分</w:t>
            </w:r>
          </w:p>
        </w:tc>
        <w:tc>
          <w:tcPr>
            <w:tcW w:w="1650" w:type="dxa"/>
            <w:tcMar>
              <w:top w:w="60" w:type="dxa"/>
              <w:left w:w="120" w:type="dxa"/>
              <w:bottom w:w="30" w:type="dxa"/>
              <w:right w:w="120" w:type="dxa"/>
            </w:tcMar>
          </w:tcPr>
          <w:p w14:paraId="1D0C24D6">
            <w:pPr>
              <w:spacing w:before="120" w:after="120" w:line="288" w:lineRule="auto"/>
              <w:rPr>
                <w:rFonts w:hint="eastAsia"/>
              </w:rPr>
            </w:pPr>
            <w:r>
              <w:rPr>
                <w:rFonts w:ascii="Arial" w:hAnsi="Arial" w:eastAsia="等线" w:cs="Arial"/>
              </w:rPr>
              <w:t>38</w:t>
            </w:r>
          </w:p>
        </w:tc>
        <w:tc>
          <w:tcPr>
            <w:tcW w:w="1650" w:type="dxa"/>
            <w:tcMar>
              <w:top w:w="60" w:type="dxa"/>
              <w:left w:w="120" w:type="dxa"/>
              <w:bottom w:w="30" w:type="dxa"/>
              <w:right w:w="120" w:type="dxa"/>
            </w:tcMar>
          </w:tcPr>
          <w:p w14:paraId="75EDE4AE">
            <w:pPr>
              <w:spacing w:before="120" w:after="120" w:line="288" w:lineRule="auto"/>
              <w:rPr>
                <w:rFonts w:hint="eastAsia"/>
              </w:rPr>
            </w:pPr>
            <w:r>
              <w:rPr>
                <w:rFonts w:ascii="Arial" w:hAnsi="Arial" w:eastAsia="等线" w:cs="Arial"/>
              </w:rPr>
              <w:t>31.7%</w:t>
            </w:r>
          </w:p>
        </w:tc>
        <w:tc>
          <w:tcPr>
            <w:tcW w:w="1650" w:type="dxa"/>
            <w:tcMar>
              <w:top w:w="60" w:type="dxa"/>
              <w:left w:w="120" w:type="dxa"/>
              <w:bottom w:w="30" w:type="dxa"/>
              <w:right w:w="120" w:type="dxa"/>
            </w:tcMar>
          </w:tcPr>
          <w:p w14:paraId="426AD73B">
            <w:pPr>
              <w:spacing w:before="120" w:after="120" w:line="288" w:lineRule="auto"/>
              <w:rPr>
                <w:rFonts w:hint="eastAsia"/>
              </w:rPr>
            </w:pPr>
            <w:r>
              <w:rPr>
                <w:rFonts w:ascii="Arial" w:hAnsi="Arial" w:eastAsia="等线" w:cs="Arial"/>
              </w:rPr>
              <w:t>忠诚拥护者，主动传播</w:t>
            </w:r>
          </w:p>
        </w:tc>
      </w:tr>
      <w:tr w14:paraId="20B1841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74D0897">
            <w:pPr>
              <w:spacing w:before="120" w:after="120" w:line="288" w:lineRule="auto"/>
              <w:rPr>
                <w:rFonts w:hint="eastAsia"/>
              </w:rPr>
            </w:pPr>
            <w:r>
              <w:rPr>
                <w:rFonts w:ascii="Arial" w:hAnsi="Arial" w:eastAsia="等线" w:cs="Arial"/>
              </w:rPr>
              <w:t>被动者(Passives)</w:t>
            </w:r>
          </w:p>
        </w:tc>
        <w:tc>
          <w:tcPr>
            <w:tcW w:w="1650" w:type="dxa"/>
            <w:tcMar>
              <w:top w:w="60" w:type="dxa"/>
              <w:left w:w="120" w:type="dxa"/>
              <w:bottom w:w="30" w:type="dxa"/>
              <w:right w:w="120" w:type="dxa"/>
            </w:tcMar>
          </w:tcPr>
          <w:p w14:paraId="014F4EC5">
            <w:pPr>
              <w:spacing w:before="120" w:after="120" w:line="288" w:lineRule="auto"/>
              <w:rPr>
                <w:rFonts w:hint="eastAsia"/>
              </w:rPr>
            </w:pPr>
            <w:r>
              <w:rPr>
                <w:rFonts w:ascii="Arial" w:hAnsi="Arial" w:eastAsia="等线" w:cs="Arial"/>
              </w:rPr>
              <w:t>7-8分</w:t>
            </w:r>
          </w:p>
        </w:tc>
        <w:tc>
          <w:tcPr>
            <w:tcW w:w="1650" w:type="dxa"/>
            <w:tcMar>
              <w:top w:w="60" w:type="dxa"/>
              <w:left w:w="120" w:type="dxa"/>
              <w:bottom w:w="30" w:type="dxa"/>
              <w:right w:w="120" w:type="dxa"/>
            </w:tcMar>
          </w:tcPr>
          <w:p w14:paraId="5A8D7ABC">
            <w:pPr>
              <w:spacing w:before="120" w:after="120" w:line="288" w:lineRule="auto"/>
              <w:rPr>
                <w:rFonts w:hint="eastAsia"/>
              </w:rPr>
            </w:pPr>
            <w:r>
              <w:rPr>
                <w:rFonts w:ascii="Arial" w:hAnsi="Arial" w:eastAsia="等线" w:cs="Arial"/>
              </w:rPr>
              <w:t>31</w:t>
            </w:r>
          </w:p>
        </w:tc>
        <w:tc>
          <w:tcPr>
            <w:tcW w:w="1650" w:type="dxa"/>
            <w:tcMar>
              <w:top w:w="60" w:type="dxa"/>
              <w:left w:w="120" w:type="dxa"/>
              <w:bottom w:w="30" w:type="dxa"/>
              <w:right w:w="120" w:type="dxa"/>
            </w:tcMar>
          </w:tcPr>
          <w:p w14:paraId="00AA6DB8">
            <w:pPr>
              <w:spacing w:before="120" w:after="120" w:line="288" w:lineRule="auto"/>
              <w:rPr>
                <w:rFonts w:hint="eastAsia"/>
              </w:rPr>
            </w:pPr>
            <w:r>
              <w:rPr>
                <w:rFonts w:ascii="Arial" w:hAnsi="Arial" w:eastAsia="等线" w:cs="Arial"/>
              </w:rPr>
              <w:t>25.8%</w:t>
            </w:r>
          </w:p>
        </w:tc>
        <w:tc>
          <w:tcPr>
            <w:tcW w:w="1650" w:type="dxa"/>
            <w:tcMar>
              <w:top w:w="60" w:type="dxa"/>
              <w:left w:w="120" w:type="dxa"/>
              <w:bottom w:w="30" w:type="dxa"/>
              <w:right w:w="120" w:type="dxa"/>
            </w:tcMar>
          </w:tcPr>
          <w:p w14:paraId="253FEE9B">
            <w:pPr>
              <w:spacing w:before="120" w:after="120" w:line="288" w:lineRule="auto"/>
              <w:rPr>
                <w:rFonts w:hint="eastAsia"/>
              </w:rPr>
            </w:pPr>
            <w:r>
              <w:rPr>
                <w:rFonts w:ascii="Arial" w:hAnsi="Arial" w:eastAsia="等线" w:cs="Arial"/>
              </w:rPr>
              <w:t>满意但冷漠，易被竞品转化</w:t>
            </w:r>
          </w:p>
        </w:tc>
      </w:tr>
      <w:tr w14:paraId="64B307C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524DB74">
            <w:pPr>
              <w:spacing w:before="120" w:after="120" w:line="288" w:lineRule="auto"/>
              <w:rPr>
                <w:rFonts w:hint="eastAsia"/>
              </w:rPr>
            </w:pPr>
            <w:r>
              <w:rPr>
                <w:rFonts w:ascii="Arial" w:hAnsi="Arial" w:eastAsia="等线" w:cs="Arial"/>
              </w:rPr>
              <w:t>贬损者(Detractors)</w:t>
            </w:r>
          </w:p>
        </w:tc>
        <w:tc>
          <w:tcPr>
            <w:tcW w:w="1650" w:type="dxa"/>
            <w:tcMar>
              <w:top w:w="60" w:type="dxa"/>
              <w:left w:w="120" w:type="dxa"/>
              <w:bottom w:w="30" w:type="dxa"/>
              <w:right w:w="120" w:type="dxa"/>
            </w:tcMar>
          </w:tcPr>
          <w:p w14:paraId="0203CDB8">
            <w:pPr>
              <w:spacing w:before="120" w:after="120" w:line="288" w:lineRule="auto"/>
              <w:rPr>
                <w:rFonts w:hint="eastAsia"/>
              </w:rPr>
            </w:pPr>
            <w:r>
              <w:rPr>
                <w:rFonts w:ascii="Arial" w:hAnsi="Arial" w:eastAsia="等线" w:cs="Arial"/>
              </w:rPr>
              <w:t>0-6分</w:t>
            </w:r>
          </w:p>
        </w:tc>
        <w:tc>
          <w:tcPr>
            <w:tcW w:w="1650" w:type="dxa"/>
            <w:tcMar>
              <w:top w:w="60" w:type="dxa"/>
              <w:left w:w="120" w:type="dxa"/>
              <w:bottom w:w="30" w:type="dxa"/>
              <w:right w:w="120" w:type="dxa"/>
            </w:tcMar>
          </w:tcPr>
          <w:p w14:paraId="66F7BC18">
            <w:pPr>
              <w:spacing w:before="120" w:after="120" w:line="288" w:lineRule="auto"/>
              <w:rPr>
                <w:rFonts w:hint="eastAsia"/>
              </w:rPr>
            </w:pPr>
            <w:r>
              <w:rPr>
                <w:rFonts w:ascii="Arial" w:hAnsi="Arial" w:eastAsia="等线" w:cs="Arial"/>
              </w:rPr>
              <w:t>51</w:t>
            </w:r>
          </w:p>
        </w:tc>
        <w:tc>
          <w:tcPr>
            <w:tcW w:w="1650" w:type="dxa"/>
            <w:tcMar>
              <w:top w:w="60" w:type="dxa"/>
              <w:left w:w="120" w:type="dxa"/>
              <w:bottom w:w="30" w:type="dxa"/>
              <w:right w:w="120" w:type="dxa"/>
            </w:tcMar>
          </w:tcPr>
          <w:p w14:paraId="48F7E406">
            <w:pPr>
              <w:spacing w:before="120" w:after="120" w:line="288" w:lineRule="auto"/>
              <w:rPr>
                <w:rFonts w:hint="eastAsia"/>
              </w:rPr>
            </w:pPr>
            <w:r>
              <w:rPr>
                <w:rFonts w:ascii="Arial" w:hAnsi="Arial" w:eastAsia="等线" w:cs="Arial"/>
              </w:rPr>
              <w:t>42.5%</w:t>
            </w:r>
          </w:p>
        </w:tc>
        <w:tc>
          <w:tcPr>
            <w:tcW w:w="1650" w:type="dxa"/>
            <w:tcMar>
              <w:top w:w="60" w:type="dxa"/>
              <w:left w:w="120" w:type="dxa"/>
              <w:bottom w:w="30" w:type="dxa"/>
              <w:right w:w="120" w:type="dxa"/>
            </w:tcMar>
          </w:tcPr>
          <w:p w14:paraId="68F39BF5">
            <w:pPr>
              <w:spacing w:before="120" w:after="120" w:line="288" w:lineRule="auto"/>
              <w:rPr>
                <w:rFonts w:hint="eastAsia"/>
              </w:rPr>
            </w:pPr>
            <w:r>
              <w:rPr>
                <w:rFonts w:ascii="Arial" w:hAnsi="Arial" w:eastAsia="等线" w:cs="Arial"/>
              </w:rPr>
              <w:t>体验不佳，负面传播风险</w:t>
            </w:r>
          </w:p>
        </w:tc>
      </w:tr>
      <w:tr w14:paraId="049676A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33E4E36">
            <w:pPr>
              <w:spacing w:before="120" w:after="120" w:line="288" w:lineRule="auto"/>
              <w:rPr>
                <w:rFonts w:hint="eastAsia"/>
              </w:rPr>
            </w:pPr>
            <w:r>
              <w:rPr>
                <w:rFonts w:ascii="Arial" w:hAnsi="Arial" w:eastAsia="等线" w:cs="Arial"/>
              </w:rPr>
              <w:t>NPS值</w:t>
            </w:r>
          </w:p>
        </w:tc>
        <w:tc>
          <w:tcPr>
            <w:tcW w:w="1650" w:type="dxa"/>
            <w:tcMar>
              <w:top w:w="60" w:type="dxa"/>
              <w:left w:w="120" w:type="dxa"/>
              <w:bottom w:w="30" w:type="dxa"/>
              <w:right w:w="120" w:type="dxa"/>
            </w:tcMar>
          </w:tcPr>
          <w:p w14:paraId="484B3D31">
            <w:pPr>
              <w:spacing w:before="120" w:after="120" w:line="288" w:lineRule="auto"/>
              <w:rPr>
                <w:rFonts w:hint="eastAsia"/>
              </w:rPr>
            </w:pPr>
            <w:r>
              <w:rPr>
                <w:rFonts w:ascii="Arial" w:hAnsi="Arial" w:eastAsia="等线" w:cs="Arial"/>
              </w:rPr>
              <w:t>-</w:t>
            </w:r>
          </w:p>
        </w:tc>
        <w:tc>
          <w:tcPr>
            <w:tcW w:w="1650" w:type="dxa"/>
            <w:tcMar>
              <w:top w:w="60" w:type="dxa"/>
              <w:left w:w="120" w:type="dxa"/>
              <w:bottom w:w="30" w:type="dxa"/>
              <w:right w:w="120" w:type="dxa"/>
            </w:tcMar>
          </w:tcPr>
          <w:p w14:paraId="097756E6">
            <w:pPr>
              <w:spacing w:before="120" w:after="120" w:line="288" w:lineRule="auto"/>
              <w:rPr>
                <w:rFonts w:hint="eastAsia"/>
              </w:rPr>
            </w:pPr>
            <w:r>
              <w:rPr>
                <w:rFonts w:ascii="Arial" w:hAnsi="Arial" w:eastAsia="等线" w:cs="Arial"/>
              </w:rPr>
              <w:t>-</w:t>
            </w:r>
          </w:p>
        </w:tc>
        <w:tc>
          <w:tcPr>
            <w:tcW w:w="1650" w:type="dxa"/>
            <w:tcMar>
              <w:top w:w="60" w:type="dxa"/>
              <w:left w:w="120" w:type="dxa"/>
              <w:bottom w:w="30" w:type="dxa"/>
              <w:right w:w="120" w:type="dxa"/>
            </w:tcMar>
          </w:tcPr>
          <w:p w14:paraId="424D5DB7">
            <w:pPr>
              <w:spacing w:before="120" w:after="120" w:line="288" w:lineRule="auto"/>
              <w:rPr>
                <w:rFonts w:hint="eastAsia"/>
              </w:rPr>
            </w:pPr>
            <w:r>
              <w:rPr>
                <w:rFonts w:ascii="Arial" w:hAnsi="Arial" w:eastAsia="等线" w:cs="Arial"/>
              </w:rPr>
              <w:t>-10.8%</w:t>
            </w:r>
          </w:p>
        </w:tc>
        <w:tc>
          <w:tcPr>
            <w:tcW w:w="1650" w:type="dxa"/>
            <w:tcMar>
              <w:top w:w="60" w:type="dxa"/>
              <w:left w:w="120" w:type="dxa"/>
              <w:bottom w:w="30" w:type="dxa"/>
              <w:right w:w="120" w:type="dxa"/>
            </w:tcMar>
          </w:tcPr>
          <w:p w14:paraId="2D111D1C">
            <w:pPr>
              <w:spacing w:before="120" w:after="120" w:line="288" w:lineRule="auto"/>
              <w:rPr>
                <w:rFonts w:hint="eastAsia"/>
              </w:rPr>
            </w:pPr>
            <w:r>
              <w:rPr>
                <w:rFonts w:ascii="Arial" w:hAnsi="Arial" w:eastAsia="等线" w:cs="Arial"/>
              </w:rPr>
              <w:t>贬损者多于推荐者</w:t>
            </w:r>
          </w:p>
        </w:tc>
      </w:tr>
    </w:tbl>
    <w:p w14:paraId="5A1A7DAE">
      <w:pPr>
        <w:spacing w:before="120" w:after="120" w:line="288" w:lineRule="auto"/>
        <w:jc w:val="center"/>
        <w:rPr>
          <w:rFonts w:ascii="Arial" w:hAnsi="Arial" w:eastAsia="等线" w:cs="Arial"/>
        </w:rPr>
      </w:pPr>
      <w:r>
        <w:drawing>
          <wp:inline distT="0" distB="0" distL="0" distR="0">
            <wp:extent cx="2459355" cy="2665730"/>
            <wp:effectExtent l="0" t="0" r="4445" b="1270"/>
            <wp:docPr id="116563150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631502" name="图片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2459355" cy="2665730"/>
                    </a:xfrm>
                    <a:prstGeom prst="rect">
                      <a:avLst/>
                    </a:prstGeom>
                    <a:noFill/>
                    <a:ln>
                      <a:noFill/>
                    </a:ln>
                  </pic:spPr>
                </pic:pic>
              </a:graphicData>
            </a:graphic>
          </wp:inline>
        </w:drawing>
      </w:r>
    </w:p>
    <w:p w14:paraId="1B533A24">
      <w:pPr>
        <w:spacing w:before="120" w:after="120" w:line="288" w:lineRule="auto"/>
        <w:rPr>
          <w:rFonts w:hint="eastAsia"/>
        </w:rPr>
      </w:pPr>
      <w:r>
        <w:rPr>
          <w:rFonts w:ascii="Arial" w:hAnsi="Arial" w:eastAsia="等线" w:cs="Arial"/>
        </w:rPr>
        <w:t>核心发现：当前NPS为-10.8%，表明游客体验存在系统性短板。深度分析51名贬损者，识别三大核心痛点：</w:t>
      </w:r>
    </w:p>
    <w:p w14:paraId="62EA3D82">
      <w:pPr>
        <w:numPr>
          <w:ilvl w:val="0"/>
          <w:numId w:val="2"/>
        </w:numPr>
        <w:spacing w:before="120" w:after="120" w:line="288" w:lineRule="auto"/>
        <w:rPr>
          <w:rFonts w:hint="eastAsia"/>
        </w:rPr>
      </w:pPr>
      <w:r>
        <w:rPr>
          <w:rFonts w:ascii="Arial" w:hAnsi="Arial" w:eastAsia="等线" w:cs="Arial"/>
        </w:rPr>
        <w:t>停留时间短（18.3%游客&lt;3小时）：通过</w:t>
      </w:r>
      <w:r>
        <w:rPr>
          <w:rFonts w:ascii="Arial" w:hAnsi="Arial" w:eastAsia="等线" w:cs="Arial"/>
          <w:b/>
        </w:rPr>
        <w:t>骑行+采摘+餐饮+体验</w:t>
      </w:r>
      <w:r>
        <w:rPr>
          <w:rFonts w:ascii="Arial" w:hAnsi="Arial" w:eastAsia="等线" w:cs="Arial"/>
        </w:rPr>
        <w:t>套餐延长至4-8小时</w:t>
      </w:r>
    </w:p>
    <w:p w14:paraId="4F469A8A">
      <w:pPr>
        <w:numPr>
          <w:ilvl w:val="0"/>
          <w:numId w:val="3"/>
        </w:numPr>
        <w:spacing w:before="120" w:after="120" w:line="288" w:lineRule="auto"/>
        <w:rPr>
          <w:rFonts w:hint="eastAsia"/>
        </w:rPr>
      </w:pPr>
      <w:r>
        <w:rPr>
          <w:rFonts w:ascii="Arial" w:hAnsi="Arial" w:eastAsia="等线" w:cs="Arial"/>
        </w:rPr>
        <w:t>二次消费低（10.8%游客&lt;300元）：升级文创产品、丰富深加工场景</w:t>
      </w:r>
    </w:p>
    <w:p w14:paraId="62A372B4">
      <w:pPr>
        <w:numPr>
          <w:ilvl w:val="0"/>
          <w:numId w:val="4"/>
        </w:numPr>
        <w:spacing w:before="120" w:after="120" w:line="288" w:lineRule="auto"/>
        <w:rPr>
          <w:rFonts w:hint="eastAsia"/>
        </w:rPr>
      </w:pPr>
      <w:r>
        <w:rPr>
          <w:rFonts w:ascii="Arial" w:hAnsi="Arial" w:eastAsia="等线" w:cs="Arial"/>
        </w:rPr>
        <w:t>服务断点：部署</w:t>
      </w:r>
      <w:r>
        <w:rPr>
          <w:rFonts w:ascii="Arial" w:hAnsi="Arial" w:eastAsia="等线" w:cs="Arial"/>
          <w:b/>
        </w:rPr>
        <w:t>认养管家</w:t>
      </w:r>
      <w:r>
        <w:rPr>
          <w:rFonts w:ascii="Arial" w:hAnsi="Arial" w:eastAsia="等线" w:cs="Arial"/>
        </w:rPr>
        <w:t>、上线小程序智能导航</w:t>
      </w:r>
    </w:p>
    <w:p w14:paraId="337443AD">
      <w:pPr>
        <w:spacing w:before="120" w:after="120" w:line="288" w:lineRule="auto"/>
        <w:rPr>
          <w:rFonts w:hint="eastAsia"/>
        </w:rPr>
      </w:pPr>
      <w:r>
        <w:rPr>
          <w:rFonts w:ascii="Arial" w:hAnsi="Arial" w:eastAsia="等线" w:cs="Arial"/>
        </w:rPr>
        <w:t>改进目标：Y1提升至0% → Y2达到15-20% → Y3达到30%以上</w:t>
      </w:r>
    </w:p>
    <w:p w14:paraId="0E5506FD">
      <w:pPr>
        <w:spacing w:before="240" w:after="120" w:line="288" w:lineRule="auto"/>
        <w:outlineLvl w:val="4"/>
        <w:rPr>
          <w:rFonts w:hint="eastAsia"/>
        </w:rPr>
      </w:pPr>
      <w:bookmarkStart w:id="38" w:name="heading_13"/>
      <w:r>
        <w:rPr>
          <w:rFonts w:ascii="Arial" w:hAnsi="Arial" w:eastAsia="等线" w:cs="Arial"/>
          <w:b/>
          <w:sz w:val="24"/>
        </w:rPr>
        <w:t>三、重购意愿分析</w:t>
      </w:r>
      <w:bookmarkEnd w:id="38"/>
    </w:p>
    <w:p w14:paraId="7F2A4CC2">
      <w:pPr>
        <w:spacing w:before="260" w:after="120" w:line="288" w:lineRule="auto"/>
        <w:outlineLvl w:val="3"/>
        <w:rPr>
          <w:rFonts w:ascii="Arial" w:hAnsi="Arial" w:eastAsia="等线" w:cs="Arial"/>
        </w:rPr>
      </w:pPr>
      <w:bookmarkStart w:id="39" w:name="heading_14"/>
      <w:r>
        <w:rPr>
          <w:rFonts w:ascii="Arial" w:hAnsi="Arial" w:eastAsia="等线" w:cs="Arial"/>
        </w:rPr>
        <w:t>游客平均重购意愿为 3.77 分，其中 64.2% 的游客表现出高重购意愿（≥4 分），提升服务品质是驱动复购的最关键杠杆。</w:t>
      </w:r>
    </w:p>
    <w:p w14:paraId="2D1C3405">
      <w:pPr>
        <w:spacing w:before="260" w:after="120" w:line="288" w:lineRule="auto"/>
        <w:outlineLvl w:val="3"/>
        <w:rPr>
          <w:rFonts w:hint="eastAsia"/>
        </w:rPr>
      </w:pPr>
      <w:r>
        <w:rPr>
          <w:rFonts w:ascii="Arial" w:hAnsi="Arial" w:eastAsia="等线" w:cs="Arial"/>
          <w:b/>
          <w:sz w:val="28"/>
        </w:rPr>
        <w:t>[3.2.3.3] 游客消费行为特征深度洞察（N=120）</w:t>
      </w:r>
      <w:bookmarkEnd w:id="39"/>
    </w:p>
    <w:p w14:paraId="2E0469CD">
      <w:pPr>
        <w:spacing w:before="240" w:after="120" w:line="288" w:lineRule="auto"/>
        <w:outlineLvl w:val="4"/>
        <w:rPr>
          <w:rFonts w:hint="eastAsia"/>
        </w:rPr>
      </w:pPr>
      <w:bookmarkStart w:id="40" w:name="heading_15"/>
      <w:r>
        <w:rPr>
          <w:rFonts w:ascii="Arial" w:hAnsi="Arial" w:eastAsia="等线" w:cs="Arial"/>
          <w:b/>
          <w:sz w:val="24"/>
        </w:rPr>
        <w:t>一、停留时长与消费关联</w:t>
      </w:r>
      <w:bookmarkEnd w:id="40"/>
    </w:p>
    <w:p w14:paraId="59BCA50E">
      <w:pPr>
        <w:spacing w:before="120" w:after="120" w:line="288" w:lineRule="auto"/>
        <w:jc w:val="center"/>
        <w:rPr>
          <w:rFonts w:ascii="Arial" w:hAnsi="Arial" w:eastAsia="等线" w:cs="Arial"/>
        </w:rPr>
      </w:pPr>
      <w:r>
        <w:drawing>
          <wp:inline distT="0" distB="0" distL="0" distR="0">
            <wp:extent cx="3883025" cy="2395220"/>
            <wp:effectExtent l="0" t="0" r="3175" b="5080"/>
            <wp:docPr id="18608169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816930" name="图片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3883025" cy="2395220"/>
                    </a:xfrm>
                    <a:prstGeom prst="rect">
                      <a:avLst/>
                    </a:prstGeom>
                    <a:noFill/>
                    <a:ln>
                      <a:noFill/>
                    </a:ln>
                  </pic:spPr>
                </pic:pic>
              </a:graphicData>
            </a:graphic>
          </wp:inline>
        </w:drawing>
      </w:r>
    </w:p>
    <w:p w14:paraId="3BE10BE7">
      <w:pPr>
        <w:spacing w:before="120" w:after="120" w:line="288" w:lineRule="auto"/>
        <w:rPr>
          <w:rFonts w:ascii="Arial" w:hAnsi="Arial" w:eastAsia="等线" w:cs="Arial"/>
        </w:rPr>
      </w:pPr>
      <w:r>
        <w:rPr>
          <w:rFonts w:ascii="Arial" w:hAnsi="Arial" w:eastAsia="等线" w:cs="Arial"/>
        </w:rPr>
        <w:t>核心发现：</w:t>
      </w:r>
      <w:bookmarkStart w:id="41" w:name="heading_16"/>
      <w:r>
        <w:rPr>
          <w:rFonts w:ascii="Arial" w:hAnsi="Arial" w:eastAsia="等线" w:cs="Arial"/>
        </w:rPr>
        <w:t>游客停留时长与消费金额呈极强正相关：</w:t>
      </w:r>
      <w:r>
        <w:rPr>
          <w:rFonts w:ascii="Arial" w:hAnsi="Arial" w:eastAsia="等线" w:cs="Arial"/>
          <w:b/>
          <w:bCs/>
        </w:rPr>
        <w:t>停留超过 5 小时的游客平均消费 631 元，是停留不足 3 小时游客（312 元）的 2.02 倍</w:t>
      </w:r>
      <w:r>
        <w:rPr>
          <w:rFonts w:ascii="Arial" w:hAnsi="Arial" w:eastAsia="等线" w:cs="Arial"/>
        </w:rPr>
        <w:t>。结合 SEM 模型结论，游客停留时长每延长 1 小时，消费金额可增加 138.15 元，延长停留时间是提升客单价的最有效策略。</w:t>
      </w:r>
    </w:p>
    <w:bookmarkEnd w:id="41"/>
    <w:p w14:paraId="61FC3307">
      <w:pPr>
        <w:spacing w:before="240" w:after="120" w:line="288" w:lineRule="auto"/>
        <w:outlineLvl w:val="4"/>
        <w:rPr>
          <w:rFonts w:ascii="Arial" w:hAnsi="Arial" w:eastAsia="等线" w:cs="Arial"/>
          <w:bCs/>
          <w:szCs w:val="22"/>
        </w:rPr>
      </w:pPr>
      <w:bookmarkStart w:id="42" w:name="heading_17"/>
      <w:r>
        <w:rPr>
          <w:rFonts w:ascii="Arial" w:hAnsi="Arial" w:eastAsia="等线" w:cs="Arial"/>
          <w:bCs/>
          <w:szCs w:val="22"/>
        </w:rPr>
        <w:t>游客人均消费 493 元（中位数 476 元），比京郊乡村旅游平均水平高出 40.9%，其中 65.0% 的游客消费在 300-600 元区间，24.2% 的游客消费超过 600 元，证明 “水源地 + 骑行” 的差异化定位已实现显著溢价。</w:t>
      </w:r>
    </w:p>
    <w:p w14:paraId="23AEF0C2">
      <w:pPr>
        <w:pStyle w:val="20"/>
        <w:numPr>
          <w:ilvl w:val="0"/>
          <w:numId w:val="1"/>
        </w:numPr>
        <w:spacing w:before="240" w:after="120" w:line="288" w:lineRule="auto"/>
        <w:ind w:firstLineChars="0"/>
        <w:outlineLvl w:val="4"/>
        <w:rPr>
          <w:rFonts w:ascii="Arial" w:hAnsi="Arial" w:eastAsia="等线" w:cs="Arial"/>
          <w:b/>
          <w:sz w:val="24"/>
        </w:rPr>
      </w:pPr>
      <w:r>
        <w:rPr>
          <w:rFonts w:ascii="Arial" w:hAnsi="Arial" w:eastAsia="等线" w:cs="Arial"/>
          <w:b/>
          <w:sz w:val="24"/>
        </w:rPr>
        <w:t>交通与团队特征</w:t>
      </w:r>
      <w:bookmarkEnd w:id="42"/>
    </w:p>
    <w:p w14:paraId="32DC9896">
      <w:pPr>
        <w:spacing w:before="240" w:after="120" w:line="288" w:lineRule="auto"/>
        <w:jc w:val="center"/>
        <w:outlineLvl w:val="4"/>
        <w:rPr>
          <w:rFonts w:hint="eastAsia"/>
        </w:rPr>
      </w:pPr>
      <w:r>
        <w:drawing>
          <wp:inline distT="0" distB="0" distL="0" distR="0">
            <wp:extent cx="3920490" cy="2418080"/>
            <wp:effectExtent l="0" t="0" r="3810" b="7620"/>
            <wp:docPr id="216336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3615" name="图片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3920490" cy="2418080"/>
                    </a:xfrm>
                    <a:prstGeom prst="rect">
                      <a:avLst/>
                    </a:prstGeom>
                    <a:noFill/>
                    <a:ln>
                      <a:noFill/>
                    </a:ln>
                  </pic:spPr>
                </pic:pic>
              </a:graphicData>
            </a:graphic>
          </wp:inline>
        </w:drawing>
      </w:r>
    </w:p>
    <w:p w14:paraId="09570444">
      <w:pPr>
        <w:spacing w:before="120" w:after="120" w:line="288" w:lineRule="auto"/>
        <w:rPr>
          <w:rFonts w:hint="eastAsia"/>
        </w:rPr>
      </w:pPr>
      <w:r>
        <w:rPr>
          <w:rFonts w:ascii="Arial" w:hAnsi="Arial" w:eastAsia="等线" w:cs="Arial"/>
        </w:rPr>
        <w:t>表 游客交通方式与行为特征关联分析（N=120）</w:t>
      </w:r>
    </w:p>
    <w:tbl>
      <w:tblPr>
        <w:tblStyle w:val="1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035"/>
        <w:gridCol w:w="1035"/>
        <w:gridCol w:w="1035"/>
        <w:gridCol w:w="1035"/>
        <w:gridCol w:w="1035"/>
        <w:gridCol w:w="1035"/>
        <w:gridCol w:w="1035"/>
        <w:gridCol w:w="1035"/>
      </w:tblGrid>
      <w:tr w14:paraId="7D16DB9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6A4B6A9C">
            <w:pPr>
              <w:spacing w:before="120" w:after="120" w:line="288" w:lineRule="auto"/>
              <w:rPr>
                <w:rFonts w:hint="eastAsia"/>
              </w:rPr>
            </w:pPr>
            <w:r>
              <w:rPr>
                <w:rFonts w:ascii="Arial" w:hAnsi="Arial" w:eastAsia="等线" w:cs="Arial"/>
              </w:rPr>
              <w:t>交通方式</w:t>
            </w:r>
          </w:p>
        </w:tc>
        <w:tc>
          <w:tcPr>
            <w:tcW w:w="1035" w:type="dxa"/>
            <w:tcMar>
              <w:top w:w="60" w:type="dxa"/>
              <w:left w:w="120" w:type="dxa"/>
              <w:bottom w:w="30" w:type="dxa"/>
              <w:right w:w="120" w:type="dxa"/>
            </w:tcMar>
          </w:tcPr>
          <w:p w14:paraId="6A45CE91">
            <w:pPr>
              <w:spacing w:before="120" w:after="120" w:line="288" w:lineRule="auto"/>
              <w:rPr>
                <w:rFonts w:hint="eastAsia"/>
              </w:rPr>
            </w:pPr>
            <w:r>
              <w:rPr>
                <w:rFonts w:ascii="Arial" w:hAnsi="Arial" w:eastAsia="等线" w:cs="Arial"/>
              </w:rPr>
              <w:t>频数</w:t>
            </w:r>
          </w:p>
        </w:tc>
        <w:tc>
          <w:tcPr>
            <w:tcW w:w="1035" w:type="dxa"/>
            <w:tcMar>
              <w:top w:w="60" w:type="dxa"/>
              <w:left w:w="120" w:type="dxa"/>
              <w:bottom w:w="30" w:type="dxa"/>
              <w:right w:w="120" w:type="dxa"/>
            </w:tcMar>
          </w:tcPr>
          <w:p w14:paraId="13128019">
            <w:pPr>
              <w:spacing w:before="120" w:after="120" w:line="288" w:lineRule="auto"/>
              <w:rPr>
                <w:rFonts w:hint="eastAsia"/>
              </w:rPr>
            </w:pPr>
            <w:r>
              <w:rPr>
                <w:rFonts w:ascii="Arial" w:hAnsi="Arial" w:eastAsia="等线" w:cs="Arial"/>
              </w:rPr>
              <w:t>占比</w:t>
            </w:r>
          </w:p>
        </w:tc>
        <w:tc>
          <w:tcPr>
            <w:tcW w:w="1035" w:type="dxa"/>
            <w:tcMar>
              <w:top w:w="60" w:type="dxa"/>
              <w:left w:w="120" w:type="dxa"/>
              <w:bottom w:w="30" w:type="dxa"/>
              <w:right w:w="120" w:type="dxa"/>
            </w:tcMar>
          </w:tcPr>
          <w:p w14:paraId="47C8F661">
            <w:pPr>
              <w:spacing w:before="120" w:after="120" w:line="288" w:lineRule="auto"/>
              <w:rPr>
                <w:rFonts w:hint="eastAsia"/>
              </w:rPr>
            </w:pPr>
            <w:r>
              <w:rPr>
                <w:rFonts w:ascii="Arial" w:hAnsi="Arial" w:eastAsia="等线" w:cs="Arial"/>
              </w:rPr>
              <w:t>平均消费</w:t>
            </w:r>
          </w:p>
        </w:tc>
        <w:tc>
          <w:tcPr>
            <w:tcW w:w="1035" w:type="dxa"/>
            <w:tcMar>
              <w:top w:w="60" w:type="dxa"/>
              <w:left w:w="120" w:type="dxa"/>
              <w:bottom w:w="30" w:type="dxa"/>
              <w:right w:w="120" w:type="dxa"/>
            </w:tcMar>
          </w:tcPr>
          <w:p w14:paraId="03A0C308">
            <w:pPr>
              <w:spacing w:before="120" w:after="120" w:line="288" w:lineRule="auto"/>
              <w:rPr>
                <w:rFonts w:hint="eastAsia"/>
              </w:rPr>
            </w:pPr>
            <w:r>
              <w:rPr>
                <w:rFonts w:ascii="Arial" w:hAnsi="Arial" w:eastAsia="等线" w:cs="Arial"/>
              </w:rPr>
              <w:t>平均停留</w:t>
            </w:r>
          </w:p>
        </w:tc>
        <w:tc>
          <w:tcPr>
            <w:tcW w:w="1035" w:type="dxa"/>
            <w:tcMar>
              <w:top w:w="60" w:type="dxa"/>
              <w:left w:w="120" w:type="dxa"/>
              <w:bottom w:w="30" w:type="dxa"/>
              <w:right w:w="120" w:type="dxa"/>
            </w:tcMar>
          </w:tcPr>
          <w:p w14:paraId="4966AA93">
            <w:pPr>
              <w:spacing w:before="120" w:after="120" w:line="288" w:lineRule="auto"/>
              <w:rPr>
                <w:rFonts w:hint="eastAsia"/>
              </w:rPr>
            </w:pPr>
            <w:r>
              <w:rPr>
                <w:rFonts w:ascii="Arial" w:hAnsi="Arial" w:eastAsia="等线" w:cs="Arial"/>
              </w:rPr>
              <w:t>重购意愿</w:t>
            </w:r>
          </w:p>
        </w:tc>
        <w:tc>
          <w:tcPr>
            <w:tcW w:w="1035" w:type="dxa"/>
            <w:tcMar>
              <w:top w:w="60" w:type="dxa"/>
              <w:left w:w="120" w:type="dxa"/>
              <w:bottom w:w="30" w:type="dxa"/>
              <w:right w:w="120" w:type="dxa"/>
            </w:tcMar>
          </w:tcPr>
          <w:p w14:paraId="02AAAABD">
            <w:pPr>
              <w:spacing w:before="120" w:after="120" w:line="288" w:lineRule="auto"/>
              <w:rPr>
                <w:rFonts w:hint="eastAsia"/>
              </w:rPr>
            </w:pPr>
            <w:r>
              <w:rPr>
                <w:rFonts w:ascii="Arial" w:hAnsi="Arial" w:eastAsia="等线" w:cs="Arial"/>
              </w:rPr>
              <w:t>NPS均值</w:t>
            </w:r>
          </w:p>
        </w:tc>
        <w:tc>
          <w:tcPr>
            <w:tcW w:w="1035" w:type="dxa"/>
            <w:tcMar>
              <w:top w:w="60" w:type="dxa"/>
              <w:left w:w="120" w:type="dxa"/>
              <w:bottom w:w="30" w:type="dxa"/>
              <w:right w:w="120" w:type="dxa"/>
            </w:tcMar>
          </w:tcPr>
          <w:p w14:paraId="6864C643">
            <w:pPr>
              <w:spacing w:before="120" w:after="120" w:line="288" w:lineRule="auto"/>
              <w:rPr>
                <w:rFonts w:hint="eastAsia"/>
              </w:rPr>
            </w:pPr>
            <w:r>
              <w:rPr>
                <w:rFonts w:ascii="Arial" w:hAnsi="Arial" w:eastAsia="等线" w:cs="Arial"/>
              </w:rPr>
              <w:t>客群质量</w:t>
            </w:r>
          </w:p>
        </w:tc>
      </w:tr>
      <w:tr w14:paraId="5B42EA3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70F44717">
            <w:pPr>
              <w:spacing w:before="120" w:after="120" w:line="288" w:lineRule="auto"/>
              <w:rPr>
                <w:rFonts w:hint="eastAsia"/>
              </w:rPr>
            </w:pPr>
            <w:r>
              <w:rPr>
                <w:rFonts w:ascii="Arial" w:hAnsi="Arial" w:eastAsia="等线" w:cs="Arial"/>
              </w:rPr>
              <w:t>自驾</w:t>
            </w:r>
          </w:p>
        </w:tc>
        <w:tc>
          <w:tcPr>
            <w:tcW w:w="1035" w:type="dxa"/>
            <w:tcMar>
              <w:top w:w="60" w:type="dxa"/>
              <w:left w:w="120" w:type="dxa"/>
              <w:bottom w:w="30" w:type="dxa"/>
              <w:right w:w="120" w:type="dxa"/>
            </w:tcMar>
          </w:tcPr>
          <w:p w14:paraId="66581F96">
            <w:pPr>
              <w:spacing w:before="120" w:after="120" w:line="288" w:lineRule="auto"/>
              <w:rPr>
                <w:rFonts w:hint="eastAsia"/>
              </w:rPr>
            </w:pPr>
            <w:r>
              <w:rPr>
                <w:rFonts w:ascii="Arial" w:hAnsi="Arial" w:eastAsia="等线" w:cs="Arial"/>
              </w:rPr>
              <w:t>63</w:t>
            </w:r>
          </w:p>
        </w:tc>
        <w:tc>
          <w:tcPr>
            <w:tcW w:w="1035" w:type="dxa"/>
            <w:tcMar>
              <w:top w:w="60" w:type="dxa"/>
              <w:left w:w="120" w:type="dxa"/>
              <w:bottom w:w="30" w:type="dxa"/>
              <w:right w:w="120" w:type="dxa"/>
            </w:tcMar>
          </w:tcPr>
          <w:p w14:paraId="5DC09C6D">
            <w:pPr>
              <w:spacing w:before="120" w:after="120" w:line="288" w:lineRule="auto"/>
              <w:rPr>
                <w:rFonts w:hint="eastAsia"/>
              </w:rPr>
            </w:pPr>
            <w:r>
              <w:rPr>
                <w:rFonts w:ascii="Arial" w:hAnsi="Arial" w:eastAsia="等线" w:cs="Arial"/>
              </w:rPr>
              <w:t>52.5%</w:t>
            </w:r>
          </w:p>
        </w:tc>
        <w:tc>
          <w:tcPr>
            <w:tcW w:w="1035" w:type="dxa"/>
            <w:tcMar>
              <w:top w:w="60" w:type="dxa"/>
              <w:left w:w="120" w:type="dxa"/>
              <w:bottom w:w="30" w:type="dxa"/>
              <w:right w:w="120" w:type="dxa"/>
            </w:tcMar>
          </w:tcPr>
          <w:p w14:paraId="413DE0C2">
            <w:pPr>
              <w:spacing w:before="120" w:after="120" w:line="288" w:lineRule="auto"/>
              <w:rPr>
                <w:rFonts w:hint="eastAsia"/>
              </w:rPr>
            </w:pPr>
            <w:r>
              <w:rPr>
                <w:rFonts w:ascii="Arial" w:hAnsi="Arial" w:eastAsia="等线" w:cs="Arial"/>
              </w:rPr>
              <w:t>496元</w:t>
            </w:r>
          </w:p>
        </w:tc>
        <w:tc>
          <w:tcPr>
            <w:tcW w:w="1035" w:type="dxa"/>
            <w:tcMar>
              <w:top w:w="60" w:type="dxa"/>
              <w:left w:w="120" w:type="dxa"/>
              <w:bottom w:w="30" w:type="dxa"/>
              <w:right w:w="120" w:type="dxa"/>
            </w:tcMar>
          </w:tcPr>
          <w:p w14:paraId="7DE4402C">
            <w:pPr>
              <w:spacing w:before="120" w:after="120" w:line="288" w:lineRule="auto"/>
              <w:rPr>
                <w:rFonts w:hint="eastAsia"/>
              </w:rPr>
            </w:pPr>
            <w:r>
              <w:rPr>
                <w:rFonts w:ascii="Arial" w:hAnsi="Arial" w:eastAsia="等线" w:cs="Arial"/>
              </w:rPr>
              <w:t>3.5h</w:t>
            </w:r>
          </w:p>
        </w:tc>
        <w:tc>
          <w:tcPr>
            <w:tcW w:w="1035" w:type="dxa"/>
            <w:tcMar>
              <w:top w:w="60" w:type="dxa"/>
              <w:left w:w="120" w:type="dxa"/>
              <w:bottom w:w="30" w:type="dxa"/>
              <w:right w:w="120" w:type="dxa"/>
            </w:tcMar>
          </w:tcPr>
          <w:p w14:paraId="387EE60D">
            <w:pPr>
              <w:spacing w:before="120" w:after="120" w:line="288" w:lineRule="auto"/>
              <w:rPr>
                <w:rFonts w:hint="eastAsia"/>
              </w:rPr>
            </w:pPr>
            <w:r>
              <w:rPr>
                <w:rFonts w:ascii="Arial" w:hAnsi="Arial" w:eastAsia="等线" w:cs="Arial"/>
              </w:rPr>
              <w:t>3.84</w:t>
            </w:r>
          </w:p>
        </w:tc>
        <w:tc>
          <w:tcPr>
            <w:tcW w:w="1035" w:type="dxa"/>
            <w:tcMar>
              <w:top w:w="60" w:type="dxa"/>
              <w:left w:w="120" w:type="dxa"/>
              <w:bottom w:w="30" w:type="dxa"/>
              <w:right w:w="120" w:type="dxa"/>
            </w:tcMar>
          </w:tcPr>
          <w:p w14:paraId="774C432E">
            <w:pPr>
              <w:spacing w:before="120" w:after="120" w:line="288" w:lineRule="auto"/>
              <w:rPr>
                <w:rFonts w:hint="eastAsia"/>
              </w:rPr>
            </w:pPr>
            <w:r>
              <w:rPr>
                <w:rFonts w:ascii="Arial" w:hAnsi="Arial" w:eastAsia="等线" w:cs="Arial"/>
              </w:rPr>
              <w:t>7.0</w:t>
            </w:r>
          </w:p>
        </w:tc>
        <w:tc>
          <w:tcPr>
            <w:tcW w:w="1035" w:type="dxa"/>
            <w:tcMar>
              <w:top w:w="60" w:type="dxa"/>
              <w:left w:w="120" w:type="dxa"/>
              <w:bottom w:w="30" w:type="dxa"/>
              <w:right w:w="120" w:type="dxa"/>
            </w:tcMar>
          </w:tcPr>
          <w:p w14:paraId="43BA4056">
            <w:pPr>
              <w:spacing w:before="120" w:after="120" w:line="288" w:lineRule="auto"/>
              <w:rPr>
                <w:rFonts w:hint="eastAsia"/>
              </w:rPr>
            </w:pPr>
            <w:r>
              <w:rPr>
                <w:rFonts w:ascii="Arial" w:hAnsi="Arial" w:eastAsia="等线" w:cs="Arial"/>
              </w:rPr>
              <w:t>标准客群</w:t>
            </w:r>
          </w:p>
        </w:tc>
      </w:tr>
      <w:tr w14:paraId="1462182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311F80E4">
            <w:pPr>
              <w:spacing w:before="120" w:after="120" w:line="288" w:lineRule="auto"/>
              <w:rPr>
                <w:rFonts w:hint="eastAsia"/>
              </w:rPr>
            </w:pPr>
            <w:r>
              <w:rPr>
                <w:rFonts w:ascii="Arial" w:hAnsi="Arial" w:eastAsia="等线" w:cs="Arial"/>
              </w:rPr>
              <w:t>骑行</w:t>
            </w:r>
          </w:p>
        </w:tc>
        <w:tc>
          <w:tcPr>
            <w:tcW w:w="1035" w:type="dxa"/>
            <w:tcMar>
              <w:top w:w="60" w:type="dxa"/>
              <w:left w:w="120" w:type="dxa"/>
              <w:bottom w:w="30" w:type="dxa"/>
              <w:right w:w="120" w:type="dxa"/>
            </w:tcMar>
          </w:tcPr>
          <w:p w14:paraId="20A086EB">
            <w:pPr>
              <w:spacing w:before="120" w:after="120" w:line="288" w:lineRule="auto"/>
              <w:rPr>
                <w:rFonts w:hint="eastAsia"/>
              </w:rPr>
            </w:pPr>
            <w:r>
              <w:rPr>
                <w:rFonts w:ascii="Arial" w:hAnsi="Arial" w:eastAsia="等线" w:cs="Arial"/>
              </w:rPr>
              <w:t>30</w:t>
            </w:r>
          </w:p>
        </w:tc>
        <w:tc>
          <w:tcPr>
            <w:tcW w:w="1035" w:type="dxa"/>
            <w:tcMar>
              <w:top w:w="60" w:type="dxa"/>
              <w:left w:w="120" w:type="dxa"/>
              <w:bottom w:w="30" w:type="dxa"/>
              <w:right w:w="120" w:type="dxa"/>
            </w:tcMar>
          </w:tcPr>
          <w:p w14:paraId="4964A1EA">
            <w:pPr>
              <w:spacing w:before="120" w:after="120" w:line="288" w:lineRule="auto"/>
              <w:rPr>
                <w:rFonts w:hint="eastAsia"/>
              </w:rPr>
            </w:pPr>
            <w:r>
              <w:rPr>
                <w:rFonts w:ascii="Arial" w:hAnsi="Arial" w:eastAsia="等线" w:cs="Arial"/>
              </w:rPr>
              <w:t>25.0%</w:t>
            </w:r>
          </w:p>
        </w:tc>
        <w:tc>
          <w:tcPr>
            <w:tcW w:w="1035" w:type="dxa"/>
            <w:tcMar>
              <w:top w:w="60" w:type="dxa"/>
              <w:left w:w="120" w:type="dxa"/>
              <w:bottom w:w="30" w:type="dxa"/>
              <w:right w:w="120" w:type="dxa"/>
            </w:tcMar>
          </w:tcPr>
          <w:p w14:paraId="34A45EDB">
            <w:pPr>
              <w:spacing w:before="120" w:after="120" w:line="288" w:lineRule="auto"/>
              <w:rPr>
                <w:rFonts w:hint="eastAsia"/>
              </w:rPr>
            </w:pPr>
            <w:r>
              <w:rPr>
                <w:rFonts w:ascii="Arial" w:hAnsi="Arial" w:eastAsia="等线" w:cs="Arial"/>
              </w:rPr>
              <w:t>469元</w:t>
            </w:r>
          </w:p>
        </w:tc>
        <w:tc>
          <w:tcPr>
            <w:tcW w:w="1035" w:type="dxa"/>
            <w:tcMar>
              <w:top w:w="60" w:type="dxa"/>
              <w:left w:w="120" w:type="dxa"/>
              <w:bottom w:w="30" w:type="dxa"/>
              <w:right w:w="120" w:type="dxa"/>
            </w:tcMar>
          </w:tcPr>
          <w:p w14:paraId="20D7D106">
            <w:pPr>
              <w:spacing w:before="120" w:after="120" w:line="288" w:lineRule="auto"/>
              <w:rPr>
                <w:rFonts w:hint="eastAsia"/>
              </w:rPr>
            </w:pPr>
            <w:r>
              <w:rPr>
                <w:rFonts w:ascii="Arial" w:hAnsi="Arial" w:eastAsia="等线" w:cs="Arial"/>
              </w:rPr>
              <w:t>3.7h</w:t>
            </w:r>
          </w:p>
        </w:tc>
        <w:tc>
          <w:tcPr>
            <w:tcW w:w="1035" w:type="dxa"/>
            <w:tcMar>
              <w:top w:w="60" w:type="dxa"/>
              <w:left w:w="120" w:type="dxa"/>
              <w:bottom w:w="30" w:type="dxa"/>
              <w:right w:w="120" w:type="dxa"/>
            </w:tcMar>
          </w:tcPr>
          <w:p w14:paraId="127AA860">
            <w:pPr>
              <w:spacing w:before="120" w:after="120" w:line="288" w:lineRule="auto"/>
              <w:rPr>
                <w:rFonts w:hint="eastAsia"/>
              </w:rPr>
            </w:pPr>
            <w:r>
              <w:rPr>
                <w:rFonts w:ascii="Arial" w:hAnsi="Arial" w:eastAsia="等线" w:cs="Arial"/>
              </w:rPr>
              <w:t>3.87</w:t>
            </w:r>
          </w:p>
        </w:tc>
        <w:tc>
          <w:tcPr>
            <w:tcW w:w="1035" w:type="dxa"/>
            <w:tcMar>
              <w:top w:w="60" w:type="dxa"/>
              <w:left w:w="120" w:type="dxa"/>
              <w:bottom w:w="30" w:type="dxa"/>
              <w:right w:w="120" w:type="dxa"/>
            </w:tcMar>
          </w:tcPr>
          <w:p w14:paraId="069A3283">
            <w:pPr>
              <w:spacing w:before="120" w:after="120" w:line="288" w:lineRule="auto"/>
              <w:rPr>
                <w:rFonts w:hint="eastAsia"/>
              </w:rPr>
            </w:pPr>
            <w:r>
              <w:rPr>
                <w:rFonts w:ascii="Arial" w:hAnsi="Arial" w:eastAsia="等线" w:cs="Arial"/>
              </w:rPr>
              <w:t>7.7</w:t>
            </w:r>
          </w:p>
        </w:tc>
        <w:tc>
          <w:tcPr>
            <w:tcW w:w="1035" w:type="dxa"/>
            <w:tcMar>
              <w:top w:w="60" w:type="dxa"/>
              <w:left w:w="120" w:type="dxa"/>
              <w:bottom w:w="30" w:type="dxa"/>
              <w:right w:w="120" w:type="dxa"/>
            </w:tcMar>
          </w:tcPr>
          <w:p w14:paraId="64907194">
            <w:pPr>
              <w:spacing w:before="120" w:after="120" w:line="288" w:lineRule="auto"/>
              <w:rPr>
                <w:rFonts w:hint="eastAsia"/>
              </w:rPr>
            </w:pPr>
            <w:r>
              <w:rPr>
                <w:rFonts w:ascii="Arial" w:hAnsi="Arial" w:eastAsia="等线" w:cs="Arial"/>
              </w:rPr>
              <w:t>优质客群★</w:t>
            </w:r>
          </w:p>
        </w:tc>
      </w:tr>
      <w:tr w14:paraId="4D81F6B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124469E8">
            <w:pPr>
              <w:spacing w:before="120" w:after="120" w:line="288" w:lineRule="auto"/>
              <w:rPr>
                <w:rFonts w:hint="eastAsia"/>
              </w:rPr>
            </w:pPr>
            <w:r>
              <w:rPr>
                <w:rFonts w:ascii="Arial" w:hAnsi="Arial" w:eastAsia="等线" w:cs="Arial"/>
              </w:rPr>
              <w:t>公交+打车</w:t>
            </w:r>
          </w:p>
        </w:tc>
        <w:tc>
          <w:tcPr>
            <w:tcW w:w="1035" w:type="dxa"/>
            <w:tcMar>
              <w:top w:w="60" w:type="dxa"/>
              <w:left w:w="120" w:type="dxa"/>
              <w:bottom w:w="30" w:type="dxa"/>
              <w:right w:w="120" w:type="dxa"/>
            </w:tcMar>
          </w:tcPr>
          <w:p w14:paraId="659F9A6F">
            <w:pPr>
              <w:spacing w:before="120" w:after="120" w:line="288" w:lineRule="auto"/>
              <w:rPr>
                <w:rFonts w:hint="eastAsia"/>
              </w:rPr>
            </w:pPr>
            <w:r>
              <w:rPr>
                <w:rFonts w:ascii="Arial" w:hAnsi="Arial" w:eastAsia="等线" w:cs="Arial"/>
              </w:rPr>
              <w:t>16</w:t>
            </w:r>
          </w:p>
        </w:tc>
        <w:tc>
          <w:tcPr>
            <w:tcW w:w="1035" w:type="dxa"/>
            <w:tcMar>
              <w:top w:w="60" w:type="dxa"/>
              <w:left w:w="120" w:type="dxa"/>
              <w:bottom w:w="30" w:type="dxa"/>
              <w:right w:w="120" w:type="dxa"/>
            </w:tcMar>
          </w:tcPr>
          <w:p w14:paraId="36F47429">
            <w:pPr>
              <w:spacing w:before="120" w:after="120" w:line="288" w:lineRule="auto"/>
              <w:rPr>
                <w:rFonts w:hint="eastAsia"/>
              </w:rPr>
            </w:pPr>
            <w:r>
              <w:rPr>
                <w:rFonts w:ascii="Arial" w:hAnsi="Arial" w:eastAsia="等线" w:cs="Arial"/>
              </w:rPr>
              <w:t>13.3%</w:t>
            </w:r>
          </w:p>
        </w:tc>
        <w:tc>
          <w:tcPr>
            <w:tcW w:w="1035" w:type="dxa"/>
            <w:tcMar>
              <w:top w:w="60" w:type="dxa"/>
              <w:left w:w="120" w:type="dxa"/>
              <w:bottom w:w="30" w:type="dxa"/>
              <w:right w:w="120" w:type="dxa"/>
            </w:tcMar>
          </w:tcPr>
          <w:p w14:paraId="5B190895">
            <w:pPr>
              <w:spacing w:before="120" w:after="120" w:line="288" w:lineRule="auto"/>
              <w:rPr>
                <w:rFonts w:hint="eastAsia"/>
              </w:rPr>
            </w:pPr>
            <w:r>
              <w:rPr>
                <w:rFonts w:ascii="Arial" w:hAnsi="Arial" w:eastAsia="等线" w:cs="Arial"/>
              </w:rPr>
              <w:t>488元</w:t>
            </w:r>
          </w:p>
        </w:tc>
        <w:tc>
          <w:tcPr>
            <w:tcW w:w="1035" w:type="dxa"/>
            <w:tcMar>
              <w:top w:w="60" w:type="dxa"/>
              <w:left w:w="120" w:type="dxa"/>
              <w:bottom w:w="30" w:type="dxa"/>
              <w:right w:w="120" w:type="dxa"/>
            </w:tcMar>
          </w:tcPr>
          <w:p w14:paraId="6A6B251A">
            <w:pPr>
              <w:spacing w:before="120" w:after="120" w:line="288" w:lineRule="auto"/>
              <w:rPr>
                <w:rFonts w:hint="eastAsia"/>
              </w:rPr>
            </w:pPr>
            <w:r>
              <w:rPr>
                <w:rFonts w:ascii="Arial" w:hAnsi="Arial" w:eastAsia="等线" w:cs="Arial"/>
              </w:rPr>
              <w:t>3.1h</w:t>
            </w:r>
          </w:p>
        </w:tc>
        <w:tc>
          <w:tcPr>
            <w:tcW w:w="1035" w:type="dxa"/>
            <w:tcMar>
              <w:top w:w="60" w:type="dxa"/>
              <w:left w:w="120" w:type="dxa"/>
              <w:bottom w:w="30" w:type="dxa"/>
              <w:right w:w="120" w:type="dxa"/>
            </w:tcMar>
          </w:tcPr>
          <w:p w14:paraId="2B7B42A5">
            <w:pPr>
              <w:spacing w:before="120" w:after="120" w:line="288" w:lineRule="auto"/>
              <w:rPr>
                <w:rFonts w:hint="eastAsia"/>
              </w:rPr>
            </w:pPr>
            <w:r>
              <w:rPr>
                <w:rFonts w:ascii="Arial" w:hAnsi="Arial" w:eastAsia="等线" w:cs="Arial"/>
              </w:rPr>
              <w:t>3.31</w:t>
            </w:r>
          </w:p>
        </w:tc>
        <w:tc>
          <w:tcPr>
            <w:tcW w:w="1035" w:type="dxa"/>
            <w:tcMar>
              <w:top w:w="60" w:type="dxa"/>
              <w:left w:w="120" w:type="dxa"/>
              <w:bottom w:w="30" w:type="dxa"/>
              <w:right w:w="120" w:type="dxa"/>
            </w:tcMar>
          </w:tcPr>
          <w:p w14:paraId="32B87282">
            <w:pPr>
              <w:spacing w:before="120" w:after="120" w:line="288" w:lineRule="auto"/>
              <w:rPr>
                <w:rFonts w:hint="eastAsia"/>
              </w:rPr>
            </w:pPr>
            <w:r>
              <w:rPr>
                <w:rFonts w:ascii="Arial" w:hAnsi="Arial" w:eastAsia="等线" w:cs="Arial"/>
              </w:rPr>
              <w:t>5.6</w:t>
            </w:r>
          </w:p>
        </w:tc>
        <w:tc>
          <w:tcPr>
            <w:tcW w:w="1035" w:type="dxa"/>
            <w:tcMar>
              <w:top w:w="60" w:type="dxa"/>
              <w:left w:w="120" w:type="dxa"/>
              <w:bottom w:w="30" w:type="dxa"/>
              <w:right w:w="120" w:type="dxa"/>
            </w:tcMar>
          </w:tcPr>
          <w:p w14:paraId="690DB267">
            <w:pPr>
              <w:spacing w:before="120" w:after="120" w:line="288" w:lineRule="auto"/>
              <w:rPr>
                <w:rFonts w:hint="eastAsia"/>
              </w:rPr>
            </w:pPr>
            <w:r>
              <w:rPr>
                <w:rFonts w:ascii="Arial" w:hAnsi="Arial" w:eastAsia="等线" w:cs="Arial"/>
              </w:rPr>
              <w:t>价格敏感</w:t>
            </w:r>
          </w:p>
        </w:tc>
      </w:tr>
      <w:tr w14:paraId="37D609D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0DE236B4">
            <w:pPr>
              <w:spacing w:before="120" w:after="120" w:line="288" w:lineRule="auto"/>
              <w:rPr>
                <w:rFonts w:hint="eastAsia"/>
              </w:rPr>
            </w:pPr>
            <w:r>
              <w:rPr>
                <w:rFonts w:ascii="Arial" w:hAnsi="Arial" w:eastAsia="等线" w:cs="Arial"/>
              </w:rPr>
              <w:t>旅游大巴</w:t>
            </w:r>
          </w:p>
        </w:tc>
        <w:tc>
          <w:tcPr>
            <w:tcW w:w="1035" w:type="dxa"/>
            <w:tcMar>
              <w:top w:w="60" w:type="dxa"/>
              <w:left w:w="120" w:type="dxa"/>
              <w:bottom w:w="30" w:type="dxa"/>
              <w:right w:w="120" w:type="dxa"/>
            </w:tcMar>
          </w:tcPr>
          <w:p w14:paraId="3A594CAA">
            <w:pPr>
              <w:spacing w:before="120" w:after="120" w:line="288" w:lineRule="auto"/>
              <w:rPr>
                <w:rFonts w:hint="eastAsia"/>
              </w:rPr>
            </w:pPr>
            <w:r>
              <w:rPr>
                <w:rFonts w:ascii="Arial" w:hAnsi="Arial" w:eastAsia="等线" w:cs="Arial"/>
              </w:rPr>
              <w:t>11</w:t>
            </w:r>
          </w:p>
        </w:tc>
        <w:tc>
          <w:tcPr>
            <w:tcW w:w="1035" w:type="dxa"/>
            <w:tcMar>
              <w:top w:w="60" w:type="dxa"/>
              <w:left w:w="120" w:type="dxa"/>
              <w:bottom w:w="30" w:type="dxa"/>
              <w:right w:w="120" w:type="dxa"/>
            </w:tcMar>
          </w:tcPr>
          <w:p w14:paraId="0EDEF538">
            <w:pPr>
              <w:spacing w:before="120" w:after="120" w:line="288" w:lineRule="auto"/>
              <w:rPr>
                <w:rFonts w:hint="eastAsia"/>
              </w:rPr>
            </w:pPr>
            <w:r>
              <w:rPr>
                <w:rFonts w:ascii="Arial" w:hAnsi="Arial" w:eastAsia="等线" w:cs="Arial"/>
              </w:rPr>
              <w:t>9.2%</w:t>
            </w:r>
          </w:p>
        </w:tc>
        <w:tc>
          <w:tcPr>
            <w:tcW w:w="1035" w:type="dxa"/>
            <w:tcMar>
              <w:top w:w="60" w:type="dxa"/>
              <w:left w:w="120" w:type="dxa"/>
              <w:bottom w:w="30" w:type="dxa"/>
              <w:right w:w="120" w:type="dxa"/>
            </w:tcMar>
          </w:tcPr>
          <w:p w14:paraId="1A72288F">
            <w:pPr>
              <w:spacing w:before="120" w:after="120" w:line="288" w:lineRule="auto"/>
              <w:rPr>
                <w:rFonts w:hint="eastAsia"/>
              </w:rPr>
            </w:pPr>
            <w:r>
              <w:rPr>
                <w:rFonts w:ascii="Arial" w:hAnsi="Arial" w:eastAsia="等线" w:cs="Arial"/>
              </w:rPr>
              <w:t>464元</w:t>
            </w:r>
          </w:p>
        </w:tc>
        <w:tc>
          <w:tcPr>
            <w:tcW w:w="1035" w:type="dxa"/>
            <w:tcMar>
              <w:top w:w="60" w:type="dxa"/>
              <w:left w:w="120" w:type="dxa"/>
              <w:bottom w:w="30" w:type="dxa"/>
              <w:right w:w="120" w:type="dxa"/>
            </w:tcMar>
          </w:tcPr>
          <w:p w14:paraId="288AA6CE">
            <w:pPr>
              <w:spacing w:before="120" w:after="120" w:line="288" w:lineRule="auto"/>
              <w:rPr>
                <w:rFonts w:hint="eastAsia"/>
              </w:rPr>
            </w:pPr>
            <w:r>
              <w:rPr>
                <w:rFonts w:ascii="Arial" w:hAnsi="Arial" w:eastAsia="等线" w:cs="Arial"/>
              </w:rPr>
              <w:t>3.7h</w:t>
            </w:r>
          </w:p>
        </w:tc>
        <w:tc>
          <w:tcPr>
            <w:tcW w:w="1035" w:type="dxa"/>
            <w:tcMar>
              <w:top w:w="60" w:type="dxa"/>
              <w:left w:w="120" w:type="dxa"/>
              <w:bottom w:w="30" w:type="dxa"/>
              <w:right w:w="120" w:type="dxa"/>
            </w:tcMar>
          </w:tcPr>
          <w:p w14:paraId="6A2DF0CB">
            <w:pPr>
              <w:spacing w:before="120" w:after="120" w:line="288" w:lineRule="auto"/>
              <w:rPr>
                <w:rFonts w:hint="eastAsia"/>
              </w:rPr>
            </w:pPr>
            <w:r>
              <w:rPr>
                <w:rFonts w:ascii="Arial" w:hAnsi="Arial" w:eastAsia="等线" w:cs="Arial"/>
              </w:rPr>
              <w:t>3.82</w:t>
            </w:r>
          </w:p>
        </w:tc>
        <w:tc>
          <w:tcPr>
            <w:tcW w:w="1035" w:type="dxa"/>
            <w:tcMar>
              <w:top w:w="60" w:type="dxa"/>
              <w:left w:w="120" w:type="dxa"/>
              <w:bottom w:w="30" w:type="dxa"/>
              <w:right w:w="120" w:type="dxa"/>
            </w:tcMar>
          </w:tcPr>
          <w:p w14:paraId="7F7B9247">
            <w:pPr>
              <w:spacing w:before="120" w:after="120" w:line="288" w:lineRule="auto"/>
              <w:rPr>
                <w:rFonts w:hint="eastAsia"/>
              </w:rPr>
            </w:pPr>
            <w:r>
              <w:rPr>
                <w:rFonts w:ascii="Arial" w:hAnsi="Arial" w:eastAsia="等线" w:cs="Arial"/>
              </w:rPr>
              <w:t>7.7</w:t>
            </w:r>
          </w:p>
        </w:tc>
        <w:tc>
          <w:tcPr>
            <w:tcW w:w="1035" w:type="dxa"/>
            <w:tcMar>
              <w:top w:w="60" w:type="dxa"/>
              <w:left w:w="120" w:type="dxa"/>
              <w:bottom w:w="30" w:type="dxa"/>
              <w:right w:w="120" w:type="dxa"/>
            </w:tcMar>
          </w:tcPr>
          <w:p w14:paraId="42A7BBA2">
            <w:pPr>
              <w:spacing w:before="120" w:after="120" w:line="288" w:lineRule="auto"/>
              <w:rPr>
                <w:rFonts w:hint="eastAsia"/>
              </w:rPr>
            </w:pPr>
            <w:r>
              <w:rPr>
                <w:rFonts w:ascii="Arial" w:hAnsi="Arial" w:eastAsia="等线" w:cs="Arial"/>
              </w:rPr>
              <w:t>团队客群</w:t>
            </w:r>
          </w:p>
        </w:tc>
      </w:tr>
    </w:tbl>
    <w:p w14:paraId="29449510">
      <w:pPr>
        <w:spacing w:before="120" w:after="120" w:line="288" w:lineRule="auto"/>
        <w:rPr>
          <w:rFonts w:hint="eastAsia"/>
        </w:rPr>
      </w:pPr>
      <w:r>
        <w:rPr>
          <w:rFonts w:ascii="Arial" w:hAnsi="Arial" w:eastAsia="等线" w:cs="Arial"/>
        </w:rPr>
        <w:t>核心发现：25.0%的游客已选择骑行方式，骑行群体的NPS（7.7）和重购意愿均显著高于自驾群体，是</w:t>
      </w:r>
      <w:r>
        <w:rPr>
          <w:rFonts w:ascii="Arial" w:hAnsi="Arial" w:eastAsia="等线" w:cs="Arial"/>
          <w:b/>
        </w:rPr>
        <w:t>高价值+高忠诚度</w:t>
      </w:r>
      <w:r>
        <w:rPr>
          <w:rFonts w:ascii="Arial" w:hAnsi="Arial" w:eastAsia="等线" w:cs="Arial"/>
        </w:rPr>
        <w:t>的优质客群；自驾群体虽占比最高，但停留时间最短，是体验优化的重点对象。</w:t>
      </w:r>
    </w:p>
    <w:p w14:paraId="47174860">
      <w:pPr>
        <w:spacing w:before="120" w:after="120" w:line="288" w:lineRule="auto"/>
        <w:rPr>
          <w:rFonts w:hint="eastAsia"/>
        </w:rPr>
      </w:pPr>
      <w:r>
        <w:rPr>
          <w:rFonts w:ascii="Arial" w:hAnsi="Arial" w:eastAsia="等线" w:cs="Arial"/>
        </w:rPr>
        <w:t>团队规模：2-3人占比90.8%，以亲子/情侣小团体为主，匹配家庭休闲与情感消费场景。</w:t>
      </w:r>
    </w:p>
    <w:p w14:paraId="6340623D">
      <w:pPr>
        <w:spacing w:before="260" w:after="120" w:line="288" w:lineRule="auto"/>
        <w:outlineLvl w:val="3"/>
        <w:rPr>
          <w:rFonts w:hint="eastAsia"/>
        </w:rPr>
      </w:pPr>
      <w:bookmarkStart w:id="43" w:name="heading_18"/>
      <w:r>
        <w:rPr>
          <w:rFonts w:ascii="Arial" w:hAnsi="Arial" w:eastAsia="等线" w:cs="Arial"/>
          <w:b/>
          <w:sz w:val="28"/>
        </w:rPr>
        <w:t>[3.2.3.4]关键产品指标市场验证</w:t>
      </w:r>
      <w:bookmarkEnd w:id="43"/>
    </w:p>
    <w:p w14:paraId="3805B66C">
      <w:pPr>
        <w:spacing w:before="240" w:after="120" w:line="288" w:lineRule="auto"/>
        <w:outlineLvl w:val="4"/>
        <w:rPr>
          <w:rFonts w:ascii="Arial" w:hAnsi="Arial" w:eastAsia="等线" w:cs="Arial"/>
          <w:b/>
          <w:sz w:val="24"/>
        </w:rPr>
      </w:pPr>
      <w:bookmarkStart w:id="44" w:name="heading_19"/>
      <w:r>
        <w:rPr>
          <w:rFonts w:ascii="Arial" w:hAnsi="Arial" w:eastAsia="等线" w:cs="Arial"/>
          <w:b/>
          <w:sz w:val="24"/>
        </w:rPr>
        <w:t>一、认养计划市场验证</w:t>
      </w:r>
      <w:bookmarkEnd w:id="44"/>
    </w:p>
    <w:p w14:paraId="7987039A">
      <w:pPr>
        <w:spacing w:before="240" w:after="120" w:line="288" w:lineRule="auto"/>
        <w:outlineLvl w:val="4"/>
        <w:rPr>
          <w:rFonts w:hint="eastAsia"/>
        </w:rPr>
      </w:pPr>
      <w:r>
        <w:drawing>
          <wp:inline distT="0" distB="0" distL="0" distR="0">
            <wp:extent cx="4091940" cy="2593975"/>
            <wp:effectExtent l="0" t="0" r="10160" b="9525"/>
            <wp:docPr id="134188187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81878" name="图片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4091940" cy="2593975"/>
                    </a:xfrm>
                    <a:prstGeom prst="rect">
                      <a:avLst/>
                    </a:prstGeom>
                    <a:noFill/>
                    <a:ln>
                      <a:noFill/>
                    </a:ln>
                  </pic:spPr>
                </pic:pic>
              </a:graphicData>
            </a:graphic>
          </wp:inline>
        </w:drawing>
      </w:r>
    </w:p>
    <w:p w14:paraId="58A44B6F">
      <w:pPr>
        <w:spacing w:before="120" w:after="120" w:line="288" w:lineRule="auto"/>
        <w:rPr>
          <w:rFonts w:hint="eastAsia"/>
        </w:rPr>
      </w:pPr>
      <w:r>
        <w:rPr>
          <w:rFonts w:ascii="Arial" w:hAnsi="Arial" w:eastAsia="等线" w:cs="Arial"/>
        </w:rPr>
        <w:t>整体高认养兴趣占比34.0%，但&gt;60岁群体认养兴趣达44.5%，显著高于其他年龄段。这一</w:t>
      </w:r>
      <w:r>
        <w:rPr>
          <w:rFonts w:ascii="Arial" w:hAnsi="Arial" w:eastAsia="等线" w:cs="Arial"/>
          <w:b/>
        </w:rPr>
        <w:t>反直觉</w:t>
      </w:r>
      <w:r>
        <w:rPr>
          <w:rFonts w:ascii="Arial" w:hAnsi="Arial" w:eastAsia="等线" w:cs="Arial"/>
        </w:rPr>
        <w:t>发现表明：认养产品的核心价值是</w:t>
      </w:r>
      <w:r>
        <w:rPr>
          <w:rFonts w:ascii="Arial" w:hAnsi="Arial" w:eastAsia="等线" w:cs="Arial"/>
          <w:b/>
        </w:rPr>
        <w:t>情感连接</w:t>
      </w:r>
      <w:r>
        <w:rPr>
          <w:rFonts w:ascii="Arial" w:hAnsi="Arial" w:eastAsia="等线" w:cs="Arial"/>
        </w:rPr>
        <w:t>而非经济回报，应重点打造</w:t>
      </w:r>
      <w:r>
        <w:rPr>
          <w:rFonts w:ascii="Arial" w:hAnsi="Arial" w:eastAsia="等线" w:cs="Arial"/>
          <w:b/>
        </w:rPr>
        <w:t>孝心认养</w:t>
      </w:r>
      <w:r>
        <w:rPr>
          <w:rFonts w:ascii="Arial" w:hAnsi="Arial" w:eastAsia="等线" w:cs="Arial"/>
        </w:rPr>
        <w:t>（子女为父母购买）、</w:t>
      </w:r>
      <w:r>
        <w:rPr>
          <w:rFonts w:ascii="Arial" w:hAnsi="Arial" w:eastAsia="等线" w:cs="Arial"/>
          <w:b/>
        </w:rPr>
        <w:t>成长认养</w:t>
      </w:r>
      <w:r>
        <w:rPr>
          <w:rFonts w:ascii="Arial" w:hAnsi="Arial" w:eastAsia="等线" w:cs="Arial"/>
        </w:rPr>
        <w:t>（父母为子女购买）等情感场景。</w:t>
      </w:r>
    </w:p>
    <w:p w14:paraId="31EEB95E">
      <w:pPr>
        <w:spacing w:before="240" w:after="120" w:line="288" w:lineRule="auto"/>
        <w:outlineLvl w:val="4"/>
        <w:rPr>
          <w:rFonts w:hint="eastAsia"/>
        </w:rPr>
      </w:pPr>
      <w:bookmarkStart w:id="45" w:name="heading_20"/>
      <w:r>
        <w:rPr>
          <w:rFonts w:ascii="Arial" w:hAnsi="Arial" w:eastAsia="等线" w:cs="Arial"/>
          <w:b/>
          <w:sz w:val="24"/>
        </w:rPr>
        <w:t>二、数字化平台接受度</w:t>
      </w:r>
      <w:bookmarkEnd w:id="45"/>
    </w:p>
    <w:p w14:paraId="43566FEF">
      <w:pPr>
        <w:spacing w:before="120" w:after="120" w:line="288" w:lineRule="auto"/>
      </w:pPr>
      <w:r>
        <w:t>40.0% 的受访者对小程序使用表现出高意愿，支撑小程序作为核心运营载体的可行性；但线上预订与会员体系的接受度相对较低，需通过预订立减、会员专属权益等机制降低用户心理门槛。</w:t>
      </w:r>
    </w:p>
    <w:p w14:paraId="3D68276C">
      <w:pPr>
        <w:spacing w:before="240" w:after="120" w:line="288" w:lineRule="auto"/>
        <w:outlineLvl w:val="4"/>
        <w:rPr>
          <w:rFonts w:hint="eastAsia"/>
        </w:rPr>
      </w:pPr>
      <w:bookmarkStart w:id="46" w:name="heading_21"/>
      <w:r>
        <w:rPr>
          <w:rFonts w:ascii="Arial" w:hAnsi="Arial" w:eastAsia="等线" w:cs="Arial"/>
          <w:b/>
          <w:sz w:val="24"/>
        </w:rPr>
        <w:t>三、产品-市场匹配度总结</w:t>
      </w:r>
      <w:bookmarkEnd w:id="46"/>
    </w:p>
    <w:p w14:paraId="00DFF672">
      <w:pPr>
        <w:spacing w:before="120" w:after="120" w:line="288" w:lineRule="auto"/>
      </w:pPr>
      <w:r>
        <w:t>骑行引流、品质定位、价格策略、生态背书均与市场需求高度匹配，仅认养产品的市场认知度需进一步强化，目标提升至 50% 以上。</w:t>
      </w:r>
    </w:p>
    <w:p w14:paraId="765CFA5F">
      <w:pPr>
        <w:spacing w:before="120" w:after="120" w:line="288" w:lineRule="auto"/>
        <w:rPr>
          <w:rFonts w:hint="eastAsia" w:ascii="Arial" w:hAnsi="Arial" w:eastAsia="等线" w:cs="Arial"/>
        </w:rPr>
      </w:pPr>
      <w:r>
        <w:rPr>
          <w:rFonts w:ascii="Arial" w:hAnsi="Arial" w:eastAsia="等线" w:cs="Arial"/>
        </w:rPr>
        <w:t>表 核心产品策略匹配度验证</w:t>
      </w:r>
    </w:p>
    <w:tbl>
      <w:tblPr>
        <w:tblStyle w:val="1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553139E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7783A99">
            <w:pPr>
              <w:spacing w:before="120" w:after="120" w:line="288" w:lineRule="auto"/>
              <w:rPr>
                <w:rFonts w:hint="eastAsia"/>
              </w:rPr>
            </w:pPr>
            <w:r>
              <w:rPr>
                <w:rFonts w:ascii="Arial" w:hAnsi="Arial" w:eastAsia="等线" w:cs="Arial"/>
              </w:rPr>
              <w:t>指标</w:t>
            </w:r>
          </w:p>
        </w:tc>
        <w:tc>
          <w:tcPr>
            <w:tcW w:w="2760" w:type="dxa"/>
            <w:tcMar>
              <w:top w:w="60" w:type="dxa"/>
              <w:left w:w="120" w:type="dxa"/>
              <w:bottom w:w="30" w:type="dxa"/>
              <w:right w:w="120" w:type="dxa"/>
            </w:tcMar>
          </w:tcPr>
          <w:p w14:paraId="5A6CFEF5">
            <w:pPr>
              <w:spacing w:before="120" w:after="120" w:line="288" w:lineRule="auto"/>
              <w:rPr>
                <w:rFonts w:hint="eastAsia"/>
              </w:rPr>
            </w:pPr>
            <w:r>
              <w:rPr>
                <w:rFonts w:ascii="Arial" w:hAnsi="Arial" w:eastAsia="等线" w:cs="Arial"/>
              </w:rPr>
              <w:t>数据支撑</w:t>
            </w:r>
          </w:p>
        </w:tc>
        <w:tc>
          <w:tcPr>
            <w:tcW w:w="2760" w:type="dxa"/>
            <w:tcMar>
              <w:top w:w="60" w:type="dxa"/>
              <w:left w:w="120" w:type="dxa"/>
              <w:bottom w:w="30" w:type="dxa"/>
              <w:right w:w="120" w:type="dxa"/>
            </w:tcMar>
          </w:tcPr>
          <w:p w14:paraId="227DF51E">
            <w:pPr>
              <w:spacing w:before="120" w:after="120" w:line="288" w:lineRule="auto"/>
              <w:rPr>
                <w:rFonts w:hint="eastAsia"/>
              </w:rPr>
            </w:pPr>
            <w:r>
              <w:rPr>
                <w:rFonts w:ascii="Arial" w:hAnsi="Arial" w:eastAsia="等线" w:cs="Arial"/>
              </w:rPr>
              <w:t>验证结论</w:t>
            </w:r>
          </w:p>
        </w:tc>
      </w:tr>
      <w:tr w14:paraId="55D4112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C86D04B">
            <w:pPr>
              <w:spacing w:before="120" w:after="120" w:line="288" w:lineRule="auto"/>
              <w:rPr>
                <w:rFonts w:hint="eastAsia"/>
              </w:rPr>
            </w:pPr>
            <w:r>
              <w:rPr>
                <w:rFonts w:ascii="Arial" w:hAnsi="Arial" w:eastAsia="等线" w:cs="Arial"/>
              </w:rPr>
              <w:t>骑行引流</w:t>
            </w:r>
          </w:p>
        </w:tc>
        <w:tc>
          <w:tcPr>
            <w:tcW w:w="2760" w:type="dxa"/>
            <w:tcMar>
              <w:top w:w="60" w:type="dxa"/>
              <w:left w:w="120" w:type="dxa"/>
              <w:bottom w:w="30" w:type="dxa"/>
              <w:right w:w="120" w:type="dxa"/>
            </w:tcMar>
          </w:tcPr>
          <w:p w14:paraId="3AF1BFBD">
            <w:pPr>
              <w:spacing w:before="120" w:after="120" w:line="288" w:lineRule="auto"/>
              <w:rPr>
                <w:rFonts w:hint="eastAsia"/>
              </w:rPr>
            </w:pPr>
            <w:r>
              <w:rPr>
                <w:rFonts w:ascii="Arial" w:hAnsi="Arial" w:eastAsia="等线" w:cs="Arial"/>
              </w:rPr>
              <w:t>47.5%高骑行兴趣，46.3%转化为到访意愿</w:t>
            </w:r>
          </w:p>
        </w:tc>
        <w:tc>
          <w:tcPr>
            <w:tcW w:w="2760" w:type="dxa"/>
            <w:tcMar>
              <w:top w:w="60" w:type="dxa"/>
              <w:left w:w="120" w:type="dxa"/>
              <w:bottom w:w="30" w:type="dxa"/>
              <w:right w:w="120" w:type="dxa"/>
            </w:tcMar>
          </w:tcPr>
          <w:p w14:paraId="67557E1D">
            <w:pPr>
              <w:spacing w:before="120" w:after="120" w:line="288" w:lineRule="auto"/>
              <w:rPr>
                <w:rFonts w:hint="eastAsia"/>
              </w:rPr>
            </w:pPr>
            <w:r>
              <w:rPr>
                <w:rFonts w:ascii="Arial" w:hAnsi="Arial" w:eastAsia="等线" w:cs="Arial"/>
              </w:rPr>
              <w:t>✓ 高度匹配</w:t>
            </w:r>
          </w:p>
        </w:tc>
      </w:tr>
      <w:tr w14:paraId="49472C4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3A3C1BD">
            <w:pPr>
              <w:spacing w:before="120" w:after="120" w:line="288" w:lineRule="auto"/>
              <w:rPr>
                <w:rFonts w:hint="eastAsia"/>
              </w:rPr>
            </w:pPr>
            <w:r>
              <w:rPr>
                <w:rFonts w:ascii="Arial" w:hAnsi="Arial" w:eastAsia="等线" w:cs="Arial"/>
              </w:rPr>
              <w:t>品质定位</w:t>
            </w:r>
          </w:p>
        </w:tc>
        <w:tc>
          <w:tcPr>
            <w:tcW w:w="2760" w:type="dxa"/>
            <w:tcMar>
              <w:top w:w="60" w:type="dxa"/>
              <w:left w:w="120" w:type="dxa"/>
              <w:bottom w:w="30" w:type="dxa"/>
              <w:right w:w="120" w:type="dxa"/>
            </w:tcMar>
          </w:tcPr>
          <w:p w14:paraId="7C4C5A0E">
            <w:pPr>
              <w:spacing w:before="120" w:after="120" w:line="288" w:lineRule="auto"/>
              <w:rPr>
                <w:rFonts w:hint="eastAsia"/>
              </w:rPr>
            </w:pPr>
            <w:r>
              <w:rPr>
                <w:rFonts w:ascii="Arial" w:hAnsi="Arial" w:eastAsia="等线" w:cs="Arial"/>
              </w:rPr>
              <w:t>76.0%品质+轻奢生活方式</w:t>
            </w:r>
          </w:p>
        </w:tc>
        <w:tc>
          <w:tcPr>
            <w:tcW w:w="2760" w:type="dxa"/>
            <w:tcMar>
              <w:top w:w="60" w:type="dxa"/>
              <w:left w:w="120" w:type="dxa"/>
              <w:bottom w:w="30" w:type="dxa"/>
              <w:right w:w="120" w:type="dxa"/>
            </w:tcMar>
          </w:tcPr>
          <w:p w14:paraId="1827C898">
            <w:pPr>
              <w:spacing w:before="120" w:after="120" w:line="288" w:lineRule="auto"/>
              <w:rPr>
                <w:rFonts w:hint="eastAsia"/>
              </w:rPr>
            </w:pPr>
            <w:r>
              <w:rPr>
                <w:rFonts w:ascii="Arial" w:hAnsi="Arial" w:eastAsia="等线" w:cs="Arial"/>
              </w:rPr>
              <w:t>✓ 高度匹配</w:t>
            </w:r>
          </w:p>
        </w:tc>
      </w:tr>
      <w:tr w14:paraId="4208EF4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A7AC7C8">
            <w:pPr>
              <w:spacing w:before="120" w:after="120" w:line="288" w:lineRule="auto"/>
              <w:rPr>
                <w:rFonts w:hint="eastAsia"/>
              </w:rPr>
            </w:pPr>
            <w:r>
              <w:rPr>
                <w:rFonts w:ascii="Arial" w:hAnsi="Arial" w:eastAsia="等线" w:cs="Arial"/>
              </w:rPr>
              <w:t>价格策略</w:t>
            </w:r>
          </w:p>
        </w:tc>
        <w:tc>
          <w:tcPr>
            <w:tcW w:w="2760" w:type="dxa"/>
            <w:tcMar>
              <w:top w:w="60" w:type="dxa"/>
              <w:left w:w="120" w:type="dxa"/>
              <w:bottom w:w="30" w:type="dxa"/>
              <w:right w:w="120" w:type="dxa"/>
            </w:tcMar>
          </w:tcPr>
          <w:p w14:paraId="634F26A2">
            <w:pPr>
              <w:spacing w:before="120" w:after="120" w:line="288" w:lineRule="auto"/>
              <w:rPr>
                <w:rFonts w:hint="eastAsia"/>
              </w:rPr>
            </w:pPr>
            <w:r>
              <w:rPr>
                <w:rFonts w:ascii="Arial" w:hAnsi="Arial" w:eastAsia="等线" w:cs="Arial"/>
              </w:rPr>
              <w:t>89.5%接受100-300元区间</w:t>
            </w:r>
          </w:p>
        </w:tc>
        <w:tc>
          <w:tcPr>
            <w:tcW w:w="2760" w:type="dxa"/>
            <w:tcMar>
              <w:top w:w="60" w:type="dxa"/>
              <w:left w:w="120" w:type="dxa"/>
              <w:bottom w:w="30" w:type="dxa"/>
              <w:right w:w="120" w:type="dxa"/>
            </w:tcMar>
          </w:tcPr>
          <w:p w14:paraId="6E8A1307">
            <w:pPr>
              <w:spacing w:before="120" w:after="120" w:line="288" w:lineRule="auto"/>
              <w:rPr>
                <w:rFonts w:hint="eastAsia"/>
              </w:rPr>
            </w:pPr>
            <w:r>
              <w:rPr>
                <w:rFonts w:ascii="Arial" w:hAnsi="Arial" w:eastAsia="等线" w:cs="Arial"/>
              </w:rPr>
              <w:t>✓ 高度匹配</w:t>
            </w:r>
          </w:p>
        </w:tc>
      </w:tr>
      <w:tr w14:paraId="58B4BC6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BCF3FE4">
            <w:pPr>
              <w:spacing w:before="120" w:after="120" w:line="288" w:lineRule="auto"/>
              <w:rPr>
                <w:rFonts w:hint="eastAsia"/>
              </w:rPr>
            </w:pPr>
            <w:r>
              <w:rPr>
                <w:rFonts w:ascii="Arial" w:hAnsi="Arial" w:eastAsia="等线" w:cs="Arial"/>
              </w:rPr>
              <w:t>生态背书</w:t>
            </w:r>
          </w:p>
        </w:tc>
        <w:tc>
          <w:tcPr>
            <w:tcW w:w="2760" w:type="dxa"/>
            <w:tcMar>
              <w:top w:w="60" w:type="dxa"/>
              <w:left w:w="120" w:type="dxa"/>
              <w:bottom w:w="30" w:type="dxa"/>
              <w:right w:w="120" w:type="dxa"/>
            </w:tcMar>
          </w:tcPr>
          <w:p w14:paraId="08D2FF46">
            <w:pPr>
              <w:spacing w:before="120" w:after="120" w:line="288" w:lineRule="auto"/>
              <w:rPr>
                <w:rFonts w:hint="eastAsia"/>
              </w:rPr>
            </w:pPr>
            <w:r>
              <w:rPr>
                <w:rFonts w:ascii="Arial" w:hAnsi="Arial" w:eastAsia="等线" w:cs="Arial"/>
              </w:rPr>
              <w:t>68.0%接受10%以上溢价</w:t>
            </w:r>
          </w:p>
        </w:tc>
        <w:tc>
          <w:tcPr>
            <w:tcW w:w="2760" w:type="dxa"/>
            <w:tcMar>
              <w:top w:w="60" w:type="dxa"/>
              <w:left w:w="120" w:type="dxa"/>
              <w:bottom w:w="30" w:type="dxa"/>
              <w:right w:w="120" w:type="dxa"/>
            </w:tcMar>
          </w:tcPr>
          <w:p w14:paraId="2197D435">
            <w:pPr>
              <w:spacing w:before="120" w:after="120" w:line="288" w:lineRule="auto"/>
              <w:rPr>
                <w:rFonts w:hint="eastAsia"/>
              </w:rPr>
            </w:pPr>
            <w:r>
              <w:rPr>
                <w:rFonts w:ascii="Arial" w:hAnsi="Arial" w:eastAsia="等线" w:cs="Arial"/>
              </w:rPr>
              <w:t>✓ 高度匹配</w:t>
            </w:r>
          </w:p>
        </w:tc>
      </w:tr>
      <w:tr w14:paraId="07D28E6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8ADDD98">
            <w:pPr>
              <w:spacing w:before="120" w:after="120" w:line="288" w:lineRule="auto"/>
              <w:rPr>
                <w:rFonts w:hint="eastAsia"/>
              </w:rPr>
            </w:pPr>
            <w:r>
              <w:rPr>
                <w:rFonts w:ascii="Arial" w:hAnsi="Arial" w:eastAsia="等线" w:cs="Arial"/>
              </w:rPr>
              <w:t>认养认知</w:t>
            </w:r>
          </w:p>
        </w:tc>
        <w:tc>
          <w:tcPr>
            <w:tcW w:w="2760" w:type="dxa"/>
            <w:tcMar>
              <w:top w:w="60" w:type="dxa"/>
              <w:left w:w="120" w:type="dxa"/>
              <w:bottom w:w="30" w:type="dxa"/>
              <w:right w:w="120" w:type="dxa"/>
            </w:tcMar>
          </w:tcPr>
          <w:p w14:paraId="311ADFF2">
            <w:pPr>
              <w:spacing w:before="120" w:after="120" w:line="288" w:lineRule="auto"/>
              <w:rPr>
                <w:rFonts w:hint="eastAsia"/>
              </w:rPr>
            </w:pPr>
            <w:r>
              <w:rPr>
                <w:rFonts w:ascii="Arial" w:hAnsi="Arial" w:eastAsia="等线" w:cs="Arial"/>
              </w:rPr>
              <w:t>34.0%高兴趣，需提升至50%+</w:t>
            </w:r>
          </w:p>
        </w:tc>
        <w:tc>
          <w:tcPr>
            <w:tcW w:w="2760" w:type="dxa"/>
            <w:tcMar>
              <w:top w:w="60" w:type="dxa"/>
              <w:left w:w="120" w:type="dxa"/>
              <w:bottom w:w="30" w:type="dxa"/>
              <w:right w:w="120" w:type="dxa"/>
            </w:tcMar>
          </w:tcPr>
          <w:p w14:paraId="6F0E0494">
            <w:pPr>
              <w:spacing w:before="120" w:after="120" w:line="288" w:lineRule="auto"/>
              <w:rPr>
                <w:rFonts w:hint="eastAsia"/>
              </w:rPr>
            </w:pPr>
            <w:r>
              <w:rPr>
                <w:rFonts w:ascii="Arial" w:hAnsi="Arial" w:eastAsia="等线" w:cs="Arial"/>
              </w:rPr>
              <w:t>△ 需强化</w:t>
            </w:r>
          </w:p>
        </w:tc>
      </w:tr>
    </w:tbl>
    <w:p w14:paraId="6413A05C">
      <w:pPr>
        <w:pStyle w:val="3"/>
        <w:bidi w:val="0"/>
        <w:rPr>
          <w:rFonts w:hint="eastAsia"/>
          <w:lang w:val="en-US" w:eastAsia="zh-CN"/>
        </w:rPr>
      </w:pPr>
      <w:bookmarkStart w:id="47" w:name="_Toc10399"/>
      <w:r>
        <w:rPr>
          <w:rFonts w:hint="eastAsia"/>
          <w:lang w:val="en-US" w:eastAsia="zh-CN"/>
        </w:rPr>
        <w:t>3.3深度访谈</w:t>
      </w:r>
      <w:bookmarkEnd w:id="47"/>
    </w:p>
    <w:p w14:paraId="1EB60778">
      <w:pPr>
        <w:rPr>
          <w:rFonts w:hint="eastAsia"/>
          <w:lang w:val="en-US" w:eastAsia="zh-CN"/>
        </w:rPr>
      </w:pPr>
      <w:r>
        <w:rPr>
          <w:rFonts w:ascii="宋体" w:hAnsi="宋体" w:eastAsia="宋体" w:cs="宋体"/>
          <w:sz w:val="24"/>
          <w:szCs w:val="24"/>
        </w:rPr>
        <w:t>为进一步了解杨家东庄村的发展基础与现实约束，项目团队于2026年4月在村委会开展深度访谈，访谈对象主要为宋老师、苏老师、王老师。访谈结果表明，村庄发展必须严格遵守一级水源保护区政策红线，不能依赖新增商业业态和大规模建设，而应坚持“小切口、低成本、可落地”的基本思路。</w:t>
      </w:r>
    </w:p>
    <w:p w14:paraId="56D2F9AB">
      <w:pPr>
        <w:jc w:val="center"/>
        <w:rPr>
          <w:rFonts w:hint="eastAsia" w:ascii="宋体" w:hAnsi="宋体" w:eastAsia="宋体" w:cs="宋体"/>
        </w:rPr>
      </w:pPr>
      <w:r>
        <w:rPr>
          <w:rFonts w:hint="eastAsia" w:ascii="宋体" w:hAnsi="宋体" w:eastAsia="宋体" w:cs="宋体"/>
        </w:rPr>
        <w:t>访谈记录关键信息表格</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894"/>
        <w:gridCol w:w="4225"/>
        <w:gridCol w:w="3427"/>
      </w:tblGrid>
      <w:tr w14:paraId="0665C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D6AB63A">
            <w:pPr>
              <w:jc w:val="center"/>
              <w:rPr>
                <w:rFonts w:hint="eastAsia" w:ascii="宋体" w:hAnsi="宋体" w:eastAsia="宋体" w:cs="宋体"/>
                <w:b/>
              </w:rPr>
            </w:pPr>
            <w:r>
              <w:rPr>
                <w:rFonts w:hint="eastAsia" w:ascii="宋体" w:hAnsi="宋体" w:eastAsia="宋体" w:cs="宋体"/>
                <w:b/>
              </w:rPr>
              <w:t>访谈对象</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9D76A28">
            <w:pPr>
              <w:jc w:val="center"/>
              <w:rPr>
                <w:rFonts w:hint="eastAsia" w:ascii="宋体" w:hAnsi="宋体" w:eastAsia="宋体" w:cs="宋体"/>
                <w:b/>
              </w:rPr>
            </w:pPr>
            <w:r>
              <w:rPr>
                <w:rFonts w:hint="eastAsia" w:ascii="宋体" w:hAnsi="宋体" w:eastAsia="宋体" w:cs="宋体"/>
                <w:b/>
              </w:rPr>
              <w:t>核心回答</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47C50E07">
            <w:pPr>
              <w:jc w:val="center"/>
              <w:rPr>
                <w:rFonts w:hint="eastAsia" w:ascii="宋体" w:hAnsi="宋体" w:eastAsia="宋体" w:cs="宋体"/>
                <w:b/>
              </w:rPr>
            </w:pPr>
            <w:r>
              <w:rPr>
                <w:rFonts w:hint="eastAsia" w:ascii="宋体" w:hAnsi="宋体" w:eastAsia="宋体" w:cs="宋体"/>
                <w:b/>
              </w:rPr>
              <w:t>项目启示</w:t>
            </w:r>
          </w:p>
        </w:tc>
      </w:tr>
      <w:tr w14:paraId="6BA61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780E7D72">
            <w:pPr>
              <w:jc w:val="left"/>
              <w:rPr>
                <w:rFonts w:hint="eastAsia" w:ascii="宋体" w:hAnsi="宋体" w:eastAsia="宋体" w:cs="宋体"/>
              </w:rPr>
            </w:pPr>
            <w:r>
              <w:rPr>
                <w:rFonts w:hint="eastAsia" w:ascii="宋体" w:hAnsi="宋体" w:eastAsia="宋体" w:cs="宋体"/>
              </w:rPr>
              <w:t>苏老师</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0DCC9AE8">
            <w:pPr>
              <w:jc w:val="left"/>
              <w:rPr>
                <w:rFonts w:hint="eastAsia" w:ascii="宋体" w:hAnsi="宋体" w:eastAsia="宋体" w:cs="宋体"/>
              </w:rPr>
            </w:pPr>
            <w:r>
              <w:rPr>
                <w:rFonts w:hint="eastAsia" w:ascii="宋体" w:hAnsi="宋体" w:eastAsia="宋体" w:cs="宋体"/>
              </w:rPr>
              <w:t>村庄属于一级水源保护区，不能新增与水源保护无关的经营项目；樱桃园现约六七十亩，品质较好但产量不稳。</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4201F646">
            <w:pPr>
              <w:jc w:val="left"/>
              <w:rPr>
                <w:rFonts w:hint="eastAsia" w:ascii="宋体" w:hAnsi="宋体" w:eastAsia="宋体" w:cs="宋体"/>
              </w:rPr>
            </w:pPr>
            <w:r>
              <w:rPr>
                <w:rFonts w:hint="eastAsia" w:ascii="宋体" w:hAnsi="宋体" w:eastAsia="宋体" w:cs="宋体"/>
              </w:rPr>
              <w:t>项目必须严格控制在政策边界内，重点应放在樱桃品质提升和品牌增值，而非大规模开发。</w:t>
            </w:r>
          </w:p>
        </w:tc>
      </w:tr>
      <w:tr w14:paraId="7923B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492F31CA">
            <w:pPr>
              <w:jc w:val="left"/>
              <w:rPr>
                <w:rFonts w:hint="eastAsia" w:ascii="宋体" w:hAnsi="宋体" w:eastAsia="宋体" w:cs="宋体"/>
              </w:rPr>
            </w:pPr>
            <w:r>
              <w:rPr>
                <w:rFonts w:hint="eastAsia" w:ascii="宋体" w:hAnsi="宋体" w:eastAsia="宋体" w:cs="宋体"/>
              </w:rPr>
              <w:t>宋老师</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3480315B">
            <w:pPr>
              <w:jc w:val="left"/>
              <w:rPr>
                <w:rFonts w:hint="eastAsia" w:ascii="宋体" w:hAnsi="宋体" w:eastAsia="宋体" w:cs="宋体"/>
              </w:rPr>
            </w:pPr>
            <w:r>
              <w:rPr>
                <w:rFonts w:hint="eastAsia" w:ascii="宋体" w:hAnsi="宋体" w:eastAsia="宋体" w:cs="宋体"/>
              </w:rPr>
              <w:t>当前村里“大做不了，小得做精”，建议从打卡点、墙绘、线上引流、科学种植等低成本内容入手。</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7BBEF733">
            <w:pPr>
              <w:jc w:val="left"/>
              <w:rPr>
                <w:rFonts w:hint="eastAsia" w:ascii="宋体" w:hAnsi="宋体" w:eastAsia="宋体" w:cs="宋体"/>
              </w:rPr>
            </w:pPr>
            <w:r>
              <w:rPr>
                <w:rFonts w:hint="eastAsia" w:ascii="宋体" w:hAnsi="宋体" w:eastAsia="宋体" w:cs="宋体"/>
              </w:rPr>
              <w:t>项目应以“小切口”推进，优先布局见效快、投入低、便于实施的内容。</w:t>
            </w:r>
          </w:p>
        </w:tc>
      </w:tr>
      <w:tr w14:paraId="55914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730232E6">
            <w:pPr>
              <w:jc w:val="left"/>
              <w:rPr>
                <w:rFonts w:hint="eastAsia" w:ascii="宋体" w:hAnsi="宋体" w:eastAsia="宋体" w:cs="宋体"/>
              </w:rPr>
            </w:pPr>
            <w:r>
              <w:rPr>
                <w:rFonts w:hint="eastAsia" w:ascii="宋体" w:hAnsi="宋体" w:eastAsia="宋体" w:cs="宋体"/>
              </w:rPr>
              <w:t>宋老师</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EEB0F5A">
            <w:pPr>
              <w:jc w:val="left"/>
              <w:rPr>
                <w:rFonts w:hint="eastAsia" w:ascii="宋体" w:hAnsi="宋体" w:eastAsia="宋体" w:cs="宋体"/>
              </w:rPr>
            </w:pPr>
            <w:r>
              <w:rPr>
                <w:rFonts w:hint="eastAsia" w:ascii="宋体" w:hAnsi="宋体" w:eastAsia="宋体" w:cs="宋体"/>
              </w:rPr>
              <w:t>村内道路较窄，适合吸引骑行客群，但不适宜高强度改造；村里支持墙绘和轻量化节点建设。</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B254FD7">
            <w:pPr>
              <w:jc w:val="left"/>
              <w:rPr>
                <w:rFonts w:hint="eastAsia" w:ascii="宋体" w:hAnsi="宋体" w:eastAsia="宋体" w:cs="宋体"/>
              </w:rPr>
            </w:pPr>
            <w:r>
              <w:rPr>
                <w:rFonts w:hint="eastAsia" w:ascii="宋体" w:hAnsi="宋体" w:eastAsia="宋体" w:cs="宋体"/>
              </w:rPr>
              <w:t>骑行方案宜以节点优化和流量转化为主，不宜提出重资产建设方案。</w:t>
            </w:r>
          </w:p>
        </w:tc>
      </w:tr>
      <w:tr w14:paraId="19335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7B2B00B8">
            <w:pPr>
              <w:jc w:val="left"/>
              <w:rPr>
                <w:rFonts w:hint="eastAsia" w:ascii="宋体" w:hAnsi="宋体" w:eastAsia="宋体" w:cs="宋体"/>
              </w:rPr>
            </w:pPr>
            <w:r>
              <w:rPr>
                <w:rFonts w:hint="eastAsia" w:ascii="宋体" w:hAnsi="宋体" w:eastAsia="宋体" w:cs="宋体"/>
              </w:rPr>
              <w:t>王老师及村干部</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0583D675">
            <w:pPr>
              <w:jc w:val="left"/>
              <w:rPr>
                <w:rFonts w:hint="eastAsia" w:ascii="宋体" w:hAnsi="宋体" w:eastAsia="宋体" w:cs="宋体"/>
              </w:rPr>
            </w:pPr>
            <w:r>
              <w:rPr>
                <w:rFonts w:hint="eastAsia" w:ascii="宋体" w:hAnsi="宋体" w:eastAsia="宋体" w:cs="宋体"/>
              </w:rPr>
              <w:t>村里已有IP形象、产品包装和小程序基础，也可与周边村庄通过联动合作形成互补。</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7CCEE731">
            <w:pPr>
              <w:jc w:val="left"/>
              <w:rPr>
                <w:rFonts w:hint="eastAsia" w:ascii="宋体" w:hAnsi="宋体" w:eastAsia="宋体" w:cs="宋体"/>
              </w:rPr>
            </w:pPr>
            <w:r>
              <w:rPr>
                <w:rFonts w:hint="eastAsia" w:ascii="宋体" w:hAnsi="宋体" w:eastAsia="宋体" w:cs="宋体"/>
              </w:rPr>
              <w:t>项目可依托现有品牌基础继续深化，并通过多村联动提升整体承接能力。</w:t>
            </w:r>
          </w:p>
        </w:tc>
      </w:tr>
    </w:tbl>
    <w:p w14:paraId="6A8BC28C">
      <w:pPr>
        <w:rPr>
          <w:rFonts w:hint="default"/>
          <w:lang w:val="en-US" w:eastAsia="zh-CN"/>
        </w:rPr>
      </w:pPr>
    </w:p>
    <w:p w14:paraId="07430A46">
      <w:pPr>
        <w:pStyle w:val="3"/>
        <w:bidi w:val="0"/>
      </w:pPr>
      <w:bookmarkStart w:id="48" w:name="_Toc15333"/>
      <w:r>
        <w:t>3.4  实地考察</w:t>
      </w:r>
      <w:bookmarkEnd w:id="48"/>
    </w:p>
    <w:p w14:paraId="28085AE2">
      <w:pPr>
        <w:rPr>
          <w:rFonts w:hint="eastAsia" w:ascii="宋体" w:hAnsi="宋体" w:eastAsia="宋体"/>
          <w:b/>
          <w:bCs/>
          <w:sz w:val="28"/>
          <w:szCs w:val="28"/>
        </w:rPr>
      </w:pPr>
      <w:r>
        <w:rPr>
          <w:rFonts w:ascii="宋体" w:hAnsi="宋体" w:eastAsia="宋体"/>
          <w:b/>
          <w:bCs/>
          <w:sz w:val="21"/>
          <w:szCs w:val="21"/>
        </w:rPr>
        <w:t>（1）樱桃园实况</w:t>
      </w:r>
    </w:p>
    <w:p w14:paraId="1FA4C273">
      <w:pPr>
        <w:rPr>
          <w:rFonts w:hint="eastAsia" w:ascii="宋体" w:hAnsi="宋体" w:eastAsia="宋体"/>
          <w:sz w:val="21"/>
          <w:szCs w:val="21"/>
          <w:lang w:eastAsia="zh-CN"/>
        </w:rPr>
      </w:pPr>
      <w:r>
        <w:rPr>
          <w:rFonts w:ascii="宋体" w:hAnsi="宋体" w:eastAsia="宋体"/>
          <w:sz w:val="21"/>
          <w:szCs w:val="21"/>
        </w:rPr>
        <w:t>经实地调研</w:t>
      </w:r>
      <w:r>
        <w:rPr>
          <w:rFonts w:hint="eastAsia" w:ascii="宋体" w:hAnsi="宋体" w:eastAsia="宋体"/>
          <w:sz w:val="21"/>
          <w:szCs w:val="21"/>
          <w:lang w:val="en-US" w:eastAsia="zh-CN"/>
        </w:rPr>
        <w:t>得知</w:t>
      </w:r>
      <w:r>
        <w:rPr>
          <w:rFonts w:ascii="宋体" w:hAnsi="宋体" w:eastAsia="宋体"/>
          <w:sz w:val="21"/>
          <w:szCs w:val="21"/>
        </w:rPr>
        <w:t>,樱桃园原有面积约150亩,但在怀柔水库蓄水过程中有五六十亩因水位抬升被淹没,当</w:t>
      </w:r>
      <w:r>
        <w:rPr>
          <w:rFonts w:ascii="宋体" w:hAnsi="宋体" w:eastAsia="宋体"/>
          <w:sz w:val="21"/>
          <w:szCs w:val="21"/>
          <w:highlight w:val="none"/>
        </w:rPr>
        <w:t>前</w:t>
      </w:r>
      <w:r>
        <w:rPr>
          <w:rFonts w:ascii="宋体" w:hAnsi="宋体" w:eastAsia="宋体"/>
          <w:b/>
          <w:bCs/>
          <w:sz w:val="21"/>
          <w:szCs w:val="21"/>
          <w:highlight w:val="yellow"/>
        </w:rPr>
        <w:t>实际可用面积仅约60—70亩,果树约4000棵</w:t>
      </w:r>
      <w:r>
        <w:rPr>
          <w:rFonts w:ascii="宋体" w:hAnsi="宋体" w:eastAsia="宋体"/>
          <w:sz w:val="21"/>
          <w:szCs w:val="21"/>
        </w:rPr>
        <w:t>,且大多为2008年左右种植的老树,</w:t>
      </w:r>
      <w:r>
        <w:rPr>
          <w:rFonts w:ascii="宋体" w:hAnsi="宋体" w:eastAsia="宋体"/>
          <w:b/>
          <w:bCs/>
          <w:sz w:val="21"/>
          <w:szCs w:val="21"/>
          <w:highlight w:val="yellow"/>
        </w:rPr>
        <w:t>产量呈下滑趋势</w:t>
      </w:r>
      <w:r>
        <w:rPr>
          <w:rFonts w:ascii="宋体" w:hAnsi="宋体" w:eastAsia="宋体"/>
          <w:sz w:val="21"/>
          <w:szCs w:val="21"/>
        </w:rPr>
        <w:t>。2020年鲜果销售峰值约60万元,2024年因倒春寒樱桃绝产,2025年销售额约为20万元。</w:t>
      </w:r>
      <w:r>
        <w:rPr>
          <w:rFonts w:ascii="宋体" w:hAnsi="宋体" w:eastAsia="宋体"/>
          <w:b/>
          <w:bCs/>
          <w:sz w:val="21"/>
          <w:szCs w:val="21"/>
          <w:highlight w:val="yellow"/>
        </w:rPr>
        <w:t>樱桃园由村委会作为集体资产统一管理</w:t>
      </w:r>
      <w:r>
        <w:rPr>
          <w:rFonts w:ascii="宋体" w:hAnsi="宋体" w:eastAsia="宋体"/>
          <w:sz w:val="21"/>
          <w:szCs w:val="21"/>
          <w:highlight w:val="yellow"/>
        </w:rPr>
        <w:t>,</w:t>
      </w:r>
      <w:r>
        <w:rPr>
          <w:rFonts w:ascii="宋体" w:hAnsi="宋体" w:eastAsia="宋体"/>
          <w:sz w:val="21"/>
          <w:szCs w:val="21"/>
        </w:rPr>
        <w:t>雇佣专职工人进行日常管护和用药,村民不直接参与销售;</w:t>
      </w:r>
      <w:r>
        <w:rPr>
          <w:rFonts w:ascii="宋体" w:hAnsi="宋体" w:eastAsia="宋体"/>
          <w:sz w:val="21"/>
          <w:szCs w:val="21"/>
          <w:highlight w:val="yellow"/>
        </w:rPr>
        <w:t>原有品种为多品种混种(早大果、红灯、大紫、水晶等10余个品种)</w:t>
      </w:r>
      <w:r>
        <w:rPr>
          <w:rFonts w:ascii="宋体" w:hAnsi="宋体" w:eastAsia="宋体"/>
          <w:sz w:val="21"/>
          <w:szCs w:val="21"/>
        </w:rPr>
        <w:t>,这一结构虽然延长了采摘季窗口,但直接导致鲜果无法按品种分拣发货,是本项目放弃常规樱桃电商、转向"一树一人"单树认养的核心结构性原因。</w:t>
      </w:r>
    </w:p>
    <w:p w14:paraId="36017008">
      <w:pPr>
        <w:numPr>
          <w:ilvl w:val="0"/>
          <w:numId w:val="5"/>
        </w:numPr>
        <w:rPr>
          <w:rFonts w:ascii="宋体" w:hAnsi="宋体" w:eastAsia="宋体"/>
          <w:b/>
          <w:bCs/>
          <w:sz w:val="21"/>
          <w:szCs w:val="21"/>
        </w:rPr>
      </w:pPr>
      <w:r>
        <w:rPr>
          <w:rFonts w:ascii="宋体" w:hAnsi="宋体" w:eastAsia="宋体"/>
          <w:b/>
          <w:bCs/>
          <w:sz w:val="21"/>
          <w:szCs w:val="21"/>
        </w:rPr>
        <w:t>骑行路线踏勘</w:t>
      </w:r>
    </w:p>
    <w:p w14:paraId="50AC1BBA">
      <w:pPr>
        <w:rPr>
          <w:rFonts w:ascii="宋体" w:hAnsi="宋体" w:eastAsia="宋体"/>
          <w:sz w:val="21"/>
          <w:szCs w:val="21"/>
        </w:rPr>
      </w:pPr>
      <w:r>
        <w:rPr>
          <w:rFonts w:ascii="宋体" w:hAnsi="宋体" w:eastAsia="宋体"/>
          <w:b/>
          <w:bCs/>
          <w:sz w:val="21"/>
          <w:szCs w:val="21"/>
          <w:highlight w:val="yellow"/>
        </w:rPr>
        <w:t>村庄内部仅有一条主干道,且与机动车混行,不具备新建独立骑行道路的条件</w:t>
      </w:r>
      <w:r>
        <w:rPr>
          <w:rFonts w:hint="eastAsia" w:ascii="宋体" w:hAnsi="宋体" w:eastAsia="宋体"/>
          <w:sz w:val="21"/>
          <w:szCs w:val="21"/>
          <w:lang w:eastAsia="zh-CN"/>
        </w:rPr>
        <w:t>，“</w:t>
      </w:r>
      <w:r>
        <w:rPr>
          <w:rFonts w:ascii="宋体" w:hAnsi="宋体" w:eastAsia="宋体"/>
          <w:sz w:val="21"/>
          <w:szCs w:val="21"/>
        </w:rPr>
        <w:t>6.8公里环库步道</w:t>
      </w:r>
      <w:r>
        <w:rPr>
          <w:rFonts w:hint="eastAsia" w:ascii="宋体" w:hAnsi="宋体" w:eastAsia="宋体"/>
          <w:sz w:val="21"/>
          <w:szCs w:val="21"/>
          <w:lang w:eastAsia="zh-CN"/>
        </w:rPr>
        <w:t>”</w:t>
      </w:r>
      <w:r>
        <w:rPr>
          <w:rFonts w:ascii="宋体" w:hAnsi="宋体" w:eastAsia="宋体"/>
          <w:sz w:val="21"/>
          <w:szCs w:val="21"/>
        </w:rPr>
        <w:t>不属于村集体运营资源,也不被允许作为独立经营项目。</w:t>
      </w:r>
      <w:r>
        <w:rPr>
          <w:rFonts w:ascii="宋体" w:hAnsi="宋体" w:eastAsia="宋体"/>
          <w:sz w:val="21"/>
          <w:szCs w:val="21"/>
          <w:highlight w:val="yellow"/>
        </w:rPr>
        <w:t>周边骑行人群</w:t>
      </w:r>
      <w:r>
        <w:rPr>
          <w:rFonts w:ascii="宋体" w:hAnsi="宋体" w:eastAsia="宋体"/>
          <w:sz w:val="21"/>
          <w:szCs w:val="21"/>
        </w:rPr>
        <w:t>主要为周日从慕田峪长城方向或环水库路线过境的骑行者,</w:t>
      </w:r>
      <w:r>
        <w:rPr>
          <w:rFonts w:ascii="宋体" w:hAnsi="宋体" w:eastAsia="宋体"/>
          <w:sz w:val="21"/>
          <w:szCs w:val="21"/>
          <w:highlight w:val="yellow"/>
        </w:rPr>
        <w:t>绝大多数路过不停留</w:t>
      </w:r>
      <w:r>
        <w:rPr>
          <w:rFonts w:ascii="宋体" w:hAnsi="宋体" w:eastAsia="宋体"/>
          <w:sz w:val="21"/>
          <w:szCs w:val="21"/>
        </w:rPr>
        <w:t>。</w:t>
      </w:r>
    </w:p>
    <w:p w14:paraId="619B8116">
      <w:pPr>
        <w:rPr>
          <w:rFonts w:hint="eastAsia" w:ascii="宋体" w:hAnsi="宋体" w:eastAsia="宋体"/>
          <w:b/>
          <w:bCs/>
          <w:sz w:val="21"/>
          <w:szCs w:val="21"/>
        </w:rPr>
      </w:pPr>
      <w:r>
        <w:rPr>
          <w:rFonts w:ascii="宋体" w:hAnsi="宋体" w:eastAsia="宋体"/>
          <w:b/>
          <w:bCs/>
          <w:sz w:val="21"/>
          <w:szCs w:val="21"/>
        </w:rPr>
        <w:t>（3）村庄空间与合规利用调研</w:t>
      </w:r>
    </w:p>
    <w:p w14:paraId="697CF8FC">
      <w:pPr>
        <w:rPr>
          <w:rFonts w:hint="eastAsia" w:ascii="宋体" w:hAnsi="宋体" w:eastAsia="宋体"/>
          <w:sz w:val="21"/>
          <w:szCs w:val="21"/>
        </w:rPr>
      </w:pPr>
      <w:r>
        <w:rPr>
          <w:rFonts w:ascii="宋体" w:hAnsi="宋体" w:eastAsia="宋体"/>
          <w:b/>
          <w:bCs/>
          <w:sz w:val="21"/>
          <w:szCs w:val="21"/>
          <w:highlight w:val="yellow"/>
        </w:rPr>
        <w:t>村庄现有可用空间较为有限</w:t>
      </w:r>
      <w:r>
        <w:rPr>
          <w:rFonts w:ascii="宋体" w:hAnsi="宋体" w:eastAsia="宋体"/>
          <w:sz w:val="21"/>
          <w:szCs w:val="21"/>
          <w:highlight w:val="yellow"/>
        </w:rPr>
        <w:t>,一级水源保护区的政策框架要求任何新增设施必须依托既有空间且不改变建筑用途</w:t>
      </w:r>
      <w:r>
        <w:rPr>
          <w:rFonts w:ascii="宋体" w:hAnsi="宋体" w:eastAsia="宋体"/>
          <w:sz w:val="21"/>
          <w:szCs w:val="21"/>
        </w:rPr>
        <w:t>。本项目据此将村内空间用途设计为三类:(1)作为无人驿站场地租赁给外部合规经营主体,(2)作为公益性水源科普展馆与认养到访接待点,(3)作为数字平台的线下触点。村集体以场地租金、组织召集费、品牌授权分成等资产性收入形式参与,不以新增经营主体方式出现,从根本上契合保护区的合规边界。</w:t>
      </w:r>
    </w:p>
    <w:p w14:paraId="44433604">
      <w:r>
        <w:rPr>
          <w:rFonts w:ascii="宋体" w:hAnsi="宋体" w:eastAsia="宋体"/>
          <w:b/>
          <w:sz w:val="22"/>
        </w:rPr>
        <w:t>（4）联盟村与合作伙伴调研</w:t>
      </w:r>
    </w:p>
    <w:p w14:paraId="53E8DAF5">
      <w:pPr>
        <w:bidi w:val="0"/>
        <w:rPr>
          <w:rFonts w:hint="eastAsia"/>
        </w:rPr>
      </w:pPr>
      <w:r>
        <w:rPr>
          <w:rFonts w:ascii="宋体" w:hAnsi="宋体" w:eastAsia="宋体"/>
          <w:b w:val="0"/>
          <w:highlight w:val="yellow"/>
        </w:rPr>
        <w:t>围绕</w:t>
      </w:r>
      <w:r>
        <w:rPr>
          <w:rFonts w:ascii="宋体" w:hAnsi="宋体" w:eastAsia="宋体"/>
          <w:b/>
          <w:bCs/>
          <w:highlight w:val="yellow"/>
        </w:rPr>
        <w:t>"北片区域骑行联盟"</w:t>
      </w:r>
      <w:r>
        <w:rPr>
          <w:rFonts w:ascii="宋体" w:hAnsi="宋体" w:eastAsia="宋体"/>
          <w:b w:val="0"/>
          <w:highlight w:val="yellow"/>
        </w:rPr>
        <w:t>战略定位,</w:t>
      </w:r>
      <w:r>
        <w:rPr>
          <w:rFonts w:ascii="宋体" w:hAnsi="宋体" w:eastAsia="宋体"/>
          <w:b w:val="0"/>
        </w:rPr>
        <w:t>对杨家东庄周边的可合作村庄进行了针对性调研。重点调研对象包括:铠甲村(具备民宿、餐饮、非遗葫芦制作等完整承接能力,不在水源保护区内,政策限制较少,是联盟首期试点的最佳搭档)、秦家东庄(地理上骑行必经节点,具备基础服务能力,是联</w:t>
      </w:r>
      <w:r>
        <w:t>盟路线不可或缺的衔接点)。</w:t>
      </w:r>
    </w:p>
    <w:p w14:paraId="2724DDF8">
      <w:pPr>
        <w:bidi w:val="0"/>
        <w:rPr>
          <w:rFonts w:hint="eastAsia"/>
        </w:rPr>
      </w:pPr>
      <w:r>
        <w:t>(</w:t>
      </w:r>
      <w:r>
        <w:rPr>
          <w:rFonts w:hint="eastAsia"/>
          <w:lang w:val="en-US" w:eastAsia="zh-CN"/>
        </w:rPr>
        <w:t>5</w:t>
      </w:r>
      <w:r>
        <w:t>)实地调研识别的十条硬约束</w:t>
      </w:r>
    </w:p>
    <w:p w14:paraId="4C643B53">
      <w:pPr>
        <w:bidi w:val="0"/>
        <w:rPr>
          <w:rFonts w:hint="eastAsia"/>
        </w:rPr>
      </w:pPr>
      <w:r>
        <w:t>综合村委会访谈、实地踏勘与政策对照,明确以下十条硬约束,所有方案设计均严格在此框架内进行:</w:t>
      </w:r>
    </w:p>
    <w:p w14:paraId="3C44BCE3">
      <w:pPr>
        <w:bidi w:val="0"/>
        <w:rPr>
          <w:rFonts w:hint="eastAsia"/>
        </w:rPr>
      </w:pPr>
      <w:r>
        <w:t>① 一级水源保护区内不得新办任何与水源保护无关的商业经营许可;</w:t>
      </w:r>
    </w:p>
    <w:p w14:paraId="340F3339">
      <w:pPr>
        <w:bidi w:val="0"/>
        <w:rPr>
          <w:rFonts w:hint="eastAsia"/>
        </w:rPr>
      </w:pPr>
      <w:r>
        <w:t>② 不得新建永久性建筑,现有闲置农房仅可作场地出租用途;</w:t>
      </w:r>
    </w:p>
    <w:p w14:paraId="462CD49E">
      <w:pPr>
        <w:bidi w:val="0"/>
        <w:rPr>
          <w:rFonts w:hint="eastAsia"/>
        </w:rPr>
      </w:pPr>
      <w:r>
        <w:t>③ 不得在库区开展任何商业或危险性活动(如垂钓、露营、滑冰、水上项目);</w:t>
      </w:r>
    </w:p>
    <w:p w14:paraId="40E5931B">
      <w:pPr>
        <w:bidi w:val="0"/>
        <w:rPr>
          <w:rFonts w:hint="eastAsia"/>
        </w:rPr>
      </w:pPr>
      <w:r>
        <w:t>④ 不得设置任何污水排放口,废弃物必须日产日清;</w:t>
      </w:r>
    </w:p>
    <w:p w14:paraId="42494741">
      <w:pPr>
        <w:bidi w:val="0"/>
        <w:rPr>
          <w:rFonts w:hint="eastAsia"/>
        </w:rPr>
      </w:pPr>
      <w:r>
        <w:t>⑤ 不得新增民宿、餐饮、便利店等需办执照业态,村内现有老执照不可转让扩张;</w:t>
      </w:r>
    </w:p>
    <w:p w14:paraId="103F574B">
      <w:pPr>
        <w:bidi w:val="0"/>
        <w:rPr>
          <w:rFonts w:hint="eastAsia"/>
        </w:rPr>
      </w:pPr>
      <w:r>
        <w:t>⑥ 帮扶企业与高校定向采购基本消化现有产量,增收重点在于单价提升与产品形态升级,而非扩大销售半径;</w:t>
      </w:r>
    </w:p>
    <w:p w14:paraId="69048114">
      <w:pPr>
        <w:bidi w:val="0"/>
        <w:rPr>
          <w:rFonts w:hint="eastAsia"/>
        </w:rPr>
      </w:pPr>
      <w:r>
        <w:t>⑦ 老樱桃树为2008年前后种植,产量已呈下滑趋势,不扩大种植面积,走提质增效路线;</w:t>
      </w:r>
    </w:p>
    <w:p w14:paraId="6CD8DC3E">
      <w:pPr>
        <w:bidi w:val="0"/>
        <w:rPr>
          <w:rFonts w:hint="eastAsia"/>
        </w:rPr>
      </w:pPr>
      <w:r>
        <w:t>⑧ 村庄内部只有一条与机动车混行的主干道,不具备新建骑行专用道路的条件;</w:t>
      </w:r>
    </w:p>
    <w:p w14:paraId="568619A7">
      <w:pPr>
        <w:bidi w:val="0"/>
        <w:rPr>
          <w:rFonts w:hint="eastAsia"/>
        </w:rPr>
      </w:pPr>
      <w:r>
        <w:t>⑨ 樱桃园为集体资产,村民不直接参与销售,土地流转费已一次性结清,无后续分红安排;</w:t>
      </w:r>
    </w:p>
    <w:p w14:paraId="2F54A9DD">
      <w:pPr>
        <w:bidi w:val="0"/>
        <w:rPr>
          <w:rFonts w:eastAsia="等线" w:cs="Arial"/>
          <w:b/>
          <w:sz w:val="32"/>
          <w:lang w:eastAsia="zh-CN"/>
        </w:rPr>
      </w:pPr>
      <w:r>
        <w:t>⑩ 村民主要人口为60岁以上老人,数字化操作能力有限,新增运营岗位必须与既有岗位合并并提供培训。</w:t>
      </w:r>
      <w:r>
        <w:rPr>
          <w:rFonts w:hint="eastAsia"/>
          <w:lang w:eastAsia="zh-CN"/>
        </w:rPr>
        <w:drawing>
          <wp:inline distT="0" distB="0" distL="114300" distR="114300">
            <wp:extent cx="4319905" cy="2443480"/>
            <wp:effectExtent l="0" t="0" r="10795" b="7620"/>
            <wp:docPr id="15" name="图片 15" descr="a09639866864b9b98b6eab981de75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a09639866864b9b98b6eab981de75450"/>
                    <pic:cNvPicPr>
                      <a:picLocks noChangeAspect="1"/>
                    </pic:cNvPicPr>
                  </pic:nvPicPr>
                  <pic:blipFill>
                    <a:blip r:embed="rId20"/>
                    <a:srcRect l="3722" t="12652" r="2216" b="10477"/>
                    <a:stretch>
                      <a:fillRect/>
                    </a:stretch>
                  </pic:blipFill>
                  <pic:spPr>
                    <a:xfrm>
                      <a:off x="0" y="0"/>
                      <a:ext cx="4319905" cy="2443480"/>
                    </a:xfrm>
                    <a:prstGeom prst="rect">
                      <a:avLst/>
                    </a:prstGeom>
                  </pic:spPr>
                </pic:pic>
              </a:graphicData>
            </a:graphic>
          </wp:inline>
        </w:drawing>
      </w:r>
    </w:p>
    <w:p w14:paraId="5FB77752">
      <w:pPr>
        <w:pStyle w:val="3"/>
        <w:bidi w:val="0"/>
        <w:rPr>
          <w:rFonts w:hint="eastAsia"/>
        </w:rPr>
      </w:pPr>
      <w:bookmarkStart w:id="49" w:name="_Toc6196"/>
      <w:r>
        <w:t>3.5  二手数据分析</w:t>
      </w:r>
      <w:bookmarkEnd w:id="49"/>
    </w:p>
    <w:p w14:paraId="1C697AA7">
      <w:pPr>
        <w:rPr>
          <w:rFonts w:hint="eastAsia" w:ascii="宋体" w:hAnsi="宋体" w:eastAsia="宋体"/>
          <w:sz w:val="21"/>
          <w:szCs w:val="21"/>
        </w:rPr>
      </w:pPr>
      <w:r>
        <w:rPr>
          <w:rFonts w:ascii="宋体" w:hAnsi="宋体" w:eastAsia="宋体"/>
          <w:sz w:val="21"/>
          <w:szCs w:val="21"/>
        </w:rPr>
        <w:t>在一手调研尚未完成之前，本节系统梳理公开可获取的行业数据，为方案设计提供市场基准和决策依据。</w:t>
      </w:r>
    </w:p>
    <w:p w14:paraId="159327CC">
      <w:pPr>
        <w:rPr>
          <w:rFonts w:hint="eastAsia" w:ascii="宋体" w:hAnsi="宋体" w:eastAsia="宋体"/>
          <w:b/>
          <w:bCs/>
          <w:sz w:val="21"/>
          <w:szCs w:val="21"/>
        </w:rPr>
      </w:pPr>
      <w:r>
        <w:rPr>
          <w:rFonts w:ascii="宋体" w:hAnsi="宋体" w:eastAsia="宋体"/>
          <w:b/>
          <w:bCs/>
          <w:sz w:val="21"/>
          <w:szCs w:val="21"/>
        </w:rPr>
        <w:t>（1）京郊乡村旅游市场</w:t>
      </w:r>
    </w:p>
    <w:p w14:paraId="496A6964">
      <w:pPr>
        <w:rPr>
          <w:rFonts w:hint="eastAsia" w:ascii="宋体" w:hAnsi="宋体" w:eastAsia="宋体"/>
          <w:sz w:val="21"/>
          <w:szCs w:val="21"/>
        </w:rPr>
      </w:pPr>
      <w:r>
        <w:rPr>
          <w:rFonts w:ascii="宋体" w:hAnsi="宋体" w:eastAsia="宋体"/>
          <w:sz w:val="21"/>
          <w:szCs w:val="21"/>
        </w:rPr>
        <w:t>2023年北京市乡村旅游接待游客约4280万人次，实现收入约52.6亿元，同比增长超过30%。怀柔区作为北京北部生态涵养区核心板块，2023年接待游客约1520万人次，旅游总收入约78亿元，其中乡村旅游占比约35%。京郊"1小时生活圈"内周末自驾客群年均增速约15%-20%，家庭亲子和年轻白领为两大核心客群，人均消费约280-450元/次。</w:t>
      </w:r>
    </w:p>
    <w:p w14:paraId="125A0895">
      <w:pPr>
        <w:rPr>
          <w:rFonts w:hint="eastAsia" w:ascii="宋体" w:hAnsi="宋体" w:eastAsia="宋体"/>
          <w:sz w:val="21"/>
          <w:szCs w:val="21"/>
        </w:rPr>
      </w:pPr>
      <w:r>
        <w:rPr>
          <w:rFonts w:ascii="宋体" w:hAnsi="宋体" w:eastAsia="宋体"/>
          <w:sz w:val="21"/>
          <w:szCs w:val="21"/>
        </w:rPr>
        <w:t>值得关注的趋势是：消费者对"体验深度"的要求持续提升——单纯的"农家乐+采摘"模式满意度持续下降，而"主题化+场景化+数字化"的新型乡村旅游产品满意度和复购率显著更高。这一趋势直接支撑本项目"场景体验体系"的设计方向。</w:t>
      </w:r>
    </w:p>
    <w:p w14:paraId="2307FB25">
      <w:pPr>
        <w:rPr>
          <w:rFonts w:hint="eastAsia" w:ascii="宋体" w:hAnsi="宋体" w:eastAsia="宋体"/>
          <w:b/>
          <w:bCs/>
          <w:sz w:val="21"/>
          <w:szCs w:val="21"/>
        </w:rPr>
      </w:pPr>
      <w:r>
        <w:rPr>
          <w:rFonts w:ascii="宋体" w:hAnsi="宋体" w:eastAsia="宋体"/>
          <w:b/>
          <w:bCs/>
          <w:sz w:val="21"/>
          <w:szCs w:val="21"/>
        </w:rPr>
        <w:t>（2）樱桃产业数据</w:t>
      </w:r>
    </w:p>
    <w:p w14:paraId="043A8B11">
      <w:pPr>
        <w:rPr>
          <w:rFonts w:hint="eastAsia" w:ascii="宋体" w:hAnsi="宋体" w:eastAsia="宋体"/>
          <w:sz w:val="21"/>
          <w:szCs w:val="21"/>
        </w:rPr>
      </w:pPr>
      <w:r>
        <w:rPr>
          <w:rFonts w:ascii="宋体" w:hAnsi="宋体" w:eastAsia="宋体"/>
          <w:sz w:val="21"/>
          <w:szCs w:val="21"/>
        </w:rPr>
        <w:t>我国甜樱桃种植面积已超过350万亩，年产量约150万吨，但品牌化率不足5%——绝大多数产区以初级鲜果散卖为主，缺乏产地品牌、品质分级和溯源体系。北京市樱桃种植面积约4.2万亩，集中在海淀、昌平、通州及怀柔区。</w:t>
      </w:r>
    </w:p>
    <w:p w14:paraId="54F5CFBC">
      <w:pPr>
        <w:rPr>
          <w:rFonts w:hint="eastAsia" w:ascii="宋体" w:hAnsi="宋体" w:eastAsia="宋体"/>
          <w:sz w:val="21"/>
          <w:szCs w:val="21"/>
        </w:rPr>
      </w:pPr>
      <w:r>
        <w:rPr>
          <w:rFonts w:ascii="宋体" w:hAnsi="宋体" w:eastAsia="宋体"/>
          <w:sz w:val="21"/>
          <w:szCs w:val="21"/>
        </w:rPr>
        <w:t>消费端数据显示：愿意为"产地可溯源+有机认证"樱桃支付30%-50%溢价的消费者占比达62%；国内樱桃深加工占总产量比例不足8%（对比美国约35%、欧洲约25%），深加工市场存在巨大空间；电商渠道在樱桃销售中的占比从2019年的12%快速增长至2023年的约35%，且仍在加速。</w:t>
      </w:r>
    </w:p>
    <w:p w14:paraId="752F40DA">
      <w:pPr>
        <w:rPr>
          <w:rFonts w:hint="eastAsia" w:ascii="宋体" w:hAnsi="宋体" w:eastAsia="宋体"/>
          <w:sz w:val="21"/>
          <w:szCs w:val="21"/>
        </w:rPr>
      </w:pPr>
      <w:r>
        <w:rPr>
          <w:rFonts w:ascii="宋体" w:hAnsi="宋体" w:eastAsia="宋体"/>
          <w:sz w:val="21"/>
          <w:szCs w:val="21"/>
        </w:rPr>
        <w:t>这些数据为本项目提供三个关键判断：一是品牌化有巨大溢价空间（当前品牌化率极低意味着先行者优势）；二是深加工是必须开辟的第二增长曲线；三是电商+私域是不可放弃的销售渠道。</w:t>
      </w:r>
    </w:p>
    <w:p w14:paraId="30D7D811">
      <w:pPr>
        <w:rPr>
          <w:rFonts w:hint="eastAsia" w:ascii="宋体" w:hAnsi="宋体" w:eastAsia="宋体"/>
          <w:b/>
          <w:bCs/>
          <w:sz w:val="21"/>
          <w:szCs w:val="21"/>
        </w:rPr>
      </w:pPr>
      <w:r>
        <w:rPr>
          <w:rFonts w:ascii="宋体" w:hAnsi="宋体" w:eastAsia="宋体"/>
          <w:b/>
          <w:bCs/>
          <w:sz w:val="21"/>
          <w:szCs w:val="21"/>
        </w:rPr>
        <w:t>（3）骑行休闲产业</w:t>
      </w:r>
    </w:p>
    <w:p w14:paraId="6388DB2A">
      <w:pPr>
        <w:rPr>
          <w:rFonts w:hint="eastAsia" w:ascii="宋体" w:hAnsi="宋体" w:eastAsia="宋体"/>
          <w:sz w:val="21"/>
          <w:szCs w:val="21"/>
        </w:rPr>
      </w:pPr>
      <w:r>
        <w:rPr>
          <w:rFonts w:ascii="宋体" w:hAnsi="宋体" w:eastAsia="宋体"/>
          <w:sz w:val="21"/>
          <w:szCs w:val="21"/>
        </w:rPr>
        <w:t>中国自行车协会数据显示，2023年全国经常性骑行人口超过2000万，京津冀地区约占12%（约240万人）。京郊热门骑行路线包括妙峰山、十三陵水库、雁栖湖环线等，但怀柔水库西岸尚未形成成熟骑行产品。</w:t>
      </w:r>
    </w:p>
    <w:p w14:paraId="144CD60B">
      <w:pPr>
        <w:rPr>
          <w:rFonts w:hint="eastAsia" w:ascii="宋体" w:hAnsi="宋体" w:eastAsia="宋体"/>
          <w:sz w:val="21"/>
          <w:szCs w:val="21"/>
        </w:rPr>
      </w:pPr>
      <w:r>
        <w:rPr>
          <w:rFonts w:ascii="宋体" w:hAnsi="宋体" w:eastAsia="宋体"/>
          <w:sz w:val="21"/>
          <w:szCs w:val="21"/>
        </w:rPr>
        <w:t>骑行人群画像：25-45岁占78%，本科及以上学历占72%，家庭月收入2万元以上占65%，单次骑行出行消费（含餐饮/补给/周边消费）约200-600元。79%的骑行者表示会在社交平台（小红书/Strava/微信朋友圈）分享骑行记录和照片。</w:t>
      </w:r>
    </w:p>
    <w:p w14:paraId="62BC1A2B">
      <w:pPr>
        <w:rPr>
          <w:rFonts w:hint="eastAsia" w:ascii="宋体" w:hAnsi="宋体" w:eastAsia="宋体"/>
          <w:sz w:val="21"/>
          <w:szCs w:val="21"/>
        </w:rPr>
      </w:pPr>
      <w:r>
        <w:rPr>
          <w:rFonts w:ascii="宋体" w:hAnsi="宋体" w:eastAsia="宋体"/>
          <w:sz w:val="21"/>
          <w:szCs w:val="21"/>
        </w:rPr>
        <w:t>这一数据直接验证了本项目选择骑行作为核心引流手段的合理性：骑行人群的消费力、传播力和生活方式偏好与本项目的目标客群高度重合。</w:t>
      </w:r>
    </w:p>
    <w:p w14:paraId="6544C9F9">
      <w:pPr>
        <w:rPr>
          <w:rFonts w:hint="eastAsia" w:ascii="宋体" w:hAnsi="宋体" w:eastAsia="宋体"/>
          <w:b/>
          <w:bCs/>
          <w:sz w:val="21"/>
          <w:szCs w:val="21"/>
        </w:rPr>
      </w:pPr>
      <w:r>
        <w:rPr>
          <w:rFonts w:ascii="宋体" w:hAnsi="宋体" w:eastAsia="宋体"/>
          <w:b/>
          <w:bCs/>
          <w:sz w:val="21"/>
          <w:szCs w:val="21"/>
        </w:rPr>
        <w:t>（4）水源保护区政策法规</w:t>
      </w:r>
    </w:p>
    <w:p w14:paraId="1B0533F2">
      <w:pPr>
        <w:rPr>
          <w:rFonts w:hint="eastAsia" w:ascii="宋体" w:hAnsi="宋体" w:eastAsia="宋体"/>
          <w:sz w:val="21"/>
          <w:szCs w:val="21"/>
        </w:rPr>
      </w:pPr>
      <w:r>
        <w:rPr>
          <w:rFonts w:ascii="宋体" w:hAnsi="宋体" w:eastAsia="宋体"/>
          <w:sz w:val="21"/>
          <w:szCs w:val="21"/>
        </w:rPr>
        <w:t>依据《中华人民共和国水污染防治法》第六十五条及《北京市水污染防治条例》相关规定，一级水源保护区内的活动边界如下：</w:t>
      </w:r>
    </w:p>
    <w:p w14:paraId="31A68044">
      <w:pPr>
        <w:rPr>
          <w:rFonts w:hint="eastAsia" w:ascii="宋体" w:hAnsi="宋体" w:eastAsia="宋体"/>
          <w:sz w:val="21"/>
          <w:szCs w:val="21"/>
        </w:rPr>
      </w:pPr>
      <w:r>
        <w:rPr>
          <w:rFonts w:ascii="宋体" w:hAnsi="宋体" w:eastAsia="宋体"/>
          <w:b/>
          <w:sz w:val="21"/>
          <w:szCs w:val="21"/>
        </w:rPr>
        <w:t>表3-3  水源保护区政策合规边界</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8"/>
        <w:gridCol w:w="2842"/>
        <w:gridCol w:w="2842"/>
      </w:tblGrid>
      <w:tr w14:paraId="2A50C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5B9370C4">
            <w:pPr>
              <w:spacing w:after="160" w:line="278" w:lineRule="auto"/>
              <w:rPr>
                <w:rFonts w:hint="eastAsia" w:ascii="宋体" w:hAnsi="宋体" w:eastAsia="宋体"/>
                <w:sz w:val="21"/>
                <w:szCs w:val="21"/>
              </w:rPr>
            </w:pPr>
            <w:r>
              <w:rPr>
                <w:rFonts w:ascii="宋体" w:hAnsi="宋体" w:eastAsia="宋体"/>
                <w:sz w:val="21"/>
                <w:szCs w:val="21"/>
              </w:rPr>
              <w:t>类别</w:t>
            </w:r>
          </w:p>
        </w:tc>
        <w:tc>
          <w:tcPr>
            <w:tcW w:w="2880" w:type="dxa"/>
            <w:tcBorders>
              <w:top w:val="single" w:color="auto" w:sz="4" w:space="0"/>
              <w:left w:val="single" w:color="auto" w:sz="4" w:space="0"/>
              <w:bottom w:val="single" w:color="auto" w:sz="4" w:space="0"/>
              <w:right w:val="single" w:color="auto" w:sz="4" w:space="0"/>
            </w:tcBorders>
          </w:tcPr>
          <w:p w14:paraId="4259F4A8">
            <w:pPr>
              <w:spacing w:after="160" w:line="278" w:lineRule="auto"/>
              <w:rPr>
                <w:rFonts w:hint="eastAsia" w:ascii="宋体" w:hAnsi="宋体" w:eastAsia="宋体"/>
                <w:sz w:val="21"/>
                <w:szCs w:val="21"/>
              </w:rPr>
            </w:pPr>
            <w:r>
              <w:rPr>
                <w:rFonts w:ascii="宋体" w:hAnsi="宋体" w:eastAsia="宋体"/>
                <w:sz w:val="21"/>
                <w:szCs w:val="21"/>
              </w:rPr>
              <w:t>具体规定</w:t>
            </w:r>
          </w:p>
        </w:tc>
        <w:tc>
          <w:tcPr>
            <w:tcW w:w="2880" w:type="dxa"/>
            <w:tcBorders>
              <w:top w:val="single" w:color="auto" w:sz="4" w:space="0"/>
              <w:left w:val="single" w:color="auto" w:sz="4" w:space="0"/>
              <w:bottom w:val="single" w:color="auto" w:sz="4" w:space="0"/>
              <w:right w:val="single" w:color="auto" w:sz="4" w:space="0"/>
            </w:tcBorders>
          </w:tcPr>
          <w:p w14:paraId="100BA8A0">
            <w:pPr>
              <w:spacing w:after="160" w:line="278" w:lineRule="auto"/>
              <w:rPr>
                <w:rFonts w:hint="eastAsia" w:ascii="宋体" w:hAnsi="宋体" w:eastAsia="宋体"/>
                <w:sz w:val="21"/>
                <w:szCs w:val="21"/>
              </w:rPr>
            </w:pPr>
            <w:r>
              <w:rPr>
                <w:rFonts w:ascii="宋体" w:hAnsi="宋体" w:eastAsia="宋体"/>
                <w:sz w:val="21"/>
                <w:szCs w:val="21"/>
              </w:rPr>
              <w:t>对本项目的影响</w:t>
            </w:r>
          </w:p>
        </w:tc>
      </w:tr>
      <w:tr w14:paraId="1040D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7744F03E">
            <w:pPr>
              <w:spacing w:after="160" w:line="278" w:lineRule="auto"/>
              <w:rPr>
                <w:rFonts w:hint="eastAsia" w:ascii="宋体" w:hAnsi="宋体" w:eastAsia="宋体"/>
                <w:sz w:val="21"/>
                <w:szCs w:val="21"/>
              </w:rPr>
            </w:pPr>
            <w:r>
              <w:rPr>
                <w:rFonts w:ascii="宋体" w:hAnsi="宋体" w:eastAsia="宋体"/>
                <w:sz w:val="21"/>
                <w:szCs w:val="21"/>
              </w:rPr>
              <w:t>禁止事项</w:t>
            </w:r>
          </w:p>
        </w:tc>
        <w:tc>
          <w:tcPr>
            <w:tcW w:w="2880" w:type="dxa"/>
            <w:tcBorders>
              <w:top w:val="single" w:color="auto" w:sz="4" w:space="0"/>
              <w:left w:val="single" w:color="auto" w:sz="4" w:space="0"/>
              <w:bottom w:val="single" w:color="auto" w:sz="4" w:space="0"/>
              <w:right w:val="single" w:color="auto" w:sz="4" w:space="0"/>
            </w:tcBorders>
          </w:tcPr>
          <w:p w14:paraId="2AC163E0">
            <w:pPr>
              <w:spacing w:after="160" w:line="278" w:lineRule="auto"/>
              <w:rPr>
                <w:rFonts w:hint="eastAsia" w:ascii="宋体" w:hAnsi="宋体" w:eastAsia="宋体"/>
                <w:sz w:val="21"/>
                <w:szCs w:val="21"/>
              </w:rPr>
            </w:pPr>
            <w:r>
              <w:rPr>
                <w:rFonts w:ascii="宋体" w:hAnsi="宋体" w:eastAsia="宋体"/>
                <w:sz w:val="21"/>
                <w:szCs w:val="21"/>
              </w:rPr>
              <w:t>禁止新建、改建、扩建与供水设施和保护水源无关的建设项目</w:t>
            </w:r>
          </w:p>
        </w:tc>
        <w:tc>
          <w:tcPr>
            <w:tcW w:w="2880" w:type="dxa"/>
            <w:tcBorders>
              <w:top w:val="single" w:color="auto" w:sz="4" w:space="0"/>
              <w:left w:val="single" w:color="auto" w:sz="4" w:space="0"/>
              <w:bottom w:val="single" w:color="auto" w:sz="4" w:space="0"/>
              <w:right w:val="single" w:color="auto" w:sz="4" w:space="0"/>
            </w:tcBorders>
          </w:tcPr>
          <w:p w14:paraId="58214AD6">
            <w:pPr>
              <w:spacing w:after="160" w:line="278" w:lineRule="auto"/>
              <w:rPr>
                <w:rFonts w:hint="eastAsia" w:ascii="宋体" w:hAnsi="宋体" w:eastAsia="宋体"/>
                <w:sz w:val="21"/>
                <w:szCs w:val="21"/>
              </w:rPr>
            </w:pPr>
            <w:r>
              <w:rPr>
                <w:rFonts w:ascii="宋体" w:hAnsi="宋体" w:eastAsia="宋体"/>
                <w:sz w:val="21"/>
                <w:szCs w:val="21"/>
              </w:rPr>
              <w:t>不可新建任何永久性建筑，驿站必须利用现有闲置农房改造</w:t>
            </w:r>
          </w:p>
        </w:tc>
      </w:tr>
      <w:tr w14:paraId="7424B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21C5372C">
            <w:pPr>
              <w:spacing w:after="160" w:line="278" w:lineRule="auto"/>
              <w:rPr>
                <w:rFonts w:hint="eastAsia" w:ascii="宋体" w:hAnsi="宋体" w:eastAsia="宋体"/>
                <w:sz w:val="21"/>
                <w:szCs w:val="21"/>
              </w:rPr>
            </w:pPr>
            <w:r>
              <w:rPr>
                <w:rFonts w:ascii="宋体" w:hAnsi="宋体" w:eastAsia="宋体"/>
                <w:sz w:val="21"/>
                <w:szCs w:val="21"/>
              </w:rPr>
              <w:t>禁止事项</w:t>
            </w:r>
          </w:p>
        </w:tc>
        <w:tc>
          <w:tcPr>
            <w:tcW w:w="2880" w:type="dxa"/>
            <w:tcBorders>
              <w:top w:val="single" w:color="auto" w:sz="4" w:space="0"/>
              <w:left w:val="single" w:color="auto" w:sz="4" w:space="0"/>
              <w:bottom w:val="single" w:color="auto" w:sz="4" w:space="0"/>
              <w:right w:val="single" w:color="auto" w:sz="4" w:space="0"/>
            </w:tcBorders>
          </w:tcPr>
          <w:p w14:paraId="25E25F6A">
            <w:pPr>
              <w:spacing w:after="160" w:line="278" w:lineRule="auto"/>
              <w:rPr>
                <w:rFonts w:hint="eastAsia" w:ascii="宋体" w:hAnsi="宋体" w:eastAsia="宋体"/>
                <w:sz w:val="21"/>
                <w:szCs w:val="21"/>
              </w:rPr>
            </w:pPr>
            <w:r>
              <w:rPr>
                <w:rFonts w:ascii="宋体" w:hAnsi="宋体" w:eastAsia="宋体"/>
                <w:sz w:val="21"/>
                <w:szCs w:val="21"/>
              </w:rPr>
              <w:t>禁止从事网箱养殖、旅游、游泳、垂钓等可能污染水体的活动</w:t>
            </w:r>
          </w:p>
        </w:tc>
        <w:tc>
          <w:tcPr>
            <w:tcW w:w="2880" w:type="dxa"/>
            <w:tcBorders>
              <w:top w:val="single" w:color="auto" w:sz="4" w:space="0"/>
              <w:left w:val="single" w:color="auto" w:sz="4" w:space="0"/>
              <w:bottom w:val="single" w:color="auto" w:sz="4" w:space="0"/>
              <w:right w:val="single" w:color="auto" w:sz="4" w:space="0"/>
            </w:tcBorders>
          </w:tcPr>
          <w:p w14:paraId="78732378">
            <w:pPr>
              <w:spacing w:after="160" w:line="278" w:lineRule="auto"/>
              <w:rPr>
                <w:rFonts w:hint="eastAsia" w:ascii="宋体" w:hAnsi="宋体" w:eastAsia="宋体"/>
                <w:sz w:val="21"/>
                <w:szCs w:val="21"/>
              </w:rPr>
            </w:pPr>
            <w:r>
              <w:rPr>
                <w:rFonts w:ascii="宋体" w:hAnsi="宋体" w:eastAsia="宋体"/>
                <w:sz w:val="21"/>
                <w:szCs w:val="21"/>
              </w:rPr>
              <w:t>"旅游"一词需审慎解读——指可能直接污染水体的活动，非禁止一切参观活动</w:t>
            </w:r>
          </w:p>
        </w:tc>
      </w:tr>
      <w:tr w14:paraId="6A56C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402B1F94">
            <w:pPr>
              <w:spacing w:after="160" w:line="278" w:lineRule="auto"/>
              <w:rPr>
                <w:rFonts w:hint="eastAsia" w:ascii="宋体" w:hAnsi="宋体" w:eastAsia="宋体"/>
                <w:sz w:val="21"/>
                <w:szCs w:val="21"/>
              </w:rPr>
            </w:pPr>
            <w:r>
              <w:rPr>
                <w:rFonts w:ascii="宋体" w:hAnsi="宋体" w:eastAsia="宋体"/>
                <w:sz w:val="21"/>
                <w:szCs w:val="21"/>
              </w:rPr>
              <w:t>禁止事项</w:t>
            </w:r>
          </w:p>
        </w:tc>
        <w:tc>
          <w:tcPr>
            <w:tcW w:w="2880" w:type="dxa"/>
            <w:tcBorders>
              <w:top w:val="single" w:color="auto" w:sz="4" w:space="0"/>
              <w:left w:val="single" w:color="auto" w:sz="4" w:space="0"/>
              <w:bottom w:val="single" w:color="auto" w:sz="4" w:space="0"/>
              <w:right w:val="single" w:color="auto" w:sz="4" w:space="0"/>
            </w:tcBorders>
          </w:tcPr>
          <w:p w14:paraId="516734BA">
            <w:pPr>
              <w:spacing w:after="160" w:line="278" w:lineRule="auto"/>
              <w:rPr>
                <w:rFonts w:hint="eastAsia" w:ascii="宋体" w:hAnsi="宋体" w:eastAsia="宋体"/>
                <w:sz w:val="21"/>
                <w:szCs w:val="21"/>
              </w:rPr>
            </w:pPr>
            <w:r>
              <w:rPr>
                <w:rFonts w:ascii="宋体" w:hAnsi="宋体" w:eastAsia="宋体"/>
                <w:sz w:val="21"/>
                <w:szCs w:val="21"/>
              </w:rPr>
              <w:t>禁止设置排污口</w:t>
            </w:r>
          </w:p>
        </w:tc>
        <w:tc>
          <w:tcPr>
            <w:tcW w:w="2880" w:type="dxa"/>
            <w:tcBorders>
              <w:top w:val="single" w:color="auto" w:sz="4" w:space="0"/>
              <w:left w:val="single" w:color="auto" w:sz="4" w:space="0"/>
              <w:bottom w:val="single" w:color="auto" w:sz="4" w:space="0"/>
              <w:right w:val="single" w:color="auto" w:sz="4" w:space="0"/>
            </w:tcBorders>
          </w:tcPr>
          <w:p w14:paraId="7F5E93BD">
            <w:pPr>
              <w:spacing w:after="160" w:line="278" w:lineRule="auto"/>
              <w:rPr>
                <w:rFonts w:hint="eastAsia" w:ascii="宋体" w:hAnsi="宋体" w:eastAsia="宋体"/>
                <w:sz w:val="21"/>
                <w:szCs w:val="21"/>
              </w:rPr>
            </w:pPr>
            <w:r>
              <w:rPr>
                <w:rFonts w:ascii="宋体" w:hAnsi="宋体" w:eastAsia="宋体"/>
                <w:sz w:val="21"/>
                <w:szCs w:val="21"/>
              </w:rPr>
              <w:t>所有设施必须确保污水零排放，使用环保移动卫生间</w:t>
            </w:r>
          </w:p>
        </w:tc>
      </w:tr>
      <w:tr w14:paraId="71AF6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1E304D7F">
            <w:pPr>
              <w:spacing w:after="160" w:line="278" w:lineRule="auto"/>
              <w:rPr>
                <w:rFonts w:hint="eastAsia" w:ascii="宋体" w:hAnsi="宋体" w:eastAsia="宋体"/>
                <w:sz w:val="21"/>
                <w:szCs w:val="21"/>
              </w:rPr>
            </w:pPr>
            <w:r>
              <w:rPr>
                <w:rFonts w:ascii="宋体" w:hAnsi="宋体" w:eastAsia="宋体"/>
                <w:sz w:val="21"/>
                <w:szCs w:val="21"/>
              </w:rPr>
              <w:t>可行事项</w:t>
            </w:r>
          </w:p>
        </w:tc>
        <w:tc>
          <w:tcPr>
            <w:tcW w:w="2880" w:type="dxa"/>
            <w:tcBorders>
              <w:top w:val="single" w:color="auto" w:sz="4" w:space="0"/>
              <w:left w:val="single" w:color="auto" w:sz="4" w:space="0"/>
              <w:bottom w:val="single" w:color="auto" w:sz="4" w:space="0"/>
              <w:right w:val="single" w:color="auto" w:sz="4" w:space="0"/>
            </w:tcBorders>
          </w:tcPr>
          <w:p w14:paraId="3E19CC5D">
            <w:pPr>
              <w:spacing w:after="160" w:line="278" w:lineRule="auto"/>
              <w:rPr>
                <w:rFonts w:hint="eastAsia" w:ascii="宋体" w:hAnsi="宋体" w:eastAsia="宋体"/>
                <w:sz w:val="21"/>
                <w:szCs w:val="21"/>
              </w:rPr>
            </w:pPr>
            <w:r>
              <w:rPr>
                <w:rFonts w:ascii="宋体" w:hAnsi="宋体" w:eastAsia="宋体"/>
                <w:sz w:val="21"/>
                <w:szCs w:val="21"/>
              </w:rPr>
              <w:t>利用现有建筑开展经营（不改变用途和面积）</w:t>
            </w:r>
          </w:p>
        </w:tc>
        <w:tc>
          <w:tcPr>
            <w:tcW w:w="2880" w:type="dxa"/>
            <w:tcBorders>
              <w:top w:val="single" w:color="auto" w:sz="4" w:space="0"/>
              <w:left w:val="single" w:color="auto" w:sz="4" w:space="0"/>
              <w:bottom w:val="single" w:color="auto" w:sz="4" w:space="0"/>
              <w:right w:val="single" w:color="auto" w:sz="4" w:space="0"/>
            </w:tcBorders>
          </w:tcPr>
          <w:p w14:paraId="664B8E9D">
            <w:pPr>
              <w:spacing w:after="0" w:line="240" w:lineRule="auto"/>
            </w:pPr>
            <w:r>
              <w:rPr>
                <w:rFonts w:ascii="宋体" w:hAnsi="宋体" w:eastAsia="宋体"/>
                <w:b w:val="0"/>
                <w:sz w:val="20"/>
              </w:rPr>
              <w:t>联盟村现有设施可正常经营，闲置农房可改造为驿站/展馆</w:t>
            </w:r>
          </w:p>
        </w:tc>
      </w:tr>
      <w:tr w14:paraId="6E3A1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70AEBB17">
            <w:pPr>
              <w:spacing w:after="160" w:line="278" w:lineRule="auto"/>
              <w:rPr>
                <w:rFonts w:hint="eastAsia" w:ascii="宋体" w:hAnsi="宋体" w:eastAsia="宋体"/>
                <w:sz w:val="21"/>
                <w:szCs w:val="21"/>
              </w:rPr>
            </w:pPr>
            <w:r>
              <w:rPr>
                <w:rFonts w:ascii="宋体" w:hAnsi="宋体" w:eastAsia="宋体"/>
                <w:sz w:val="21"/>
                <w:szCs w:val="21"/>
              </w:rPr>
              <w:t>可行事项</w:t>
            </w:r>
          </w:p>
        </w:tc>
        <w:tc>
          <w:tcPr>
            <w:tcW w:w="2880" w:type="dxa"/>
            <w:tcBorders>
              <w:top w:val="single" w:color="auto" w:sz="4" w:space="0"/>
              <w:left w:val="single" w:color="auto" w:sz="4" w:space="0"/>
              <w:bottom w:val="single" w:color="auto" w:sz="4" w:space="0"/>
              <w:right w:val="single" w:color="auto" w:sz="4" w:space="0"/>
            </w:tcBorders>
          </w:tcPr>
          <w:p w14:paraId="7A4C5DA9">
            <w:pPr>
              <w:spacing w:after="160" w:line="278" w:lineRule="auto"/>
              <w:rPr>
                <w:rFonts w:hint="eastAsia" w:ascii="宋体" w:hAnsi="宋体" w:eastAsia="宋体"/>
                <w:sz w:val="21"/>
                <w:szCs w:val="21"/>
              </w:rPr>
            </w:pPr>
            <w:r>
              <w:rPr>
                <w:rFonts w:ascii="宋体" w:hAnsi="宋体" w:eastAsia="宋体"/>
                <w:sz w:val="21"/>
                <w:szCs w:val="21"/>
              </w:rPr>
              <w:t>在现有道路上开展骑行/步行活动</w:t>
            </w:r>
          </w:p>
        </w:tc>
        <w:tc>
          <w:tcPr>
            <w:tcW w:w="2880" w:type="dxa"/>
            <w:tcBorders>
              <w:top w:val="single" w:color="auto" w:sz="4" w:space="0"/>
              <w:left w:val="single" w:color="auto" w:sz="4" w:space="0"/>
              <w:bottom w:val="single" w:color="auto" w:sz="4" w:space="0"/>
              <w:right w:val="single" w:color="auto" w:sz="4" w:space="0"/>
            </w:tcBorders>
          </w:tcPr>
          <w:p w14:paraId="5EB2036B">
            <w:pPr>
              <w:spacing w:after="160" w:line="278" w:lineRule="auto"/>
              <w:rPr>
                <w:rFonts w:hint="eastAsia" w:ascii="宋体" w:hAnsi="宋体" w:eastAsia="宋体"/>
                <w:sz w:val="21"/>
                <w:szCs w:val="21"/>
              </w:rPr>
            </w:pPr>
            <w:r>
              <w:rPr>
                <w:rFonts w:ascii="宋体" w:hAnsi="宋体" w:eastAsia="宋体"/>
                <w:sz w:val="21"/>
                <w:szCs w:val="21"/>
              </w:rPr>
              <w:t>骑行方案完全合规，无需新建道路</w:t>
            </w:r>
          </w:p>
        </w:tc>
      </w:tr>
      <w:tr w14:paraId="7B34A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4588DA9C">
            <w:pPr>
              <w:spacing w:after="160" w:line="278" w:lineRule="auto"/>
              <w:rPr>
                <w:rFonts w:hint="eastAsia" w:ascii="宋体" w:hAnsi="宋体" w:eastAsia="宋体"/>
                <w:sz w:val="21"/>
                <w:szCs w:val="21"/>
              </w:rPr>
            </w:pPr>
            <w:r>
              <w:rPr>
                <w:rFonts w:ascii="宋体" w:hAnsi="宋体" w:eastAsia="宋体"/>
                <w:sz w:val="21"/>
                <w:szCs w:val="21"/>
              </w:rPr>
              <w:t>可行事项</w:t>
            </w:r>
          </w:p>
        </w:tc>
        <w:tc>
          <w:tcPr>
            <w:tcW w:w="2880" w:type="dxa"/>
            <w:tcBorders>
              <w:top w:val="single" w:color="auto" w:sz="4" w:space="0"/>
              <w:left w:val="single" w:color="auto" w:sz="4" w:space="0"/>
              <w:bottom w:val="single" w:color="auto" w:sz="4" w:space="0"/>
              <w:right w:val="single" w:color="auto" w:sz="4" w:space="0"/>
            </w:tcBorders>
          </w:tcPr>
          <w:p w14:paraId="2E377880">
            <w:pPr>
              <w:spacing w:after="160" w:line="278" w:lineRule="auto"/>
              <w:rPr>
                <w:rFonts w:hint="eastAsia" w:ascii="宋体" w:hAnsi="宋体" w:eastAsia="宋体"/>
                <w:sz w:val="21"/>
                <w:szCs w:val="21"/>
              </w:rPr>
            </w:pPr>
            <w:r>
              <w:rPr>
                <w:rFonts w:ascii="宋体" w:hAnsi="宋体" w:eastAsia="宋体"/>
                <w:sz w:val="21"/>
                <w:szCs w:val="21"/>
              </w:rPr>
              <w:t>使用可移动环保设施开展临时性活动</w:t>
            </w:r>
          </w:p>
        </w:tc>
        <w:tc>
          <w:tcPr>
            <w:tcW w:w="2880" w:type="dxa"/>
            <w:tcBorders>
              <w:top w:val="single" w:color="auto" w:sz="4" w:space="0"/>
              <w:left w:val="single" w:color="auto" w:sz="4" w:space="0"/>
              <w:bottom w:val="single" w:color="auto" w:sz="4" w:space="0"/>
              <w:right w:val="single" w:color="auto" w:sz="4" w:space="0"/>
            </w:tcBorders>
          </w:tcPr>
          <w:p w14:paraId="21169A92">
            <w:pPr>
              <w:spacing w:after="160" w:line="278" w:lineRule="auto"/>
              <w:rPr>
                <w:rFonts w:hint="eastAsia" w:ascii="宋体" w:hAnsi="宋体" w:eastAsia="宋体"/>
                <w:sz w:val="21"/>
                <w:szCs w:val="21"/>
              </w:rPr>
            </w:pPr>
            <w:r>
              <w:rPr>
                <w:rFonts w:ascii="宋体" w:hAnsi="宋体" w:eastAsia="宋体"/>
                <w:sz w:val="21"/>
                <w:szCs w:val="21"/>
              </w:rPr>
              <w:t>露营帐篷、移动售卖车、临时舞台等均可使用</w:t>
            </w:r>
          </w:p>
        </w:tc>
      </w:tr>
      <w:tr w14:paraId="686E2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single" w:color="auto" w:sz="4" w:space="0"/>
              <w:left w:val="single" w:color="auto" w:sz="4" w:space="0"/>
              <w:bottom w:val="single" w:color="auto" w:sz="4" w:space="0"/>
              <w:right w:val="single" w:color="auto" w:sz="4" w:space="0"/>
            </w:tcBorders>
          </w:tcPr>
          <w:p w14:paraId="2DB3D29A">
            <w:pPr>
              <w:spacing w:after="160" w:line="278" w:lineRule="auto"/>
              <w:rPr>
                <w:rFonts w:hint="eastAsia" w:ascii="宋体" w:hAnsi="宋体" w:eastAsia="宋体"/>
                <w:sz w:val="21"/>
                <w:szCs w:val="21"/>
              </w:rPr>
            </w:pPr>
            <w:r>
              <w:rPr>
                <w:rFonts w:ascii="宋体" w:hAnsi="宋体" w:eastAsia="宋体"/>
                <w:sz w:val="21"/>
                <w:szCs w:val="21"/>
              </w:rPr>
              <w:t>可行事项</w:t>
            </w:r>
          </w:p>
        </w:tc>
        <w:tc>
          <w:tcPr>
            <w:tcW w:w="2880" w:type="dxa"/>
            <w:tcBorders>
              <w:top w:val="single" w:color="auto" w:sz="4" w:space="0"/>
              <w:left w:val="single" w:color="auto" w:sz="4" w:space="0"/>
              <w:bottom w:val="single" w:color="auto" w:sz="4" w:space="0"/>
              <w:right w:val="single" w:color="auto" w:sz="4" w:space="0"/>
            </w:tcBorders>
          </w:tcPr>
          <w:p w14:paraId="66A335AF">
            <w:pPr>
              <w:spacing w:after="160" w:line="278" w:lineRule="auto"/>
              <w:rPr>
                <w:rFonts w:hint="eastAsia" w:ascii="宋体" w:hAnsi="宋体" w:eastAsia="宋体"/>
                <w:sz w:val="21"/>
                <w:szCs w:val="21"/>
              </w:rPr>
            </w:pPr>
            <w:r>
              <w:rPr>
                <w:rFonts w:ascii="宋体" w:hAnsi="宋体" w:eastAsia="宋体"/>
                <w:sz w:val="21"/>
                <w:szCs w:val="21"/>
              </w:rPr>
              <w:t>销售本地农产品</w:t>
            </w:r>
          </w:p>
        </w:tc>
        <w:tc>
          <w:tcPr>
            <w:tcW w:w="2880" w:type="dxa"/>
            <w:tcBorders>
              <w:top w:val="single" w:color="auto" w:sz="4" w:space="0"/>
              <w:left w:val="single" w:color="auto" w:sz="4" w:space="0"/>
              <w:bottom w:val="single" w:color="auto" w:sz="4" w:space="0"/>
              <w:right w:val="single" w:color="auto" w:sz="4" w:space="0"/>
            </w:tcBorders>
          </w:tcPr>
          <w:p w14:paraId="1E4F6F51">
            <w:pPr>
              <w:spacing w:after="160" w:line="278" w:lineRule="auto"/>
              <w:rPr>
                <w:rFonts w:hint="eastAsia" w:ascii="宋体" w:hAnsi="宋体" w:eastAsia="宋体"/>
                <w:sz w:val="21"/>
                <w:szCs w:val="21"/>
              </w:rPr>
            </w:pPr>
            <w:r>
              <w:rPr>
                <w:rFonts w:ascii="宋体" w:hAnsi="宋体" w:eastAsia="宋体"/>
                <w:sz w:val="21"/>
                <w:szCs w:val="21"/>
              </w:rPr>
              <w:t>鲜果销售、深加工产品销售均合规</w:t>
            </w:r>
          </w:p>
        </w:tc>
      </w:tr>
    </w:tbl>
    <w:p w14:paraId="654494D9">
      <w:pPr>
        <w:rPr>
          <w:rFonts w:hint="eastAsia" w:ascii="宋体" w:hAnsi="宋体" w:eastAsia="宋体"/>
          <w:sz w:val="21"/>
          <w:szCs w:val="21"/>
        </w:rPr>
      </w:pPr>
      <w:r>
        <w:rPr>
          <w:rFonts w:ascii="宋体" w:hAnsi="宋体" w:eastAsia="宋体"/>
          <w:sz w:val="21"/>
          <w:szCs w:val="21"/>
        </w:rPr>
        <w:t>本项目所有方案严格在上述"可行事项"范围内设计，每一项活动均经过政策合规性审查。详细的逐条合规对照清单见第九章及附录七。</w:t>
      </w:r>
    </w:p>
    <w:p w14:paraId="5D9F24B8">
      <w:pPr>
        <w:pStyle w:val="3"/>
        <w:bidi w:val="0"/>
        <w:rPr>
          <w:lang w:eastAsia="zh-CN"/>
        </w:rPr>
      </w:pPr>
      <w:bookmarkStart w:id="50" w:name="_Toc29333"/>
      <w:r>
        <w:rPr>
          <w:lang w:eastAsia="zh-CN"/>
        </w:rPr>
        <w:t>3.6 核心痛点诊断与数据验证</w:t>
      </w:r>
      <w:bookmarkEnd w:id="50"/>
    </w:p>
    <w:p w14:paraId="3D508794">
      <w:pPr>
        <w:pStyle w:val="21"/>
        <w:rPr>
          <w:lang w:eastAsia="zh-CN"/>
        </w:rPr>
      </w:pPr>
      <w:r>
        <w:rPr>
          <w:lang w:eastAsia="zh-CN"/>
        </w:rPr>
        <w:t>基于3.5节问卷数据与3.4节实地考察，本研究构建”满意度-停留-消费-复购”行为路径模型，量化验证六大核心痛点的存在性及关联机制。</w:t>
      </w:r>
    </w:p>
    <w:p w14:paraId="556DFF59">
      <w:pPr>
        <w:pStyle w:val="4"/>
        <w:bidi w:val="0"/>
        <w:rPr>
          <w:lang w:eastAsia="zh-CN"/>
        </w:rPr>
      </w:pPr>
      <w:bookmarkStart w:id="51" w:name="_Toc16505"/>
      <w:bookmarkStart w:id="52" w:name="行为路径模型sem验证"/>
      <w:r>
        <w:rPr>
          <w:lang w:eastAsia="zh-CN"/>
        </w:rPr>
        <w:t>3.6.1 行为路径模型（SEM验证）</w:t>
      </w:r>
      <w:bookmarkEnd w:id="51"/>
    </w:p>
    <w:p w14:paraId="77E9D737">
      <w:pPr>
        <w:pStyle w:val="21"/>
        <w:rPr>
          <w:lang w:eastAsia="zh-CN"/>
        </w:rPr>
      </w:pPr>
      <w:r>
        <w:rPr>
          <w:lang w:eastAsia="zh-CN"/>
        </w:rPr>
        <w:t>采用结构方程模型（SEM）思想，通过多元线性回归与相关性分析验证游客行为路径。模型假设：满意度→停留时长→消费金额→复购意愿→NPS推荐。</w:t>
      </w:r>
    </w:p>
    <w:p w14:paraId="60F249AC">
      <w:pPr>
        <w:pStyle w:val="7"/>
        <w:rPr>
          <w:b/>
          <w:bCs/>
        </w:rPr>
      </w:pPr>
      <w:r>
        <w:rPr>
          <w:b/>
          <w:bCs/>
        </w:rPr>
        <w:t>路径分析结果：</w:t>
      </w:r>
    </w:p>
    <w:tbl>
      <w:tblPr>
        <w:tblStyle w:val="22"/>
        <w:tblW w:w="0" w:type="auto"/>
        <w:tblInd w:w="0" w:type="dxa"/>
        <w:tblBorders>
          <w:top w:val="single" w:color="464F41" w:sz="4" w:space="0"/>
          <w:left w:val="none" w:color="auto" w:sz="0" w:space="0"/>
          <w:bottom w:val="single" w:color="464F41" w:sz="4" w:space="0"/>
          <w:right w:val="none" w:color="auto" w:sz="0" w:space="0"/>
          <w:insideH w:val="dotted" w:color="464F41" w:sz="4" w:space="0"/>
          <w:insideV w:val="none" w:color="auto" w:sz="0" w:space="0"/>
        </w:tblBorders>
        <w:tblLayout w:type="autofit"/>
        <w:tblCellMar>
          <w:top w:w="0" w:type="dxa"/>
          <w:left w:w="108" w:type="dxa"/>
          <w:bottom w:w="0" w:type="dxa"/>
          <w:right w:w="108" w:type="dxa"/>
        </w:tblCellMar>
      </w:tblPr>
      <w:tblGrid>
        <w:gridCol w:w="2563"/>
        <w:gridCol w:w="1237"/>
        <w:gridCol w:w="1231"/>
        <w:gridCol w:w="767"/>
        <w:gridCol w:w="1275"/>
      </w:tblGrid>
      <w:tr w14:paraId="37078E93">
        <w:tblPrEx>
          <w:tblBorders>
            <w:top w:val="single" w:color="464F41" w:sz="4" w:space="0"/>
            <w:left w:val="none" w:color="auto" w:sz="0" w:space="0"/>
            <w:bottom w:val="single" w:color="464F41" w:sz="4" w:space="0"/>
            <w:right w:val="none" w:color="auto" w:sz="0" w:space="0"/>
            <w:insideH w:val="dotted" w:color="464F41" w:sz="4" w:space="0"/>
            <w:insideV w:val="none" w:color="auto" w:sz="0" w:space="0"/>
          </w:tblBorders>
          <w:tblCellMar>
            <w:top w:w="0" w:type="dxa"/>
            <w:left w:w="108" w:type="dxa"/>
            <w:bottom w:w="0" w:type="dxa"/>
            <w:right w:w="108" w:type="dxa"/>
          </w:tblCellMar>
        </w:tblPrEx>
        <w:tc>
          <w:tcPr>
            <w:tcW w:w="0" w:type="auto"/>
            <w:tcBorders>
              <w:top w:val="single" w:color="464F41" w:sz="4" w:space="0"/>
              <w:left w:val="nil"/>
              <w:bottom w:val="single" w:color="464F41" w:sz="4" w:space="0"/>
              <w:right w:val="nil"/>
              <w:insideH w:val="single" w:sz="4" w:space="0"/>
              <w:insideV w:val="nil"/>
            </w:tcBorders>
            <w:shd w:val="clear" w:color="auto" w:fill="FFFFFF"/>
          </w:tcPr>
          <w:p w14:paraId="58FFFD93">
            <w:pPr>
              <w:spacing w:before="120" w:after="120" w:line="288" w:lineRule="auto"/>
              <w:rPr>
                <w:rFonts w:hint="eastAsia"/>
                <w:b/>
                <w:color w:val="464F41"/>
              </w:rPr>
            </w:pPr>
            <w:r>
              <w:rPr>
                <w:rFonts w:ascii="Arial" w:hAnsi="Arial" w:eastAsia="等线" w:cs="Arial"/>
                <w:b/>
                <w:color w:val="464F41"/>
              </w:rPr>
              <w:t>路径</w:t>
            </w:r>
          </w:p>
        </w:tc>
        <w:tc>
          <w:tcPr>
            <w:tcW w:w="0" w:type="auto"/>
            <w:tcBorders>
              <w:top w:val="single" w:color="464F41" w:sz="4" w:space="0"/>
              <w:bottom w:val="single" w:color="464F41" w:sz="4" w:space="0"/>
              <w:right w:val="nil"/>
              <w:insideH w:val="single" w:sz="4" w:space="0"/>
              <w:insideV w:val="nil"/>
            </w:tcBorders>
            <w:shd w:val="clear" w:color="auto" w:fill="FFFFFF"/>
          </w:tcPr>
          <w:p w14:paraId="6FAFCA8A">
            <w:pPr>
              <w:spacing w:before="120" w:after="120" w:line="288" w:lineRule="auto"/>
              <w:rPr>
                <w:rFonts w:hint="eastAsia"/>
                <w:b/>
                <w:color w:val="464F41"/>
              </w:rPr>
            </w:pPr>
            <w:r>
              <w:rPr>
                <w:rFonts w:ascii="Arial" w:hAnsi="Arial" w:eastAsia="等线" w:cs="Arial"/>
                <w:b/>
                <w:color w:val="464F41"/>
              </w:rPr>
              <w:t>相关系数r</w:t>
            </w:r>
          </w:p>
        </w:tc>
        <w:tc>
          <w:tcPr>
            <w:tcW w:w="0" w:type="auto"/>
            <w:tcBorders>
              <w:top w:val="single" w:color="464F41" w:sz="4" w:space="0"/>
              <w:bottom w:val="single" w:color="464F41" w:sz="4" w:space="0"/>
              <w:right w:val="nil"/>
              <w:insideH w:val="single" w:sz="4" w:space="0"/>
              <w:insideV w:val="nil"/>
            </w:tcBorders>
            <w:shd w:val="clear" w:color="auto" w:fill="FFFFFF"/>
          </w:tcPr>
          <w:p w14:paraId="45F9FDAE">
            <w:pPr>
              <w:spacing w:before="120" w:after="120" w:line="288" w:lineRule="auto"/>
              <w:rPr>
                <w:rFonts w:hint="eastAsia"/>
                <w:b/>
                <w:color w:val="464F41"/>
              </w:rPr>
            </w:pPr>
            <w:r>
              <w:rPr>
                <w:rFonts w:ascii="Arial" w:hAnsi="Arial" w:eastAsia="等线" w:cs="Arial"/>
                <w:b/>
                <w:color w:val="464F41"/>
              </w:rPr>
              <w:t>回归系数β</w:t>
            </w:r>
          </w:p>
        </w:tc>
        <w:tc>
          <w:tcPr>
            <w:tcW w:w="0" w:type="auto"/>
            <w:tcBorders>
              <w:top w:val="single" w:color="464F41" w:sz="4" w:space="0"/>
              <w:bottom w:val="single" w:color="464F41" w:sz="4" w:space="0"/>
              <w:right w:val="nil"/>
              <w:insideH w:val="single" w:sz="4" w:space="0"/>
              <w:insideV w:val="nil"/>
            </w:tcBorders>
            <w:shd w:val="clear" w:color="auto" w:fill="FFFFFF"/>
          </w:tcPr>
          <w:p w14:paraId="2285C545">
            <w:pPr>
              <w:spacing w:before="120" w:after="120" w:line="288" w:lineRule="auto"/>
              <w:rPr>
                <w:rFonts w:hint="eastAsia"/>
                <w:b/>
                <w:color w:val="464F41"/>
              </w:rPr>
            </w:pPr>
            <w:r>
              <w:rPr>
                <w:rFonts w:ascii="Arial" w:hAnsi="Arial" w:eastAsia="等线" w:cs="Arial"/>
                <w:b/>
                <w:color w:val="464F41"/>
              </w:rPr>
              <w:t>R²</w:t>
            </w:r>
          </w:p>
        </w:tc>
        <w:tc>
          <w:tcPr>
            <w:tcW w:w="0" w:type="auto"/>
            <w:tcBorders>
              <w:top w:val="single" w:color="464F41" w:sz="4" w:space="0"/>
              <w:bottom w:val="single" w:color="464F41" w:sz="4" w:space="0"/>
              <w:insideH w:val="single" w:sz="4" w:space="0"/>
              <w:insideV w:val="nil"/>
            </w:tcBorders>
            <w:shd w:val="clear" w:color="auto" w:fill="FFFFFF"/>
          </w:tcPr>
          <w:p w14:paraId="00ED9F5E">
            <w:pPr>
              <w:spacing w:before="120" w:after="120" w:line="288" w:lineRule="auto"/>
              <w:rPr>
                <w:rFonts w:hint="eastAsia"/>
                <w:b/>
                <w:color w:val="464F41"/>
              </w:rPr>
            </w:pPr>
            <w:r>
              <w:rPr>
                <w:rFonts w:ascii="Arial" w:hAnsi="Arial" w:eastAsia="等线" w:cs="Arial"/>
                <w:b/>
                <w:color w:val="464F41"/>
              </w:rPr>
              <w:t>显著性</w:t>
            </w:r>
          </w:p>
        </w:tc>
      </w:tr>
      <w:tr w14:paraId="332DFF58">
        <w:tblPrEx>
          <w:tblBorders>
            <w:top w:val="single" w:color="464F41" w:sz="4" w:space="0"/>
            <w:left w:val="none" w:color="auto" w:sz="0" w:space="0"/>
            <w:bottom w:val="single" w:color="464F41" w:sz="4" w:space="0"/>
            <w:right w:val="none" w:color="auto" w:sz="0" w:space="0"/>
            <w:insideH w:val="dotted" w:color="464F41" w:sz="4" w:space="0"/>
            <w:insideV w:val="none" w:color="auto" w:sz="0" w:space="0"/>
          </w:tblBorders>
          <w:tblCellMar>
            <w:top w:w="0" w:type="dxa"/>
            <w:left w:w="108" w:type="dxa"/>
            <w:bottom w:w="0" w:type="dxa"/>
            <w:right w:w="108" w:type="dxa"/>
          </w:tblCellMar>
        </w:tblPrEx>
        <w:tc>
          <w:tcPr>
            <w:tcW w:w="0" w:type="auto"/>
            <w:shd w:val="clear" w:color="auto" w:fill="auto"/>
          </w:tcPr>
          <w:p w14:paraId="37F56470">
            <w:pPr>
              <w:spacing w:before="120" w:after="120" w:line="288" w:lineRule="auto"/>
              <w:rPr>
                <w:rFonts w:hint="eastAsia"/>
                <w:color w:val="464F41"/>
              </w:rPr>
            </w:pPr>
            <w:r>
              <w:rPr>
                <w:rFonts w:ascii="Arial" w:hAnsi="Arial" w:eastAsia="等线" w:cs="Arial"/>
                <w:color w:val="464F41"/>
              </w:rPr>
              <w:t>满意度→停留时长</w:t>
            </w:r>
          </w:p>
        </w:tc>
        <w:tc>
          <w:tcPr>
            <w:tcW w:w="0" w:type="auto"/>
            <w:shd w:val="clear" w:color="auto" w:fill="auto"/>
          </w:tcPr>
          <w:p w14:paraId="5C1AE31E">
            <w:pPr>
              <w:spacing w:before="120" w:after="120" w:line="288" w:lineRule="auto"/>
              <w:rPr>
                <w:rFonts w:hint="eastAsia"/>
                <w:color w:val="464F41"/>
              </w:rPr>
            </w:pPr>
            <w:r>
              <w:rPr>
                <w:rFonts w:ascii="Arial" w:hAnsi="Arial" w:eastAsia="等线" w:cs="Arial"/>
                <w:color w:val="464F41"/>
              </w:rPr>
              <w:t>0.698</w:t>
            </w:r>
          </w:p>
        </w:tc>
        <w:tc>
          <w:tcPr>
            <w:tcW w:w="0" w:type="auto"/>
            <w:shd w:val="clear" w:color="auto" w:fill="auto"/>
          </w:tcPr>
          <w:p w14:paraId="0E87EC37">
            <w:pPr>
              <w:spacing w:before="120" w:after="120" w:line="288" w:lineRule="auto"/>
              <w:rPr>
                <w:rFonts w:hint="eastAsia"/>
                <w:color w:val="464F41"/>
              </w:rPr>
            </w:pPr>
            <w:r>
              <w:rPr>
                <w:rFonts w:ascii="Arial" w:hAnsi="Arial" w:eastAsia="等线" w:cs="Arial"/>
                <w:color w:val="464F41"/>
              </w:rPr>
              <w:t>0.767</w:t>
            </w:r>
          </w:p>
        </w:tc>
        <w:tc>
          <w:tcPr>
            <w:tcW w:w="0" w:type="auto"/>
            <w:shd w:val="clear" w:color="auto" w:fill="auto"/>
          </w:tcPr>
          <w:p w14:paraId="0F7DA631">
            <w:pPr>
              <w:spacing w:before="120" w:after="120" w:line="288" w:lineRule="auto"/>
              <w:rPr>
                <w:rFonts w:hint="eastAsia"/>
                <w:color w:val="464F41"/>
              </w:rPr>
            </w:pPr>
            <w:r>
              <w:rPr>
                <w:rFonts w:ascii="Arial" w:hAnsi="Arial" w:eastAsia="等线" w:cs="Arial"/>
                <w:color w:val="464F41"/>
              </w:rPr>
              <w:t>0.487</w:t>
            </w:r>
          </w:p>
        </w:tc>
        <w:tc>
          <w:tcPr>
            <w:tcW w:w="0" w:type="auto"/>
            <w:shd w:val="clear" w:color="auto" w:fill="auto"/>
          </w:tcPr>
          <w:p w14:paraId="625D5FB8">
            <w:pPr>
              <w:spacing w:before="120" w:after="120" w:line="288" w:lineRule="auto"/>
              <w:rPr>
                <w:rFonts w:hint="eastAsia"/>
                <w:color w:val="464F41"/>
              </w:rPr>
            </w:pPr>
            <w:r>
              <w:rPr>
                <w:rFonts w:ascii="Arial" w:hAnsi="Arial" w:eastAsia="等线" w:cs="Arial"/>
                <w:color w:val="464F41"/>
              </w:rPr>
              <w:t>***p&lt;0.001</w:t>
            </w:r>
          </w:p>
        </w:tc>
      </w:tr>
      <w:tr w14:paraId="73E9809E">
        <w:tblPrEx>
          <w:tblBorders>
            <w:top w:val="single" w:color="464F41" w:sz="4" w:space="0"/>
            <w:left w:val="none" w:color="auto" w:sz="0" w:space="0"/>
            <w:bottom w:val="single" w:color="464F41" w:sz="4" w:space="0"/>
            <w:right w:val="none" w:color="auto" w:sz="0" w:space="0"/>
            <w:insideH w:val="dotted" w:color="464F41" w:sz="4" w:space="0"/>
            <w:insideV w:val="none" w:color="auto" w:sz="0" w:space="0"/>
          </w:tblBorders>
          <w:tblCellMar>
            <w:top w:w="0" w:type="dxa"/>
            <w:left w:w="108" w:type="dxa"/>
            <w:bottom w:w="0" w:type="dxa"/>
            <w:right w:w="108" w:type="dxa"/>
          </w:tblCellMar>
        </w:tblPrEx>
        <w:tc>
          <w:tcPr>
            <w:tcW w:w="0" w:type="auto"/>
            <w:shd w:val="clear" w:color="auto" w:fill="auto"/>
          </w:tcPr>
          <w:p w14:paraId="06A9A339">
            <w:pPr>
              <w:spacing w:before="120" w:after="120" w:line="288" w:lineRule="auto"/>
              <w:rPr>
                <w:rFonts w:hint="eastAsia"/>
                <w:color w:val="464F41"/>
              </w:rPr>
            </w:pPr>
            <w:r>
              <w:rPr>
                <w:rFonts w:ascii="Arial" w:hAnsi="Arial" w:eastAsia="等线" w:cs="Arial"/>
                <w:color w:val="464F41"/>
              </w:rPr>
              <w:t>停留时长→消费金额</w:t>
            </w:r>
          </w:p>
        </w:tc>
        <w:tc>
          <w:tcPr>
            <w:tcW w:w="0" w:type="auto"/>
            <w:shd w:val="clear" w:color="auto" w:fill="auto"/>
          </w:tcPr>
          <w:p w14:paraId="34E7636D">
            <w:pPr>
              <w:spacing w:before="120" w:after="120" w:line="288" w:lineRule="auto"/>
              <w:rPr>
                <w:rFonts w:hint="eastAsia"/>
                <w:color w:val="464F41"/>
              </w:rPr>
            </w:pPr>
            <w:r>
              <w:rPr>
                <w:rFonts w:ascii="Arial" w:hAnsi="Arial" w:eastAsia="等线" w:cs="Arial"/>
                <w:color w:val="464F41"/>
              </w:rPr>
              <w:t>0.947</w:t>
            </w:r>
          </w:p>
        </w:tc>
        <w:tc>
          <w:tcPr>
            <w:tcW w:w="0" w:type="auto"/>
            <w:shd w:val="clear" w:color="auto" w:fill="auto"/>
          </w:tcPr>
          <w:p w14:paraId="2BDE1C66">
            <w:pPr>
              <w:spacing w:before="120" w:after="120" w:line="288" w:lineRule="auto"/>
              <w:rPr>
                <w:rFonts w:hint="eastAsia"/>
                <w:color w:val="464F41"/>
              </w:rPr>
            </w:pPr>
            <w:r>
              <w:rPr>
                <w:rFonts w:ascii="Arial" w:hAnsi="Arial" w:eastAsia="等线" w:cs="Arial"/>
                <w:color w:val="464F41"/>
              </w:rPr>
              <w:t>138.15</w:t>
            </w:r>
          </w:p>
        </w:tc>
        <w:tc>
          <w:tcPr>
            <w:tcW w:w="0" w:type="auto"/>
            <w:shd w:val="clear" w:color="auto" w:fill="auto"/>
          </w:tcPr>
          <w:p w14:paraId="02F439B1">
            <w:pPr>
              <w:spacing w:before="120" w:after="120" w:line="288" w:lineRule="auto"/>
              <w:rPr>
                <w:rFonts w:hint="eastAsia"/>
                <w:color w:val="464F41"/>
              </w:rPr>
            </w:pPr>
            <w:r>
              <w:rPr>
                <w:rFonts w:ascii="Arial" w:hAnsi="Arial" w:eastAsia="等线" w:cs="Arial"/>
                <w:color w:val="464F41"/>
              </w:rPr>
              <w:t>0.897</w:t>
            </w:r>
          </w:p>
        </w:tc>
        <w:tc>
          <w:tcPr>
            <w:tcW w:w="0" w:type="auto"/>
            <w:shd w:val="clear" w:color="auto" w:fill="auto"/>
          </w:tcPr>
          <w:p w14:paraId="6E55FD76">
            <w:pPr>
              <w:spacing w:before="120" w:after="120" w:line="288" w:lineRule="auto"/>
              <w:rPr>
                <w:rFonts w:hint="eastAsia"/>
                <w:color w:val="464F41"/>
              </w:rPr>
            </w:pPr>
            <w:r>
              <w:rPr>
                <w:rFonts w:ascii="Arial" w:hAnsi="Arial" w:eastAsia="等线" w:cs="Arial"/>
                <w:color w:val="464F41"/>
              </w:rPr>
              <w:t>***p&lt;0.001</w:t>
            </w:r>
          </w:p>
        </w:tc>
      </w:tr>
      <w:tr w14:paraId="47D8C815">
        <w:tblPrEx>
          <w:tblBorders>
            <w:top w:val="single" w:color="464F41" w:sz="4" w:space="0"/>
            <w:left w:val="none" w:color="auto" w:sz="0" w:space="0"/>
            <w:bottom w:val="single" w:color="464F41" w:sz="4" w:space="0"/>
            <w:right w:val="none" w:color="auto" w:sz="0" w:space="0"/>
            <w:insideH w:val="dotted" w:color="464F41" w:sz="4" w:space="0"/>
            <w:insideV w:val="none" w:color="auto" w:sz="0" w:space="0"/>
          </w:tblBorders>
          <w:tblCellMar>
            <w:top w:w="0" w:type="dxa"/>
            <w:left w:w="108" w:type="dxa"/>
            <w:bottom w:w="0" w:type="dxa"/>
            <w:right w:w="108" w:type="dxa"/>
          </w:tblCellMar>
        </w:tblPrEx>
        <w:tc>
          <w:tcPr>
            <w:tcW w:w="0" w:type="auto"/>
            <w:shd w:val="clear" w:color="auto" w:fill="auto"/>
          </w:tcPr>
          <w:p w14:paraId="5FF81BC4">
            <w:pPr>
              <w:spacing w:before="120" w:after="120" w:line="288" w:lineRule="auto"/>
              <w:rPr>
                <w:rFonts w:hint="eastAsia"/>
                <w:color w:val="464F41"/>
              </w:rPr>
            </w:pPr>
            <w:r>
              <w:rPr>
                <w:rFonts w:ascii="Arial" w:hAnsi="Arial" w:eastAsia="等线" w:cs="Arial"/>
                <w:color w:val="464F41"/>
              </w:rPr>
              <w:t>满意度→复购意愿(直接)</w:t>
            </w:r>
          </w:p>
        </w:tc>
        <w:tc>
          <w:tcPr>
            <w:tcW w:w="0" w:type="auto"/>
            <w:shd w:val="clear" w:color="auto" w:fill="auto"/>
          </w:tcPr>
          <w:p w14:paraId="4C4E1D79">
            <w:pPr>
              <w:spacing w:before="120" w:after="120" w:line="288" w:lineRule="auto"/>
              <w:rPr>
                <w:rFonts w:hint="eastAsia"/>
                <w:color w:val="464F41"/>
              </w:rPr>
            </w:pPr>
            <w:r>
              <w:rPr>
                <w:rFonts w:ascii="Arial" w:hAnsi="Arial" w:eastAsia="等线" w:cs="Arial"/>
                <w:color w:val="464F41"/>
              </w:rPr>
              <w:t>0.869</w:t>
            </w:r>
          </w:p>
        </w:tc>
        <w:tc>
          <w:tcPr>
            <w:tcW w:w="0" w:type="auto"/>
            <w:shd w:val="clear" w:color="auto" w:fill="auto"/>
          </w:tcPr>
          <w:p w14:paraId="6BCD7AAE">
            <w:pPr>
              <w:spacing w:before="120" w:after="120" w:line="288" w:lineRule="auto"/>
              <w:rPr>
                <w:rFonts w:hint="eastAsia"/>
                <w:color w:val="464F41"/>
              </w:rPr>
            </w:pPr>
            <w:r>
              <w:rPr>
                <w:rFonts w:ascii="Arial" w:hAnsi="Arial" w:eastAsia="等线" w:cs="Arial"/>
                <w:color w:val="464F41"/>
              </w:rPr>
              <w:t>0.976</w:t>
            </w:r>
          </w:p>
        </w:tc>
        <w:tc>
          <w:tcPr>
            <w:tcW w:w="0" w:type="auto"/>
            <w:shd w:val="clear" w:color="auto" w:fill="auto"/>
          </w:tcPr>
          <w:p w14:paraId="44E8493E">
            <w:pPr>
              <w:spacing w:before="120" w:after="120" w:line="288" w:lineRule="auto"/>
              <w:rPr>
                <w:rFonts w:hint="eastAsia"/>
                <w:color w:val="464F41"/>
              </w:rPr>
            </w:pPr>
            <w:r>
              <w:rPr>
                <w:rFonts w:ascii="Arial" w:hAnsi="Arial" w:eastAsia="等线" w:cs="Arial"/>
                <w:color w:val="464F41"/>
              </w:rPr>
              <w:t>0.756</w:t>
            </w:r>
          </w:p>
        </w:tc>
        <w:tc>
          <w:tcPr>
            <w:tcW w:w="0" w:type="auto"/>
            <w:shd w:val="clear" w:color="auto" w:fill="auto"/>
          </w:tcPr>
          <w:p w14:paraId="1E4E95E2">
            <w:pPr>
              <w:spacing w:before="120" w:after="120" w:line="288" w:lineRule="auto"/>
              <w:rPr>
                <w:rFonts w:hint="eastAsia"/>
                <w:color w:val="464F41"/>
              </w:rPr>
            </w:pPr>
            <w:r>
              <w:rPr>
                <w:rFonts w:ascii="Arial" w:hAnsi="Arial" w:eastAsia="等线" w:cs="Arial"/>
                <w:color w:val="464F41"/>
              </w:rPr>
              <w:t>***p&lt;0.001</w:t>
            </w:r>
          </w:p>
        </w:tc>
      </w:tr>
      <w:tr w14:paraId="62828EEB">
        <w:tblPrEx>
          <w:tblBorders>
            <w:top w:val="single" w:color="464F41" w:sz="4" w:space="0"/>
            <w:left w:val="none" w:color="auto" w:sz="0" w:space="0"/>
            <w:bottom w:val="single" w:color="464F41" w:sz="4" w:space="0"/>
            <w:right w:val="none" w:color="auto" w:sz="0" w:space="0"/>
            <w:insideH w:val="dotted" w:color="464F41" w:sz="4" w:space="0"/>
            <w:insideV w:val="none" w:color="auto" w:sz="0" w:space="0"/>
          </w:tblBorders>
          <w:tblCellMar>
            <w:top w:w="0" w:type="dxa"/>
            <w:left w:w="108" w:type="dxa"/>
            <w:bottom w:w="0" w:type="dxa"/>
            <w:right w:w="108" w:type="dxa"/>
          </w:tblCellMar>
        </w:tblPrEx>
        <w:tc>
          <w:tcPr>
            <w:tcW w:w="0" w:type="auto"/>
            <w:shd w:val="clear" w:color="auto" w:fill="auto"/>
          </w:tcPr>
          <w:p w14:paraId="6280A452">
            <w:pPr>
              <w:spacing w:before="120" w:after="120" w:line="288" w:lineRule="auto"/>
              <w:rPr>
                <w:rFonts w:hint="eastAsia"/>
                <w:color w:val="464F41"/>
              </w:rPr>
            </w:pPr>
            <w:r>
              <w:rPr>
                <w:rFonts w:ascii="Arial" w:hAnsi="Arial" w:eastAsia="等线" w:cs="Arial"/>
                <w:color w:val="464F41"/>
              </w:rPr>
              <w:t>消费金额→复购意愿</w:t>
            </w:r>
          </w:p>
        </w:tc>
        <w:tc>
          <w:tcPr>
            <w:tcW w:w="0" w:type="auto"/>
            <w:shd w:val="clear" w:color="auto" w:fill="auto"/>
          </w:tcPr>
          <w:p w14:paraId="7C2CBDB2">
            <w:pPr>
              <w:spacing w:before="120" w:after="120" w:line="288" w:lineRule="auto"/>
              <w:rPr>
                <w:rFonts w:hint="eastAsia"/>
                <w:color w:val="464F41"/>
              </w:rPr>
            </w:pPr>
            <w:r>
              <w:rPr>
                <w:rFonts w:ascii="Arial" w:hAnsi="Arial" w:eastAsia="等线" w:cs="Arial"/>
                <w:color w:val="464F41"/>
              </w:rPr>
              <w:t>0.778</w:t>
            </w:r>
          </w:p>
        </w:tc>
        <w:tc>
          <w:tcPr>
            <w:tcW w:w="0" w:type="auto"/>
            <w:shd w:val="clear" w:color="auto" w:fill="auto"/>
          </w:tcPr>
          <w:p w14:paraId="5B7642AF">
            <w:pPr>
              <w:spacing w:before="120" w:after="120" w:line="288" w:lineRule="auto"/>
              <w:rPr>
                <w:rFonts w:hint="eastAsia"/>
                <w:color w:val="464F41"/>
              </w:rPr>
            </w:pPr>
            <w:r>
              <w:rPr>
                <w:rFonts w:ascii="Arial" w:hAnsi="Arial" w:eastAsia="等线" w:cs="Arial"/>
                <w:color w:val="464F41"/>
              </w:rPr>
              <w:t>0.004</w:t>
            </w:r>
          </w:p>
        </w:tc>
        <w:tc>
          <w:tcPr>
            <w:tcW w:w="0" w:type="auto"/>
            <w:shd w:val="clear" w:color="auto" w:fill="auto"/>
          </w:tcPr>
          <w:p w14:paraId="62E91880">
            <w:pPr>
              <w:spacing w:before="120" w:after="120" w:line="288" w:lineRule="auto"/>
              <w:rPr>
                <w:rFonts w:hint="eastAsia"/>
                <w:color w:val="464F41"/>
              </w:rPr>
            </w:pPr>
            <w:r>
              <w:rPr>
                <w:rFonts w:ascii="Arial" w:hAnsi="Arial" w:eastAsia="等线" w:cs="Arial"/>
                <w:color w:val="464F41"/>
              </w:rPr>
              <w:t>0.150</w:t>
            </w:r>
          </w:p>
        </w:tc>
        <w:tc>
          <w:tcPr>
            <w:tcW w:w="0" w:type="auto"/>
            <w:shd w:val="clear" w:color="auto" w:fill="auto"/>
          </w:tcPr>
          <w:p w14:paraId="235DDA0B">
            <w:pPr>
              <w:spacing w:before="120" w:after="120" w:line="288" w:lineRule="auto"/>
              <w:rPr>
                <w:rFonts w:hint="eastAsia"/>
                <w:color w:val="464F41"/>
              </w:rPr>
            </w:pPr>
            <w:r>
              <w:rPr>
                <w:rFonts w:ascii="Arial" w:hAnsi="Arial" w:eastAsia="等线" w:cs="Arial"/>
                <w:color w:val="464F41"/>
              </w:rPr>
              <w:t>***p&lt;0.001</w:t>
            </w:r>
          </w:p>
        </w:tc>
      </w:tr>
      <w:tr w14:paraId="5B7F5E09">
        <w:tblPrEx>
          <w:tblBorders>
            <w:top w:val="single" w:color="464F41" w:sz="4" w:space="0"/>
            <w:left w:val="none" w:color="auto" w:sz="0" w:space="0"/>
            <w:bottom w:val="single" w:color="464F41" w:sz="4" w:space="0"/>
            <w:right w:val="none" w:color="auto" w:sz="0" w:space="0"/>
            <w:insideH w:val="dotted" w:color="464F41" w:sz="4" w:space="0"/>
            <w:insideV w:val="none" w:color="auto" w:sz="0" w:space="0"/>
          </w:tblBorders>
          <w:tblCellMar>
            <w:top w:w="0" w:type="dxa"/>
            <w:left w:w="108" w:type="dxa"/>
            <w:bottom w:w="0" w:type="dxa"/>
            <w:right w:w="108" w:type="dxa"/>
          </w:tblCellMar>
        </w:tblPrEx>
        <w:tc>
          <w:tcPr>
            <w:tcW w:w="0" w:type="auto"/>
            <w:shd w:val="clear" w:color="auto" w:fill="auto"/>
          </w:tcPr>
          <w:p w14:paraId="45B1ACAE">
            <w:pPr>
              <w:spacing w:before="120" w:after="120" w:line="288" w:lineRule="auto"/>
              <w:rPr>
                <w:rFonts w:hint="eastAsia"/>
                <w:color w:val="464F41"/>
              </w:rPr>
            </w:pPr>
            <w:r>
              <w:rPr>
                <w:rFonts w:ascii="Arial" w:hAnsi="Arial" w:eastAsia="等线" w:cs="Arial"/>
                <w:color w:val="464F41"/>
              </w:rPr>
              <w:t>复购意愿→NPS</w:t>
            </w:r>
          </w:p>
        </w:tc>
        <w:tc>
          <w:tcPr>
            <w:tcW w:w="0" w:type="auto"/>
            <w:shd w:val="clear" w:color="auto" w:fill="auto"/>
          </w:tcPr>
          <w:p w14:paraId="4C3A6AD9">
            <w:pPr>
              <w:spacing w:before="120" w:after="120" w:line="288" w:lineRule="auto"/>
              <w:rPr>
                <w:rFonts w:hint="eastAsia"/>
                <w:color w:val="464F41"/>
              </w:rPr>
            </w:pPr>
            <w:r>
              <w:rPr>
                <w:rFonts w:ascii="Arial" w:hAnsi="Arial" w:eastAsia="等线" w:cs="Arial"/>
                <w:color w:val="464F41"/>
              </w:rPr>
              <w:t>0.838</w:t>
            </w:r>
          </w:p>
        </w:tc>
        <w:tc>
          <w:tcPr>
            <w:tcW w:w="0" w:type="auto"/>
            <w:shd w:val="clear" w:color="auto" w:fill="auto"/>
          </w:tcPr>
          <w:p w14:paraId="7821E64A">
            <w:pPr>
              <w:spacing w:before="120" w:after="120" w:line="288" w:lineRule="auto"/>
              <w:rPr>
                <w:rFonts w:hint="eastAsia"/>
                <w:color w:val="464F41"/>
              </w:rPr>
            </w:pPr>
            <w:r>
              <w:rPr>
                <w:rFonts w:ascii="Arial" w:hAnsi="Arial" w:eastAsia="等线" w:cs="Arial"/>
                <w:color w:val="464F41"/>
              </w:rPr>
              <w:t>-</w:t>
            </w:r>
          </w:p>
        </w:tc>
        <w:tc>
          <w:tcPr>
            <w:tcW w:w="0" w:type="auto"/>
            <w:shd w:val="clear" w:color="auto" w:fill="auto"/>
          </w:tcPr>
          <w:p w14:paraId="478C8E75">
            <w:pPr>
              <w:spacing w:before="120" w:after="120" w:line="288" w:lineRule="auto"/>
              <w:rPr>
                <w:rFonts w:hint="eastAsia"/>
                <w:color w:val="464F41"/>
              </w:rPr>
            </w:pPr>
            <w:r>
              <w:rPr>
                <w:rFonts w:ascii="Arial" w:hAnsi="Arial" w:eastAsia="等线" w:cs="Arial"/>
                <w:color w:val="464F41"/>
              </w:rPr>
              <w:t>-</w:t>
            </w:r>
          </w:p>
        </w:tc>
        <w:tc>
          <w:tcPr>
            <w:tcW w:w="0" w:type="auto"/>
            <w:shd w:val="clear" w:color="auto" w:fill="auto"/>
          </w:tcPr>
          <w:p w14:paraId="7641F5CB">
            <w:pPr>
              <w:spacing w:before="120" w:after="120" w:line="288" w:lineRule="auto"/>
              <w:rPr>
                <w:rFonts w:hint="eastAsia"/>
                <w:color w:val="464F41"/>
              </w:rPr>
            </w:pPr>
            <w:r>
              <w:rPr>
                <w:rFonts w:ascii="Arial" w:hAnsi="Arial" w:eastAsia="等线" w:cs="Arial"/>
                <w:color w:val="464F41"/>
              </w:rPr>
              <w:t>***p&lt;0.001</w:t>
            </w:r>
          </w:p>
        </w:tc>
      </w:tr>
    </w:tbl>
    <w:p w14:paraId="45D6FC71">
      <w:pPr>
        <w:spacing w:before="120" w:after="120" w:line="288" w:lineRule="auto"/>
        <w:rPr>
          <w:rFonts w:hint="eastAsia"/>
        </w:rPr>
      </w:pPr>
      <w:r>
        <w:rPr>
          <w:rFonts w:ascii="Arial" w:hAnsi="Arial" w:eastAsia="等线" w:cs="Arial"/>
        </w:rPr>
        <w:t>路径模型验证了</w:t>
      </w:r>
      <w:r>
        <w:rPr>
          <w:rFonts w:ascii="Arial" w:hAnsi="Arial" w:eastAsia="等线" w:cs="Arial"/>
          <w:b/>
        </w:rPr>
        <w:t>引流→停留→消费→复购</w:t>
      </w:r>
      <w:r>
        <w:rPr>
          <w:rFonts w:ascii="Arial" w:hAnsi="Arial" w:eastAsia="等线" w:cs="Arial"/>
        </w:rPr>
        <w:t>闭环逻辑成立，且</w:t>
      </w:r>
      <w:r>
        <w:rPr>
          <w:rFonts w:ascii="Arial" w:hAnsi="Arial" w:eastAsia="等线" w:cs="Arial"/>
          <w:b/>
        </w:rPr>
        <w:t>停留时长是消费转化的关键中介变量</w:t>
      </w:r>
      <w:r>
        <w:rPr>
          <w:rFonts w:ascii="Arial" w:hAnsi="Arial" w:eastAsia="等线" w:cs="Arial"/>
        </w:rPr>
        <w:t>——停留时长每延长1小时，消费金额增加138.15元。</w:t>
      </w:r>
    </w:p>
    <w:p w14:paraId="4A012C84">
      <w:pPr>
        <w:pStyle w:val="18"/>
        <w:numPr>
          <w:ilvl w:val="0"/>
          <w:numId w:val="6"/>
        </w:numPr>
        <w:rPr>
          <w:lang w:eastAsia="zh-CN"/>
        </w:rPr>
      </w:pPr>
      <w:r>
        <w:rPr>
          <w:b/>
          <w:bCs/>
          <w:lang w:eastAsia="zh-CN"/>
        </w:rPr>
        <w:t>满意度→停留时长</w:t>
      </w:r>
      <w:r>
        <w:rPr>
          <w:lang w:eastAsia="zh-CN"/>
        </w:rPr>
        <w:t>：相关系数r=0.698***，回归系数</w:t>
      </w:r>
      <w:r>
        <w:t>β</w:t>
      </w:r>
      <w:r>
        <w:rPr>
          <w:lang w:eastAsia="zh-CN"/>
        </w:rPr>
        <w:t>=0.767，R²=0.487。满意度每提升1分，停留时长延长0.77小时；</w:t>
      </w:r>
    </w:p>
    <w:p w14:paraId="2A15A669">
      <w:pPr>
        <w:pStyle w:val="18"/>
        <w:numPr>
          <w:ilvl w:val="0"/>
          <w:numId w:val="6"/>
        </w:numPr>
        <w:rPr>
          <w:lang w:eastAsia="zh-CN"/>
        </w:rPr>
      </w:pPr>
      <w:r>
        <w:rPr>
          <w:b/>
          <w:bCs/>
          <w:lang w:eastAsia="zh-CN"/>
        </w:rPr>
        <w:t>停留时长→消费金额</w:t>
      </w:r>
      <w:r>
        <w:rPr>
          <w:lang w:eastAsia="zh-CN"/>
        </w:rPr>
        <w:t>：相关系数r=0.947*</w:t>
      </w:r>
      <w:r>
        <w:rPr>
          <w:b/>
          <w:bCs/>
          <w:lang w:eastAsia="zh-CN"/>
        </w:rPr>
        <w:t>，回归系数</w:t>
      </w:r>
      <w:r>
        <w:rPr>
          <w:b/>
          <w:bCs/>
        </w:rPr>
        <w:t>β</w:t>
      </w:r>
      <w:r>
        <w:rPr>
          <w:b/>
          <w:bCs/>
          <w:lang w:eastAsia="zh-CN"/>
        </w:rPr>
        <w:t>=138.15，R²=0.897。</w:t>
      </w:r>
      <w:r>
        <w:rPr>
          <w:lang w:eastAsia="zh-CN"/>
        </w:rPr>
        <w:t>关键发现**：停留时长每延长1小时，消费金额增加138.15元（图3-8）；</w:t>
      </w:r>
    </w:p>
    <w:p w14:paraId="1B9DD78C">
      <w:pPr>
        <w:pStyle w:val="18"/>
        <w:numPr>
          <w:ilvl w:val="0"/>
          <w:numId w:val="6"/>
        </w:numPr>
        <w:rPr>
          <w:lang w:eastAsia="zh-CN"/>
        </w:rPr>
      </w:pPr>
      <w:r>
        <w:rPr>
          <w:b/>
          <w:bCs/>
          <w:lang w:eastAsia="zh-CN"/>
        </w:rPr>
        <w:t>满意度→复购意愿（直接效应）</w:t>
      </w:r>
      <w:r>
        <w:rPr>
          <w:lang w:eastAsia="zh-CN"/>
        </w:rPr>
        <w:t>：r=0.869***，</w:t>
      </w:r>
      <w:r>
        <w:t>β</w:t>
      </w:r>
      <w:r>
        <w:rPr>
          <w:lang w:eastAsia="zh-CN"/>
        </w:rPr>
        <w:t>=0.976，R²=0.756；</w:t>
      </w:r>
    </w:p>
    <w:p w14:paraId="1162E1B1">
      <w:pPr>
        <w:pStyle w:val="18"/>
        <w:numPr>
          <w:ilvl w:val="0"/>
          <w:numId w:val="6"/>
        </w:numPr>
        <w:rPr>
          <w:lang w:eastAsia="zh-CN"/>
        </w:rPr>
      </w:pPr>
      <w:r>
        <w:rPr>
          <w:b/>
          <w:bCs/>
          <w:lang w:eastAsia="zh-CN"/>
        </w:rPr>
        <w:t>消费金额→复购意愿</w:t>
      </w:r>
      <w:r>
        <w:rPr>
          <w:lang w:eastAsia="zh-CN"/>
        </w:rPr>
        <w:t>：r=0.778***；</w:t>
      </w:r>
    </w:p>
    <w:p w14:paraId="1978EFE3">
      <w:pPr>
        <w:pStyle w:val="18"/>
        <w:numPr>
          <w:ilvl w:val="0"/>
          <w:numId w:val="7"/>
        </w:numPr>
      </w:pPr>
      <w:r>
        <w:rPr>
          <w:b/>
          <w:bCs/>
        </w:rPr>
        <w:t>复购意愿→NPS</w:t>
      </w:r>
      <w:r>
        <w:t>：r=0.838***。</w:t>
      </w:r>
    </w:p>
    <w:p w14:paraId="4F978DDD">
      <w:pPr>
        <w:pStyle w:val="18"/>
        <w:ind w:firstLine="2880" w:firstLineChars="1200"/>
        <w:rPr>
          <w:lang w:eastAsia="zh-CN"/>
        </w:rPr>
      </w:pPr>
      <w:r>
        <w:t>图 游客行为路径分析</w:t>
      </w:r>
    </w:p>
    <w:p w14:paraId="042A2C2F">
      <w:pPr>
        <w:pStyle w:val="18"/>
      </w:pPr>
      <w:r>
        <w:drawing>
          <wp:inline distT="0" distB="0" distL="0" distR="0">
            <wp:extent cx="4947920" cy="2811145"/>
            <wp:effectExtent l="0" t="0" r="5080" b="8255"/>
            <wp:docPr id="14453772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77223" name="图片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4947920" cy="2811145"/>
                    </a:xfrm>
                    <a:prstGeom prst="rect">
                      <a:avLst/>
                    </a:prstGeom>
                    <a:noFill/>
                    <a:ln>
                      <a:noFill/>
                    </a:ln>
                  </pic:spPr>
                </pic:pic>
              </a:graphicData>
            </a:graphic>
          </wp:inline>
        </w:drawing>
      </w:r>
    </w:p>
    <w:p w14:paraId="60EDB2D5">
      <w:pPr>
        <w:pStyle w:val="21"/>
        <w:rPr>
          <w:lang w:eastAsia="zh-CN"/>
        </w:rPr>
      </w:pPr>
      <w:r>
        <w:rPr>
          <w:b/>
          <w:bCs/>
          <w:lang w:eastAsia="zh-CN"/>
        </w:rPr>
        <w:t>效应分解</w:t>
      </w:r>
      <w:r>
        <w:rPr>
          <w:lang w:eastAsia="zh-CN"/>
        </w:rPr>
        <w:t>：满意度→停留→消费→复购的间接效应为0.164，满意度→复购的直接效应为0.734，总效应达0.973。路径模型验证了”引流→停留→消费→复购”闭环逻辑成立，且停留时长是消费转化的关键中介变量。</w:t>
      </w:r>
    </w:p>
    <w:bookmarkEnd w:id="52"/>
    <w:p w14:paraId="787F9734">
      <w:pPr>
        <w:pStyle w:val="4"/>
        <w:bidi w:val="0"/>
        <w:rPr>
          <w:lang w:eastAsia="zh-CN"/>
        </w:rPr>
      </w:pPr>
      <w:bookmarkStart w:id="53" w:name="_Toc32490"/>
      <w:r>
        <w:rPr>
          <w:lang w:eastAsia="zh-CN"/>
        </w:rPr>
        <w:t xml:space="preserve">3.6.2 </w:t>
      </w:r>
      <w:r>
        <w:rPr>
          <w:rFonts w:hint="eastAsia"/>
          <w:lang w:eastAsia="zh-CN"/>
        </w:rPr>
        <w:t>八</w:t>
      </w:r>
      <w:r>
        <w:rPr>
          <w:lang w:eastAsia="zh-CN"/>
        </w:rPr>
        <w:t>大痛点量化验证</w:t>
      </w:r>
      <w:bookmarkEnd w:id="53"/>
    </w:p>
    <w:p w14:paraId="51D89502">
      <w:pPr>
        <w:pStyle w:val="21"/>
        <w:rPr>
          <w:lang w:eastAsia="zh-CN"/>
        </w:rPr>
      </w:pPr>
      <w:r>
        <w:rPr>
          <w:lang w:eastAsia="zh-CN"/>
        </w:rPr>
        <w:t>结合3.4节实地调研与3.5节问卷数据，</w:t>
      </w:r>
      <w:r>
        <w:rPr>
          <w:rFonts w:hint="eastAsia"/>
          <w:lang w:eastAsia="zh-CN"/>
        </w:rPr>
        <w:t>八</w:t>
      </w:r>
      <w:r>
        <w:rPr>
          <w:lang w:eastAsia="zh-CN"/>
        </w:rPr>
        <w:t>大核心痛点得到量化验证：</w:t>
      </w:r>
    </w:p>
    <w:p w14:paraId="7CD955F3">
      <w:pPr>
        <w:pStyle w:val="7"/>
      </w:pPr>
      <w:r>
        <w:rPr>
          <w:b/>
          <w:bCs/>
        </w:rPr>
        <w:t>表 核心痛点诊断与数据验证</w:t>
      </w:r>
    </w:p>
    <w:tbl>
      <w:tblPr>
        <w:tblStyle w:val="23"/>
        <w:tblW w:w="0" w:type="auto"/>
        <w:tblInd w:w="0" w:type="dxa"/>
        <w:tblBorders>
          <w:top w:val="single" w:color="F9CF93" w:sz="4" w:space="0"/>
          <w:left w:val="none" w:color="auto" w:sz="0" w:space="0"/>
          <w:bottom w:val="single" w:color="F9CF93" w:sz="4" w:space="0"/>
          <w:right w:val="none" w:color="auto" w:sz="0" w:space="0"/>
          <w:insideH w:val="dotted" w:color="DDDDDD" w:sz="4" w:space="0"/>
          <w:insideV w:val="none" w:color="auto" w:sz="0" w:space="0"/>
        </w:tblBorders>
        <w:tblLayout w:type="autofit"/>
        <w:tblCellMar>
          <w:top w:w="0" w:type="dxa"/>
          <w:left w:w="0" w:type="dxa"/>
          <w:bottom w:w="0" w:type="dxa"/>
          <w:right w:w="0" w:type="dxa"/>
        </w:tblCellMar>
      </w:tblPr>
      <w:tblGrid>
        <w:gridCol w:w="1256"/>
        <w:gridCol w:w="3425"/>
        <w:gridCol w:w="1540"/>
        <w:gridCol w:w="2084"/>
      </w:tblGrid>
      <w:tr w14:paraId="4BEA80AF">
        <w:tblPrEx>
          <w:tblBorders>
            <w:top w:val="single" w:color="F9CF93" w:sz="4" w:space="0"/>
            <w:left w:val="none" w:color="auto" w:sz="0" w:space="0"/>
            <w:bottom w:val="single" w:color="F9CF93" w:sz="4" w:space="0"/>
            <w:right w:val="none" w:color="auto" w:sz="0" w:space="0"/>
            <w:insideH w:val="dotted" w:color="DDDDDD" w:sz="4" w:space="0"/>
            <w:insideV w:val="none" w:color="auto" w:sz="0" w:space="0"/>
          </w:tblBorders>
          <w:tblCellMar>
            <w:top w:w="0" w:type="dxa"/>
            <w:left w:w="0" w:type="dxa"/>
            <w:bottom w:w="0" w:type="dxa"/>
            <w:right w:w="0" w:type="dxa"/>
          </w:tblCellMar>
        </w:tblPrEx>
        <w:tc>
          <w:tcPr>
            <w:tcW w:w="0" w:type="auto"/>
            <w:tcBorders>
              <w:top w:val="single" w:color="F9CF93" w:sz="4" w:space="0"/>
              <w:left w:val="nil"/>
              <w:bottom w:val="single" w:color="F9CF93" w:sz="4" w:space="0"/>
              <w:right w:val="nil"/>
              <w:insideH w:val="single" w:sz="4" w:space="0"/>
              <w:insideV w:val="nil"/>
            </w:tcBorders>
            <w:shd w:val="clear" w:color="auto" w:fill="F9CF93"/>
          </w:tcPr>
          <w:p w14:paraId="38C33E85">
            <w:pPr>
              <w:pStyle w:val="18"/>
              <w:rPr>
                <w:rFonts w:hint="eastAsia"/>
                <w:b/>
                <w:color w:val="000000"/>
                <w:sz w:val="21"/>
                <w:szCs w:val="21"/>
                <w:lang w:eastAsia="zh-CN"/>
              </w:rPr>
            </w:pPr>
            <w:r>
              <w:rPr>
                <w:b/>
                <w:color w:val="000000"/>
                <w:sz w:val="21"/>
                <w:szCs w:val="21"/>
              </w:rPr>
              <w:t>痛点</w:t>
            </w:r>
          </w:p>
        </w:tc>
        <w:tc>
          <w:tcPr>
            <w:tcW w:w="0" w:type="auto"/>
            <w:tcBorders>
              <w:top w:val="single" w:color="F9CF93" w:sz="4" w:space="0"/>
              <w:bottom w:val="single" w:color="F9CF93" w:sz="4" w:space="0"/>
              <w:right w:val="nil"/>
              <w:insideH w:val="single" w:sz="4" w:space="0"/>
              <w:insideV w:val="nil"/>
            </w:tcBorders>
            <w:shd w:val="clear" w:color="auto" w:fill="F9CF93"/>
          </w:tcPr>
          <w:p w14:paraId="354235E1">
            <w:pPr>
              <w:pStyle w:val="18"/>
              <w:rPr>
                <w:b/>
                <w:color w:val="000000"/>
                <w:sz w:val="21"/>
                <w:szCs w:val="21"/>
              </w:rPr>
            </w:pPr>
            <w:r>
              <w:rPr>
                <w:b/>
                <w:color w:val="000000"/>
                <w:sz w:val="21"/>
                <w:szCs w:val="21"/>
              </w:rPr>
              <w:t>数据支撑</w:t>
            </w:r>
          </w:p>
        </w:tc>
        <w:tc>
          <w:tcPr>
            <w:tcW w:w="0" w:type="auto"/>
            <w:tcBorders>
              <w:top w:val="single" w:color="F9CF93" w:sz="4" w:space="0"/>
              <w:bottom w:val="single" w:color="F9CF93" w:sz="4" w:space="0"/>
              <w:right w:val="nil"/>
              <w:insideH w:val="single" w:sz="4" w:space="0"/>
              <w:insideV w:val="nil"/>
            </w:tcBorders>
            <w:shd w:val="clear" w:color="auto" w:fill="F9CF93"/>
          </w:tcPr>
          <w:p w14:paraId="4819D01B">
            <w:pPr>
              <w:pStyle w:val="18"/>
              <w:rPr>
                <w:b/>
                <w:color w:val="000000"/>
                <w:sz w:val="21"/>
                <w:szCs w:val="21"/>
              </w:rPr>
            </w:pPr>
            <w:r>
              <w:rPr>
                <w:b/>
                <w:color w:val="000000"/>
                <w:sz w:val="21"/>
                <w:szCs w:val="21"/>
              </w:rPr>
              <w:t>本质</w:t>
            </w:r>
          </w:p>
        </w:tc>
        <w:tc>
          <w:tcPr>
            <w:tcW w:w="0" w:type="auto"/>
            <w:tcBorders>
              <w:top w:val="single" w:color="F9CF93" w:sz="4" w:space="0"/>
              <w:bottom w:val="single" w:color="F9CF93" w:sz="4" w:space="0"/>
              <w:insideH w:val="single" w:sz="4" w:space="0"/>
              <w:insideV w:val="nil"/>
            </w:tcBorders>
            <w:shd w:val="clear" w:color="auto" w:fill="F9CF93"/>
          </w:tcPr>
          <w:p w14:paraId="21516DB5">
            <w:pPr>
              <w:pStyle w:val="18"/>
              <w:rPr>
                <w:b/>
                <w:color w:val="000000"/>
                <w:sz w:val="21"/>
                <w:szCs w:val="21"/>
              </w:rPr>
            </w:pPr>
            <w:r>
              <w:rPr>
                <w:b/>
                <w:color w:val="000000"/>
                <w:sz w:val="21"/>
                <w:szCs w:val="21"/>
              </w:rPr>
              <w:t>本项目回应策略</w:t>
            </w:r>
          </w:p>
        </w:tc>
      </w:tr>
      <w:tr w14:paraId="6991BFF1">
        <w:tblPrEx>
          <w:tblCellMar>
            <w:top w:w="0" w:type="dxa"/>
            <w:left w:w="0" w:type="dxa"/>
            <w:bottom w:w="0" w:type="dxa"/>
            <w:right w:w="0" w:type="dxa"/>
          </w:tblCellMar>
        </w:tblPrEx>
        <w:tc>
          <w:tcPr>
            <w:tcW w:w="0" w:type="auto"/>
            <w:tcBorders>
              <w:left w:val="nil"/>
              <w:bottom w:val="dotted" w:color="DDDDDD" w:sz="4" w:space="0"/>
              <w:insideH w:val="dotted" w:sz="4" w:space="0"/>
            </w:tcBorders>
            <w:shd w:val="clear" w:color="auto" w:fill="F9E4C8"/>
          </w:tcPr>
          <w:p w14:paraId="7E57A1CC">
            <w:pPr>
              <w:pStyle w:val="18"/>
              <w:rPr>
                <w:b/>
                <w:color w:val="000000"/>
                <w:sz w:val="21"/>
                <w:szCs w:val="21"/>
              </w:rPr>
            </w:pPr>
            <w:r>
              <w:rPr>
                <w:b/>
                <w:bCs/>
                <w:color w:val="000000"/>
                <w:sz w:val="21"/>
                <w:szCs w:val="21"/>
              </w:rPr>
              <w:t>痛点一：产业低效</w:t>
            </w:r>
          </w:p>
        </w:tc>
        <w:tc>
          <w:tcPr>
            <w:tcW w:w="0" w:type="auto"/>
            <w:shd w:val="clear" w:color="auto" w:fill="auto"/>
          </w:tcPr>
          <w:p w14:paraId="02E7025A">
            <w:pPr>
              <w:pStyle w:val="18"/>
              <w:rPr>
                <w:color w:val="000000"/>
                <w:sz w:val="21"/>
                <w:szCs w:val="21"/>
                <w:lang w:eastAsia="zh-CN"/>
              </w:rPr>
            </w:pPr>
            <w:r>
              <w:rPr>
                <w:color w:val="000000"/>
                <w:sz w:val="21"/>
                <w:szCs w:val="21"/>
                <w:lang w:eastAsia="zh-CN"/>
              </w:rPr>
              <w:t>农户平均亩产仅550kg，滞销率15%；2024年倒春寒绝产</w:t>
            </w:r>
          </w:p>
        </w:tc>
        <w:tc>
          <w:tcPr>
            <w:tcW w:w="0" w:type="auto"/>
            <w:shd w:val="clear" w:color="auto" w:fill="auto"/>
          </w:tcPr>
          <w:p w14:paraId="7351F841">
            <w:pPr>
              <w:pStyle w:val="18"/>
              <w:rPr>
                <w:color w:val="000000"/>
                <w:sz w:val="21"/>
                <w:szCs w:val="21"/>
                <w:lang w:eastAsia="zh-CN"/>
              </w:rPr>
            </w:pPr>
            <w:r>
              <w:rPr>
                <w:color w:val="000000"/>
                <w:sz w:val="21"/>
                <w:szCs w:val="21"/>
                <w:lang w:eastAsia="zh-CN"/>
              </w:rPr>
              <w:t>有产品无市场，产量波动大</w:t>
            </w:r>
          </w:p>
        </w:tc>
        <w:tc>
          <w:tcPr>
            <w:tcW w:w="0" w:type="auto"/>
            <w:shd w:val="clear" w:color="auto" w:fill="auto"/>
          </w:tcPr>
          <w:p w14:paraId="2AADD359">
            <w:pPr>
              <w:pStyle w:val="18"/>
              <w:rPr>
                <w:color w:val="000000"/>
                <w:sz w:val="21"/>
                <w:szCs w:val="21"/>
                <w:lang w:eastAsia="zh-CN"/>
              </w:rPr>
            </w:pPr>
            <w:r>
              <w:rPr>
                <w:color w:val="000000"/>
                <w:sz w:val="21"/>
                <w:szCs w:val="21"/>
                <w:lang w:eastAsia="zh-CN"/>
              </w:rPr>
              <w:t>品牌升级+一树一人认养+林下经济+外部代工</w:t>
            </w:r>
          </w:p>
        </w:tc>
      </w:tr>
      <w:tr w14:paraId="737773BD">
        <w:tblPrEx>
          <w:tblBorders>
            <w:top w:val="single" w:color="F9CF93" w:sz="4" w:space="0"/>
            <w:left w:val="none" w:color="auto" w:sz="0" w:space="0"/>
            <w:bottom w:val="single" w:color="F9CF93" w:sz="4" w:space="0"/>
            <w:right w:val="none" w:color="auto" w:sz="0" w:space="0"/>
            <w:insideH w:val="dotted" w:color="DDDDDD" w:sz="4" w:space="0"/>
            <w:insideV w:val="none" w:color="auto" w:sz="0" w:space="0"/>
          </w:tblBorders>
          <w:tblCellMar>
            <w:top w:w="0" w:type="dxa"/>
            <w:left w:w="0" w:type="dxa"/>
            <w:bottom w:w="0" w:type="dxa"/>
            <w:right w:w="0" w:type="dxa"/>
          </w:tblCellMar>
        </w:tblPrEx>
        <w:tc>
          <w:tcPr>
            <w:tcW w:w="0" w:type="auto"/>
            <w:tcBorders>
              <w:left w:val="nil"/>
              <w:bottom w:val="dotted" w:color="DDDDDD" w:sz="4" w:space="0"/>
              <w:insideH w:val="dotted" w:sz="4" w:space="0"/>
            </w:tcBorders>
            <w:shd w:val="clear" w:color="auto" w:fill="F9E4C8"/>
          </w:tcPr>
          <w:p w14:paraId="177D6CC0">
            <w:pPr>
              <w:pStyle w:val="18"/>
              <w:rPr>
                <w:b/>
                <w:color w:val="000000"/>
                <w:sz w:val="21"/>
                <w:szCs w:val="21"/>
              </w:rPr>
            </w:pPr>
            <w:r>
              <w:rPr>
                <w:b/>
                <w:bCs/>
                <w:color w:val="000000"/>
                <w:sz w:val="21"/>
                <w:szCs w:val="21"/>
              </w:rPr>
              <w:t>痛点二：品牌断裂</w:t>
            </w:r>
          </w:p>
        </w:tc>
        <w:tc>
          <w:tcPr>
            <w:tcW w:w="0" w:type="auto"/>
            <w:shd w:val="clear" w:color="auto" w:fill="auto"/>
          </w:tcPr>
          <w:p w14:paraId="41C1C051">
            <w:pPr>
              <w:pStyle w:val="18"/>
              <w:rPr>
                <w:color w:val="000000"/>
                <w:sz w:val="21"/>
                <w:szCs w:val="21"/>
                <w:lang w:eastAsia="zh-CN"/>
              </w:rPr>
            </w:pPr>
            <w:r>
              <w:rPr>
                <w:color w:val="000000"/>
                <w:sz w:val="21"/>
                <w:szCs w:val="21"/>
                <w:lang w:eastAsia="zh-CN"/>
              </w:rPr>
              <w:t>前任小程序已停运，线上渠道全面断裂；农户溢价接受意愿仅25%</w:t>
            </w:r>
          </w:p>
        </w:tc>
        <w:tc>
          <w:tcPr>
            <w:tcW w:w="0" w:type="auto"/>
            <w:shd w:val="clear" w:color="auto" w:fill="auto"/>
          </w:tcPr>
          <w:p w14:paraId="40FBB09A">
            <w:pPr>
              <w:pStyle w:val="18"/>
              <w:rPr>
                <w:color w:val="000000"/>
                <w:sz w:val="21"/>
                <w:szCs w:val="21"/>
                <w:lang w:eastAsia="zh-CN"/>
              </w:rPr>
            </w:pPr>
            <w:r>
              <w:rPr>
                <w:color w:val="000000"/>
                <w:sz w:val="21"/>
                <w:szCs w:val="21"/>
                <w:lang w:eastAsia="zh-CN"/>
              </w:rPr>
              <w:t>有品牌无运营，溢价能力弱</w:t>
            </w:r>
          </w:p>
        </w:tc>
        <w:tc>
          <w:tcPr>
            <w:tcW w:w="0" w:type="auto"/>
            <w:shd w:val="clear" w:color="auto" w:fill="auto"/>
          </w:tcPr>
          <w:p w14:paraId="12B2E13C">
            <w:pPr>
              <w:pStyle w:val="18"/>
              <w:rPr>
                <w:color w:val="000000"/>
                <w:sz w:val="21"/>
                <w:szCs w:val="21"/>
                <w:lang w:eastAsia="zh-CN"/>
              </w:rPr>
            </w:pPr>
            <w:r>
              <w:rPr>
                <w:color w:val="000000"/>
                <w:sz w:val="21"/>
                <w:szCs w:val="21"/>
                <w:lang w:eastAsia="zh-CN"/>
              </w:rPr>
              <w:t>品牌升级+数字平台重建+内容矩阵持续运营</w:t>
            </w:r>
          </w:p>
        </w:tc>
      </w:tr>
      <w:tr w14:paraId="59F1D82F">
        <w:tblPrEx>
          <w:tblBorders>
            <w:top w:val="single" w:color="F9CF93" w:sz="4" w:space="0"/>
            <w:left w:val="none" w:color="auto" w:sz="0" w:space="0"/>
            <w:bottom w:val="single" w:color="F9CF93" w:sz="4" w:space="0"/>
            <w:right w:val="none" w:color="auto" w:sz="0" w:space="0"/>
            <w:insideH w:val="dotted" w:color="DDDDDD" w:sz="4" w:space="0"/>
            <w:insideV w:val="none" w:color="auto" w:sz="0" w:space="0"/>
          </w:tblBorders>
          <w:tblCellMar>
            <w:top w:w="0" w:type="dxa"/>
            <w:left w:w="0" w:type="dxa"/>
            <w:bottom w:w="0" w:type="dxa"/>
            <w:right w:w="0" w:type="dxa"/>
          </w:tblCellMar>
        </w:tblPrEx>
        <w:tc>
          <w:tcPr>
            <w:tcW w:w="0" w:type="auto"/>
            <w:tcBorders>
              <w:left w:val="nil"/>
              <w:bottom w:val="dotted" w:color="DDDDDD" w:sz="4" w:space="0"/>
              <w:insideH w:val="dotted" w:sz="4" w:space="0"/>
            </w:tcBorders>
            <w:shd w:val="clear" w:color="auto" w:fill="F9E4C8"/>
          </w:tcPr>
          <w:p w14:paraId="48A01BA9">
            <w:pPr>
              <w:pStyle w:val="18"/>
              <w:rPr>
                <w:b/>
                <w:color w:val="000000"/>
                <w:sz w:val="21"/>
                <w:szCs w:val="21"/>
              </w:rPr>
            </w:pPr>
            <w:r>
              <w:rPr>
                <w:b/>
                <w:bCs/>
                <w:color w:val="000000"/>
                <w:sz w:val="21"/>
                <w:szCs w:val="21"/>
              </w:rPr>
              <w:t>痛点三：留不住</w:t>
            </w:r>
          </w:p>
        </w:tc>
        <w:tc>
          <w:tcPr>
            <w:tcW w:w="0" w:type="auto"/>
            <w:shd w:val="clear" w:color="auto" w:fill="auto"/>
          </w:tcPr>
          <w:p w14:paraId="415201EE">
            <w:pPr>
              <w:pStyle w:val="18"/>
              <w:rPr>
                <w:color w:val="000000"/>
                <w:sz w:val="21"/>
                <w:szCs w:val="21"/>
                <w:lang w:eastAsia="zh-CN"/>
              </w:rPr>
            </w:pPr>
            <w:r>
              <w:rPr>
                <w:color w:val="000000"/>
                <w:sz w:val="21"/>
                <w:szCs w:val="21"/>
                <w:lang w:eastAsia="zh-CN"/>
              </w:rPr>
              <w:t>平均停留仅3.2小时；停留-消费</w:t>
            </w:r>
            <w:r>
              <w:rPr>
                <w:color w:val="000000"/>
                <w:sz w:val="21"/>
                <w:szCs w:val="21"/>
              </w:rPr>
              <w:t>β</w:t>
            </w:r>
            <w:r>
              <w:rPr>
                <w:color w:val="000000"/>
                <w:sz w:val="21"/>
                <w:szCs w:val="21"/>
                <w:lang w:eastAsia="zh-CN"/>
              </w:rPr>
              <w:t>=138.15未充分激活</w:t>
            </w:r>
          </w:p>
        </w:tc>
        <w:tc>
          <w:tcPr>
            <w:tcW w:w="0" w:type="auto"/>
            <w:shd w:val="clear" w:color="auto" w:fill="auto"/>
          </w:tcPr>
          <w:p w14:paraId="0220D1A5">
            <w:pPr>
              <w:pStyle w:val="18"/>
              <w:rPr>
                <w:color w:val="000000"/>
                <w:sz w:val="21"/>
                <w:szCs w:val="21"/>
                <w:lang w:eastAsia="zh-CN"/>
              </w:rPr>
            </w:pPr>
            <w:r>
              <w:rPr>
                <w:color w:val="000000"/>
                <w:sz w:val="21"/>
                <w:szCs w:val="21"/>
                <w:lang w:eastAsia="zh-CN"/>
              </w:rPr>
              <w:t>有流量无场景，停留时长不足</w:t>
            </w:r>
          </w:p>
        </w:tc>
        <w:tc>
          <w:tcPr>
            <w:tcW w:w="0" w:type="auto"/>
            <w:shd w:val="clear" w:color="auto" w:fill="auto"/>
          </w:tcPr>
          <w:p w14:paraId="401753AD">
            <w:pPr>
              <w:pStyle w:val="18"/>
              <w:rPr>
                <w:color w:val="000000"/>
                <w:sz w:val="21"/>
                <w:szCs w:val="21"/>
                <w:lang w:eastAsia="zh-CN"/>
              </w:rPr>
            </w:pPr>
            <w:r>
              <w:rPr>
                <w:color w:val="000000"/>
                <w:sz w:val="21"/>
                <w:szCs w:val="21"/>
                <w:lang w:eastAsia="zh-CN"/>
              </w:rPr>
              <w:t>四大核心体验场景+B端研学+骑行联盟承接</w:t>
            </w:r>
          </w:p>
        </w:tc>
      </w:tr>
      <w:tr w14:paraId="52BF8513">
        <w:tblPrEx>
          <w:tblBorders>
            <w:top w:val="single" w:color="F9CF93" w:sz="4" w:space="0"/>
            <w:left w:val="none" w:color="auto" w:sz="0" w:space="0"/>
            <w:bottom w:val="single" w:color="F9CF93" w:sz="4" w:space="0"/>
            <w:right w:val="none" w:color="auto" w:sz="0" w:space="0"/>
            <w:insideH w:val="dotted" w:color="DDDDDD" w:sz="4" w:space="0"/>
            <w:insideV w:val="none" w:color="auto" w:sz="0" w:space="0"/>
          </w:tblBorders>
          <w:tblCellMar>
            <w:top w:w="0" w:type="dxa"/>
            <w:left w:w="0" w:type="dxa"/>
            <w:bottom w:w="0" w:type="dxa"/>
            <w:right w:w="0" w:type="dxa"/>
          </w:tblCellMar>
        </w:tblPrEx>
        <w:tc>
          <w:tcPr>
            <w:tcW w:w="0" w:type="auto"/>
            <w:tcBorders>
              <w:left w:val="nil"/>
              <w:bottom w:val="dotted" w:color="DDDDDD" w:sz="4" w:space="0"/>
              <w:insideH w:val="dotted" w:sz="4" w:space="0"/>
            </w:tcBorders>
            <w:shd w:val="clear" w:color="auto" w:fill="F9E4C8"/>
          </w:tcPr>
          <w:p w14:paraId="2DFF66BB">
            <w:pPr>
              <w:pStyle w:val="18"/>
              <w:rPr>
                <w:b/>
                <w:color w:val="000000"/>
                <w:sz w:val="21"/>
                <w:szCs w:val="21"/>
              </w:rPr>
            </w:pPr>
            <w:r>
              <w:rPr>
                <w:b/>
                <w:bCs/>
                <w:color w:val="000000"/>
                <w:sz w:val="21"/>
                <w:szCs w:val="21"/>
              </w:rPr>
              <w:t>痛点四：季节依赖</w:t>
            </w:r>
          </w:p>
        </w:tc>
        <w:tc>
          <w:tcPr>
            <w:tcW w:w="0" w:type="auto"/>
            <w:shd w:val="clear" w:color="auto" w:fill="auto"/>
          </w:tcPr>
          <w:p w14:paraId="3A14DDBD">
            <w:pPr>
              <w:pStyle w:val="18"/>
              <w:rPr>
                <w:color w:val="000000"/>
                <w:sz w:val="21"/>
                <w:szCs w:val="21"/>
                <w:lang w:eastAsia="zh-CN"/>
              </w:rPr>
            </w:pPr>
            <w:r>
              <w:rPr>
                <w:color w:val="000000"/>
                <w:sz w:val="21"/>
                <w:szCs w:val="21"/>
                <w:lang w:eastAsia="zh-CN"/>
              </w:rPr>
              <w:t>樱桃季仅5-6月，其余10个月无客流；冬季到访意愿仅30%</w:t>
            </w:r>
          </w:p>
        </w:tc>
        <w:tc>
          <w:tcPr>
            <w:tcW w:w="0" w:type="auto"/>
            <w:shd w:val="clear" w:color="auto" w:fill="auto"/>
          </w:tcPr>
          <w:p w14:paraId="4D8B7247">
            <w:pPr>
              <w:pStyle w:val="18"/>
              <w:rPr>
                <w:color w:val="000000"/>
                <w:sz w:val="21"/>
                <w:szCs w:val="21"/>
              </w:rPr>
            </w:pPr>
            <w:r>
              <w:rPr>
                <w:color w:val="000000"/>
                <w:sz w:val="21"/>
                <w:szCs w:val="21"/>
              </w:rPr>
              <w:t>有资源无四季</w:t>
            </w:r>
          </w:p>
        </w:tc>
        <w:tc>
          <w:tcPr>
            <w:tcW w:w="0" w:type="auto"/>
            <w:shd w:val="clear" w:color="auto" w:fill="auto"/>
          </w:tcPr>
          <w:p w14:paraId="79ABE6BB">
            <w:pPr>
              <w:pStyle w:val="18"/>
              <w:rPr>
                <w:color w:val="000000"/>
                <w:sz w:val="21"/>
                <w:szCs w:val="21"/>
                <w:lang w:eastAsia="zh-CN"/>
              </w:rPr>
            </w:pPr>
            <w:r>
              <w:rPr>
                <w:color w:val="000000"/>
                <w:sz w:val="21"/>
                <w:szCs w:val="21"/>
                <w:lang w:eastAsia="zh-CN"/>
              </w:rPr>
              <w:t>四季产品矩阵+林菌电商+年货预售</w:t>
            </w:r>
          </w:p>
        </w:tc>
      </w:tr>
      <w:tr w14:paraId="7142F3F3">
        <w:tblPrEx>
          <w:tblBorders>
            <w:top w:val="single" w:color="F9CF93" w:sz="4" w:space="0"/>
            <w:left w:val="none" w:color="auto" w:sz="0" w:space="0"/>
            <w:bottom w:val="single" w:color="F9CF93" w:sz="4" w:space="0"/>
            <w:right w:val="none" w:color="auto" w:sz="0" w:space="0"/>
            <w:insideH w:val="dotted" w:color="DDDDDD" w:sz="4" w:space="0"/>
            <w:insideV w:val="none" w:color="auto" w:sz="0" w:space="0"/>
          </w:tblBorders>
          <w:tblCellMar>
            <w:top w:w="0" w:type="dxa"/>
            <w:left w:w="0" w:type="dxa"/>
            <w:bottom w:w="0" w:type="dxa"/>
            <w:right w:w="0" w:type="dxa"/>
          </w:tblCellMar>
        </w:tblPrEx>
        <w:tc>
          <w:tcPr>
            <w:tcW w:w="0" w:type="auto"/>
            <w:tcBorders>
              <w:left w:val="nil"/>
              <w:bottom w:val="dotted" w:color="DDDDDD" w:sz="4" w:space="0"/>
              <w:insideH w:val="dotted" w:sz="4" w:space="0"/>
            </w:tcBorders>
            <w:shd w:val="clear" w:color="auto" w:fill="F9E4C8"/>
          </w:tcPr>
          <w:p w14:paraId="18610E89">
            <w:pPr>
              <w:pStyle w:val="18"/>
              <w:rPr>
                <w:b/>
                <w:color w:val="000000"/>
                <w:sz w:val="21"/>
                <w:szCs w:val="21"/>
              </w:rPr>
            </w:pPr>
            <w:r>
              <w:rPr>
                <w:b/>
                <w:bCs/>
                <w:color w:val="000000"/>
                <w:sz w:val="21"/>
                <w:szCs w:val="21"/>
              </w:rPr>
              <w:t>痛点五：区域孤立</w:t>
            </w:r>
          </w:p>
        </w:tc>
        <w:tc>
          <w:tcPr>
            <w:tcW w:w="0" w:type="auto"/>
            <w:shd w:val="clear" w:color="auto" w:fill="auto"/>
          </w:tcPr>
          <w:p w14:paraId="5E774F12">
            <w:pPr>
              <w:pStyle w:val="18"/>
              <w:rPr>
                <w:color w:val="000000"/>
                <w:sz w:val="21"/>
                <w:szCs w:val="21"/>
                <w:lang w:eastAsia="zh-CN"/>
              </w:rPr>
            </w:pPr>
            <w:r>
              <w:rPr>
                <w:color w:val="000000"/>
                <w:sz w:val="21"/>
                <w:szCs w:val="21"/>
                <w:lang w:eastAsia="zh-CN"/>
              </w:rPr>
              <w:t>当前未与周边村庄形成联动；骑行者过境率76.7%</w:t>
            </w:r>
          </w:p>
        </w:tc>
        <w:tc>
          <w:tcPr>
            <w:tcW w:w="0" w:type="auto"/>
            <w:shd w:val="clear" w:color="auto" w:fill="auto"/>
          </w:tcPr>
          <w:p w14:paraId="22215350">
            <w:pPr>
              <w:pStyle w:val="18"/>
              <w:rPr>
                <w:color w:val="000000"/>
                <w:sz w:val="21"/>
                <w:szCs w:val="21"/>
              </w:rPr>
            </w:pPr>
            <w:r>
              <w:rPr>
                <w:color w:val="000000"/>
                <w:sz w:val="21"/>
                <w:szCs w:val="21"/>
              </w:rPr>
              <w:t>有点无线，过境不留</w:t>
            </w:r>
          </w:p>
        </w:tc>
        <w:tc>
          <w:tcPr>
            <w:tcW w:w="0" w:type="auto"/>
            <w:shd w:val="clear" w:color="auto" w:fill="auto"/>
          </w:tcPr>
          <w:p w14:paraId="7385DB82">
            <w:pPr>
              <w:pStyle w:val="18"/>
              <w:rPr>
                <w:color w:val="000000"/>
                <w:sz w:val="21"/>
                <w:szCs w:val="21"/>
                <w:lang w:eastAsia="zh-CN"/>
              </w:rPr>
            </w:pPr>
            <w:r>
              <w:rPr>
                <w:color w:val="000000"/>
                <w:sz w:val="21"/>
                <w:szCs w:val="21"/>
                <w:lang w:eastAsia="zh-CN"/>
              </w:rPr>
              <w:t>北片骑行联盟+多村分润+小程序积分互通</w:t>
            </w:r>
          </w:p>
        </w:tc>
      </w:tr>
      <w:tr w14:paraId="2AF5E439">
        <w:tblPrEx>
          <w:tblBorders>
            <w:top w:val="single" w:color="F9CF93" w:sz="4" w:space="0"/>
            <w:left w:val="none" w:color="auto" w:sz="0" w:space="0"/>
            <w:bottom w:val="single" w:color="F9CF93" w:sz="4" w:space="0"/>
            <w:right w:val="none" w:color="auto" w:sz="0" w:space="0"/>
            <w:insideH w:val="dotted" w:color="DDDDDD" w:sz="4" w:space="0"/>
            <w:insideV w:val="none" w:color="auto" w:sz="0" w:space="0"/>
          </w:tblBorders>
          <w:tblCellMar>
            <w:top w:w="0" w:type="dxa"/>
            <w:left w:w="0" w:type="dxa"/>
            <w:bottom w:w="0" w:type="dxa"/>
            <w:right w:w="0" w:type="dxa"/>
          </w:tblCellMar>
        </w:tblPrEx>
        <w:tc>
          <w:tcPr>
            <w:tcW w:w="0" w:type="auto"/>
            <w:tcBorders>
              <w:left w:val="nil"/>
              <w:bottom w:val="dotted" w:color="DDDDDD" w:sz="4" w:space="0"/>
              <w:insideH w:val="dotted" w:sz="4" w:space="0"/>
            </w:tcBorders>
            <w:shd w:val="clear" w:color="auto" w:fill="F9E4C8"/>
          </w:tcPr>
          <w:p w14:paraId="30959682">
            <w:pPr>
              <w:pStyle w:val="18"/>
              <w:rPr>
                <w:b/>
                <w:color w:val="000000"/>
                <w:sz w:val="21"/>
                <w:szCs w:val="21"/>
                <w:lang w:eastAsia="zh-CN"/>
              </w:rPr>
            </w:pPr>
            <w:r>
              <w:rPr>
                <w:b/>
                <w:bCs/>
                <w:color w:val="000000"/>
                <w:sz w:val="21"/>
                <w:szCs w:val="21"/>
                <w:lang w:eastAsia="zh-CN"/>
              </w:rPr>
              <w:t>痛点六：政策理解偏差</w:t>
            </w:r>
          </w:p>
        </w:tc>
        <w:tc>
          <w:tcPr>
            <w:tcW w:w="0" w:type="auto"/>
            <w:shd w:val="clear" w:color="auto" w:fill="auto"/>
          </w:tcPr>
          <w:p w14:paraId="75BBBBFC">
            <w:pPr>
              <w:pStyle w:val="18"/>
              <w:rPr>
                <w:color w:val="000000"/>
                <w:sz w:val="21"/>
                <w:szCs w:val="21"/>
                <w:lang w:eastAsia="zh-CN"/>
              </w:rPr>
            </w:pPr>
            <w:r>
              <w:rPr>
                <w:color w:val="000000"/>
                <w:sz w:val="21"/>
                <w:szCs w:val="21"/>
                <w:lang w:eastAsia="zh-CN"/>
              </w:rPr>
              <w:t>71.5%消费者愿付20%以上溢价，但村委会视保护区为限制</w:t>
            </w:r>
          </w:p>
        </w:tc>
        <w:tc>
          <w:tcPr>
            <w:tcW w:w="0" w:type="auto"/>
            <w:shd w:val="clear" w:color="auto" w:fill="auto"/>
          </w:tcPr>
          <w:p w14:paraId="3E27ACAE">
            <w:pPr>
              <w:pStyle w:val="18"/>
              <w:rPr>
                <w:color w:val="000000"/>
                <w:sz w:val="21"/>
                <w:szCs w:val="21"/>
              </w:rPr>
            </w:pPr>
            <w:r>
              <w:rPr>
                <w:color w:val="000000"/>
                <w:sz w:val="21"/>
                <w:szCs w:val="21"/>
              </w:rPr>
              <w:t>有约束无转化</w:t>
            </w:r>
          </w:p>
        </w:tc>
        <w:tc>
          <w:tcPr>
            <w:tcW w:w="0" w:type="auto"/>
            <w:shd w:val="clear" w:color="auto" w:fill="auto"/>
          </w:tcPr>
          <w:p w14:paraId="13186C0D">
            <w:pPr>
              <w:pStyle w:val="18"/>
              <w:rPr>
                <w:color w:val="000000"/>
                <w:sz w:val="21"/>
                <w:szCs w:val="21"/>
                <w:lang w:eastAsia="zh-CN"/>
              </w:rPr>
            </w:pPr>
            <w:r>
              <w:rPr>
                <w:color w:val="000000"/>
                <w:sz w:val="21"/>
                <w:szCs w:val="21"/>
                <w:lang w:eastAsia="zh-CN"/>
              </w:rPr>
              <w:t>生态约束价值转化模型+水源地认证体系</w:t>
            </w:r>
          </w:p>
        </w:tc>
      </w:tr>
      <w:tr w14:paraId="4D427FC3">
        <w:tblPrEx>
          <w:tblBorders>
            <w:top w:val="single" w:color="F9CF93" w:sz="4" w:space="0"/>
            <w:left w:val="none" w:color="auto" w:sz="0" w:space="0"/>
            <w:bottom w:val="single" w:color="F9CF93" w:sz="4" w:space="0"/>
            <w:right w:val="none" w:color="auto" w:sz="0" w:space="0"/>
            <w:insideH w:val="dotted" w:color="DDDDDD" w:sz="4" w:space="0"/>
            <w:insideV w:val="none" w:color="auto" w:sz="0" w:space="0"/>
          </w:tblBorders>
          <w:tblCellMar>
            <w:top w:w="0" w:type="dxa"/>
            <w:left w:w="108" w:type="dxa"/>
            <w:bottom w:w="0" w:type="dxa"/>
            <w:right w:w="108" w:type="dxa"/>
          </w:tblCellMar>
        </w:tblPrEx>
        <w:tc>
          <w:tcPr>
            <w:tcW w:w="1256" w:type="dxa"/>
            <w:tcBorders>
              <w:left w:val="nil"/>
              <w:bottom w:val="dotted" w:color="DDDDDD" w:sz="4" w:space="0"/>
              <w:insideH w:val="dotted" w:sz="4" w:space="0"/>
            </w:tcBorders>
            <w:shd w:val="clear" w:color="auto" w:fill="F9E4C8"/>
          </w:tcPr>
          <w:p w14:paraId="444A4559">
            <w:pPr>
              <w:spacing w:after="200" w:line="240" w:lineRule="auto"/>
              <w:rPr>
                <w:rFonts w:hint="eastAsia"/>
                <w:b/>
                <w:color w:val="000000"/>
                <w:kern w:val="0"/>
                <w:sz w:val="21"/>
                <w:szCs w:val="21"/>
                <w:lang w:eastAsia="en-US"/>
                <w14:ligatures w14:val="none"/>
              </w:rPr>
            </w:pPr>
            <w:r>
              <w:rPr>
                <w:rFonts w:hint="eastAsia" w:ascii="宋体" w:hAnsi="宋体" w:eastAsia="宋体"/>
                <w:b/>
                <w:color w:val="000000"/>
                <w:kern w:val="0"/>
                <w:sz w:val="21"/>
                <w:szCs w:val="21"/>
                <w:lang w:eastAsia="zh-CN"/>
                <w14:ligatures w14:val="none"/>
              </w:rPr>
              <w:t>痛点七</w:t>
            </w:r>
            <w:r>
              <w:rPr>
                <w:rFonts w:ascii="宋体" w:hAnsi="宋体" w:eastAsia="宋体"/>
                <w:b/>
                <w:color w:val="000000"/>
                <w:kern w:val="0"/>
                <w:sz w:val="21"/>
                <w:szCs w:val="21"/>
                <w:lang w:eastAsia="en-US"/>
                <w14:ligatures w14:val="none"/>
              </w:rPr>
              <w:t>极端天气风险</w:t>
            </w:r>
          </w:p>
        </w:tc>
        <w:tc>
          <w:tcPr>
            <w:tcW w:w="3425" w:type="dxa"/>
            <w:shd w:val="clear" w:color="auto" w:fill="auto"/>
          </w:tcPr>
          <w:p w14:paraId="70535254">
            <w:pPr>
              <w:spacing w:after="200" w:line="240" w:lineRule="auto"/>
              <w:rPr>
                <w:rFonts w:hint="eastAsia"/>
                <w:color w:val="000000"/>
                <w:kern w:val="0"/>
                <w:sz w:val="21"/>
                <w:szCs w:val="21"/>
                <w:lang w:eastAsia="zh-CN"/>
                <w14:ligatures w14:val="none"/>
              </w:rPr>
            </w:pPr>
            <w:r>
              <w:rPr>
                <w:rFonts w:ascii="宋体" w:hAnsi="宋体" w:eastAsia="宋体"/>
                <w:color w:val="000000"/>
                <w:kern w:val="0"/>
                <w:sz w:val="21"/>
                <w:szCs w:val="21"/>
                <w:lang w:eastAsia="zh-CN"/>
                <w14:ligatures w14:val="none"/>
              </w:rPr>
              <w:t>2024年倒春寒全年绝产,缺乏防冻/烟熏等农业科学管护能力</w:t>
            </w:r>
          </w:p>
        </w:tc>
        <w:tc>
          <w:tcPr>
            <w:tcW w:w="1540" w:type="dxa"/>
            <w:shd w:val="clear" w:color="auto" w:fill="auto"/>
          </w:tcPr>
          <w:p w14:paraId="478A490A">
            <w:pPr>
              <w:spacing w:after="200" w:line="240" w:lineRule="auto"/>
              <w:rPr>
                <w:rFonts w:hint="eastAsia"/>
                <w:color w:val="000000"/>
                <w:kern w:val="0"/>
                <w:sz w:val="21"/>
                <w:szCs w:val="21"/>
                <w:lang w:eastAsia="en-US"/>
                <w14:ligatures w14:val="none"/>
              </w:rPr>
            </w:pPr>
            <w:r>
              <w:rPr>
                <w:rFonts w:ascii="宋体" w:hAnsi="宋体" w:eastAsia="宋体"/>
                <w:color w:val="000000"/>
                <w:kern w:val="0"/>
                <w:sz w:val="21"/>
                <w:szCs w:val="21"/>
                <w:lang w:eastAsia="en-US"/>
                <w14:ligatures w14:val="none"/>
              </w:rPr>
              <w:t>有产业无韧性</w:t>
            </w:r>
          </w:p>
        </w:tc>
        <w:tc>
          <w:tcPr>
            <w:tcW w:w="2084" w:type="dxa"/>
            <w:shd w:val="clear" w:color="auto" w:fill="auto"/>
          </w:tcPr>
          <w:p w14:paraId="1F20ED76">
            <w:pPr>
              <w:spacing w:after="200" w:line="240" w:lineRule="auto"/>
              <w:rPr>
                <w:rFonts w:hint="eastAsia"/>
                <w:color w:val="000000"/>
                <w:kern w:val="0"/>
                <w:sz w:val="21"/>
                <w:szCs w:val="21"/>
                <w:lang w:eastAsia="zh-CN"/>
                <w14:ligatures w14:val="none"/>
              </w:rPr>
            </w:pPr>
            <w:r>
              <w:rPr>
                <w:rFonts w:ascii="宋体" w:hAnsi="宋体" w:eastAsia="宋体"/>
                <w:color w:val="000000"/>
                <w:kern w:val="0"/>
                <w:sz w:val="21"/>
                <w:szCs w:val="21"/>
                <w:lang w:eastAsia="zh-CN"/>
                <w14:ligatures w14:val="none"/>
              </w:rPr>
              <w:t>林下经济作为认养绝产年等额替代资产+对接农科院提供防冻技术指导</w:t>
            </w:r>
          </w:p>
        </w:tc>
      </w:tr>
      <w:tr w14:paraId="13DE30F5">
        <w:tblPrEx>
          <w:tblBorders>
            <w:top w:val="single" w:color="F9CF93" w:sz="4" w:space="0"/>
            <w:left w:val="none" w:color="auto" w:sz="0" w:space="0"/>
            <w:bottom w:val="single" w:color="F9CF93" w:sz="4" w:space="0"/>
            <w:right w:val="none" w:color="auto" w:sz="0" w:space="0"/>
            <w:insideH w:val="dotted" w:color="DDDDDD" w:sz="4" w:space="0"/>
            <w:insideV w:val="none" w:color="auto" w:sz="0" w:space="0"/>
          </w:tblBorders>
          <w:tblCellMar>
            <w:top w:w="0" w:type="dxa"/>
            <w:left w:w="108" w:type="dxa"/>
            <w:bottom w:w="0" w:type="dxa"/>
            <w:right w:w="108" w:type="dxa"/>
          </w:tblCellMar>
        </w:tblPrEx>
        <w:tc>
          <w:tcPr>
            <w:tcW w:w="1256" w:type="dxa"/>
            <w:tcBorders>
              <w:left w:val="nil"/>
              <w:bottom w:val="single" w:color="F9CF93" w:sz="4" w:space="0"/>
              <w:insideH w:val="dotted" w:sz="4" w:space="0"/>
            </w:tcBorders>
            <w:shd w:val="clear" w:color="auto" w:fill="F9E4C8"/>
          </w:tcPr>
          <w:p w14:paraId="0B2C4904">
            <w:pPr>
              <w:spacing w:after="200" w:line="240" w:lineRule="auto"/>
              <w:rPr>
                <w:rFonts w:hint="eastAsia"/>
                <w:b/>
                <w:color w:val="000000"/>
                <w:kern w:val="0"/>
                <w:sz w:val="21"/>
                <w:szCs w:val="21"/>
                <w:lang w:eastAsia="en-US"/>
                <w14:ligatures w14:val="none"/>
              </w:rPr>
            </w:pPr>
            <w:r>
              <w:rPr>
                <w:rFonts w:hint="eastAsia" w:ascii="宋体" w:hAnsi="宋体" w:eastAsia="宋体"/>
                <w:b/>
                <w:color w:val="000000"/>
                <w:kern w:val="0"/>
                <w:sz w:val="21"/>
                <w:szCs w:val="21"/>
                <w:lang w:eastAsia="zh-CN"/>
                <w14:ligatures w14:val="none"/>
              </w:rPr>
              <w:t>痛点八：</w:t>
            </w:r>
            <w:r>
              <w:rPr>
                <w:rFonts w:ascii="宋体" w:hAnsi="宋体" w:eastAsia="宋体"/>
                <w:b/>
                <w:color w:val="000000"/>
                <w:kern w:val="0"/>
                <w:sz w:val="21"/>
                <w:szCs w:val="21"/>
                <w:lang w:eastAsia="en-US"/>
                <w14:ligatures w14:val="none"/>
              </w:rPr>
              <w:t>村民老龄化</w:t>
            </w:r>
          </w:p>
        </w:tc>
        <w:tc>
          <w:tcPr>
            <w:tcW w:w="3425" w:type="dxa"/>
            <w:shd w:val="clear" w:color="auto" w:fill="auto"/>
          </w:tcPr>
          <w:p w14:paraId="3CF9C484">
            <w:pPr>
              <w:spacing w:after="200" w:line="240" w:lineRule="auto"/>
              <w:rPr>
                <w:rFonts w:hint="eastAsia"/>
                <w:color w:val="000000"/>
                <w:kern w:val="0"/>
                <w:sz w:val="21"/>
                <w:szCs w:val="21"/>
                <w:lang w:eastAsia="zh-CN"/>
                <w14:ligatures w14:val="none"/>
              </w:rPr>
            </w:pPr>
            <w:r>
              <w:rPr>
                <w:rFonts w:ascii="宋体" w:hAnsi="宋体" w:eastAsia="宋体"/>
                <w:color w:val="000000"/>
                <w:kern w:val="0"/>
                <w:sz w:val="21"/>
                <w:szCs w:val="21"/>
                <w:lang w:eastAsia="zh-CN"/>
                <w14:ligatures w14:val="none"/>
              </w:rPr>
              <w:t>户籍人口约600人,60岁以上近270人,数字化操作能力有限</w:t>
            </w:r>
          </w:p>
        </w:tc>
        <w:tc>
          <w:tcPr>
            <w:tcW w:w="1540" w:type="dxa"/>
            <w:shd w:val="clear" w:color="auto" w:fill="auto"/>
          </w:tcPr>
          <w:p w14:paraId="54F4E048">
            <w:pPr>
              <w:spacing w:after="200" w:line="240" w:lineRule="auto"/>
              <w:rPr>
                <w:rFonts w:hint="eastAsia"/>
                <w:color w:val="000000"/>
                <w:kern w:val="0"/>
                <w:sz w:val="21"/>
                <w:szCs w:val="21"/>
                <w:lang w:eastAsia="en-US"/>
                <w14:ligatures w14:val="none"/>
              </w:rPr>
            </w:pPr>
            <w:r>
              <w:rPr>
                <w:rFonts w:ascii="宋体" w:hAnsi="宋体" w:eastAsia="宋体"/>
                <w:color w:val="000000"/>
                <w:kern w:val="0"/>
                <w:sz w:val="21"/>
                <w:szCs w:val="21"/>
                <w:lang w:eastAsia="en-US"/>
                <w14:ligatures w14:val="none"/>
              </w:rPr>
              <w:t>有劳力无数字化适配</w:t>
            </w:r>
          </w:p>
        </w:tc>
        <w:tc>
          <w:tcPr>
            <w:tcW w:w="2084" w:type="dxa"/>
            <w:shd w:val="clear" w:color="auto" w:fill="auto"/>
          </w:tcPr>
          <w:p w14:paraId="514D0C50">
            <w:pPr>
              <w:spacing w:after="200" w:line="240" w:lineRule="auto"/>
              <w:rPr>
                <w:rFonts w:hint="eastAsia"/>
                <w:color w:val="000000"/>
                <w:kern w:val="0"/>
                <w:sz w:val="21"/>
                <w:szCs w:val="21"/>
                <w:lang w:eastAsia="zh-CN"/>
                <w14:ligatures w14:val="none"/>
              </w:rPr>
            </w:pPr>
            <w:r>
              <w:rPr>
                <w:rFonts w:ascii="宋体" w:hAnsi="宋体" w:eastAsia="宋体"/>
                <w:color w:val="000000"/>
                <w:kern w:val="0"/>
                <w:sz w:val="21"/>
                <w:szCs w:val="21"/>
                <w:lang w:eastAsia="zh-CN"/>
                <w14:ligatures w14:val="none"/>
              </w:rPr>
              <w:t>认养管家一人多岗设计+标准化培训+数字工具降低操作门槛</w:t>
            </w:r>
          </w:p>
        </w:tc>
      </w:tr>
    </w:tbl>
    <w:p w14:paraId="36412CB5">
      <w:pPr>
        <w:pStyle w:val="7"/>
        <w:rPr>
          <w:rFonts w:hint="eastAsia"/>
        </w:rPr>
      </w:pPr>
      <w:r>
        <w:rPr>
          <w:b/>
          <w:bCs/>
        </w:rPr>
        <w:t>关键验证</w:t>
      </w:r>
      <w:r>
        <w:t>：骑行兴趣与消费金额相关系数r=0.098（p&gt;0.05），显示</w:t>
      </w:r>
      <w:r>
        <w:rPr>
          <w:b/>
          <w:bCs/>
        </w:rPr>
        <w:t>单纯的骑行兴趣并不直接转化为高消费</w:t>
      </w:r>
      <w:r>
        <w:t>，必须通过”骑行终点=消费闭环”的设计（策划书6.2节三条路线终点均设在樱桃园）实现流量转化。</w:t>
      </w:r>
    </w:p>
    <w:p w14:paraId="0A058DC1">
      <w:pPr>
        <w:rPr>
          <w:rFonts w:hint="eastAsia" w:ascii="宋体" w:hAnsi="宋体"/>
          <w:b/>
          <w:bCs/>
          <w:sz w:val="28"/>
          <w:szCs w:val="28"/>
        </w:rPr>
      </w:pPr>
    </w:p>
    <w:p w14:paraId="2F64B4EF">
      <w:pPr>
        <w:pStyle w:val="3"/>
        <w:bidi w:val="0"/>
        <w:rPr>
          <w:rFonts w:hint="eastAsia"/>
        </w:rPr>
      </w:pPr>
      <w:bookmarkStart w:id="54" w:name="_Toc19886"/>
      <w:r>
        <w:rPr>
          <w:rFonts w:hint="eastAsia"/>
        </w:rPr>
        <w:t>3.7  行业与市场环境分析</w:t>
      </w:r>
      <w:bookmarkEnd w:id="54"/>
    </w:p>
    <w:p w14:paraId="74697344">
      <w:pPr>
        <w:ind w:firstLine="420"/>
        <w:rPr>
          <w:rFonts w:hint="eastAsia" w:ascii="宋体" w:hAnsi="宋体"/>
          <w:sz w:val="21"/>
          <w:szCs w:val="21"/>
        </w:rPr>
      </w:pPr>
      <w:r>
        <w:rPr>
          <w:rFonts w:hint="eastAsia" w:ascii="宋体" w:hAnsi="宋体"/>
          <w:sz w:val="21"/>
          <w:szCs w:val="21"/>
        </w:rPr>
        <w:t>团队基于2025年最新行业数据，系统梳理了京郊乡村旅游、樱桃产业、骑行休闲、政策环境、竞品对标及技术应用六大维度的市场环境，为本项目方案设计提供数据底座和决策依据。</w:t>
      </w:r>
    </w:p>
    <w:p w14:paraId="09C0C935">
      <w:pPr>
        <w:pStyle w:val="4"/>
        <w:bidi w:val="0"/>
        <w:rPr>
          <w:rFonts w:hint="eastAsia"/>
        </w:rPr>
      </w:pPr>
      <w:bookmarkStart w:id="55" w:name="_Toc31695"/>
      <w:r>
        <w:rPr>
          <w:rFonts w:hint="eastAsia"/>
        </w:rPr>
        <w:t>3.7.1</w:t>
      </w:r>
      <w:r>
        <w:t>京郊乡村旅游市场趋势</w:t>
      </w:r>
      <w:bookmarkEnd w:id="55"/>
    </w:p>
    <w:p w14:paraId="0C1E2D7C">
      <w:pPr>
        <w:ind w:firstLine="420"/>
        <w:rPr>
          <w:rFonts w:hint="eastAsia" w:ascii="宋体" w:hAnsi="宋体"/>
          <w:sz w:val="21"/>
          <w:szCs w:val="21"/>
        </w:rPr>
      </w:pPr>
      <w:r>
        <w:rPr>
          <w:rFonts w:hint="eastAsia" w:ascii="宋体" w:hAnsi="宋体"/>
          <w:sz w:val="21"/>
          <w:szCs w:val="21"/>
        </w:rPr>
        <w:t>随着</w:t>
      </w:r>
      <w:r>
        <w:rPr>
          <w:rFonts w:ascii="宋体" w:hAnsi="宋体"/>
          <w:sz w:val="21"/>
          <w:szCs w:val="21"/>
        </w:rPr>
        <w:t>后疫情时代消费习惯深度重塑，北京近郊乡村旅游呈现</w:t>
      </w:r>
      <w:r>
        <w:rPr>
          <w:rFonts w:ascii="宋体" w:hAnsi="宋体"/>
          <w:b/>
          <w:bCs/>
          <w:sz w:val="21"/>
          <w:szCs w:val="21"/>
        </w:rPr>
        <w:t>“周末经济常态化、体验消费品质化、数字融合加速化”</w:t>
      </w:r>
      <w:r>
        <w:rPr>
          <w:rFonts w:ascii="宋体" w:hAnsi="宋体"/>
          <w:sz w:val="21"/>
          <w:szCs w:val="21"/>
        </w:rPr>
        <w:t>三大特征。2025年，京郊乡村旅游市场持续扩大，消费者对“微度假”产品的支付意愿和体验要求同步提升。</w:t>
      </w:r>
    </w:p>
    <w:p w14:paraId="681B2782">
      <w:pPr>
        <w:ind w:firstLine="420"/>
        <w:jc w:val="center"/>
        <w:rPr>
          <w:rFonts w:hint="eastAsia" w:ascii="宋体" w:hAnsi="宋体"/>
          <w:sz w:val="21"/>
          <w:szCs w:val="21"/>
        </w:rPr>
      </w:pPr>
      <w:r>
        <w:rPr>
          <w:rFonts w:hint="eastAsia" w:ascii="宋体" w:hAnsi="宋体"/>
          <w:sz w:val="21"/>
          <w:szCs w:val="21"/>
        </w:rPr>
        <w:t xml:space="preserve">表 </w:t>
      </w:r>
      <w:r>
        <w:rPr>
          <w:rFonts w:ascii="宋体" w:hAnsi="宋体"/>
          <w:sz w:val="21"/>
          <w:szCs w:val="21"/>
        </w:rPr>
        <w:t>1</w:t>
      </w:r>
      <w:r>
        <w:rPr>
          <w:rFonts w:hint="eastAsia" w:ascii="宋体" w:hAnsi="宋体"/>
          <w:sz w:val="21"/>
          <w:szCs w:val="21"/>
        </w:rPr>
        <w:t xml:space="preserve"> </w:t>
      </w:r>
      <w:r>
        <w:rPr>
          <w:rFonts w:ascii="宋体" w:hAnsi="宋体"/>
          <w:sz w:val="21"/>
          <w:szCs w:val="21"/>
        </w:rPr>
        <w:t>京郊乡村旅游市场关键数据（2021-2025年）</w:t>
      </w:r>
    </w:p>
    <w:tbl>
      <w:tblPr>
        <w:tblStyle w:val="24"/>
        <w:tblW w:w="5137" w:type="pct"/>
        <w:tblInd w:w="0" w:type="dxa"/>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52"/>
        <w:gridCol w:w="1017"/>
        <w:gridCol w:w="1017"/>
        <w:gridCol w:w="1017"/>
        <w:gridCol w:w="1017"/>
        <w:gridCol w:w="1277"/>
        <w:gridCol w:w="1859"/>
      </w:tblGrid>
      <w:tr w14:paraId="5A8460A1">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86" w:type="pct"/>
            <w:tcBorders>
              <w:top w:val="single" w:color="000000" w:themeColor="text1" w:sz="18" w:space="0"/>
              <w:bottom w:val="single" w:color="000000" w:themeColor="text1" w:sz="12" w:space="0"/>
            </w:tcBorders>
          </w:tcPr>
          <w:p w14:paraId="11CC9A5B">
            <w:pPr>
              <w:spacing w:after="160" w:line="278" w:lineRule="auto"/>
              <w:ind w:firstLine="0" w:firstLineChars="0"/>
              <w:rPr>
                <w:rFonts w:hint="eastAsia" w:ascii="宋体" w:hAnsi="宋体"/>
                <w:b w:val="0"/>
                <w:bCs w:val="0"/>
                <w:color w:val="000000" w:themeColor="text1"/>
                <w:sz w:val="21"/>
                <w:szCs w:val="21"/>
                <w14:textFill>
                  <w14:solidFill>
                    <w14:schemeClr w14:val="tx1"/>
                  </w14:solidFill>
                </w14:textFill>
              </w:rPr>
            </w:pPr>
            <w:r>
              <w:rPr>
                <w:rFonts w:ascii="宋体" w:hAnsi="宋体"/>
                <w:b w:val="0"/>
                <w:bCs w:val="0"/>
                <w:color w:val="000000" w:themeColor="text1"/>
                <w:sz w:val="21"/>
                <w:szCs w:val="21"/>
                <w14:textFill>
                  <w14:solidFill>
                    <w14:schemeClr w14:val="tx1"/>
                  </w14:solidFill>
                </w14:textFill>
              </w:rPr>
              <w:t>指标</w:t>
            </w:r>
          </w:p>
        </w:tc>
        <w:tc>
          <w:tcPr>
            <w:tcW w:w="581" w:type="pct"/>
            <w:tcBorders>
              <w:top w:val="single" w:color="000000" w:themeColor="text1" w:sz="18" w:space="0"/>
              <w:bottom w:val="single" w:color="000000" w:themeColor="text1" w:sz="12" w:space="0"/>
            </w:tcBorders>
          </w:tcPr>
          <w:p w14:paraId="480C4EFC">
            <w:pPr>
              <w:spacing w:after="160" w:line="278" w:lineRule="auto"/>
              <w:ind w:firstLine="0" w:firstLineChars="0"/>
              <w:rPr>
                <w:rFonts w:hint="eastAsia" w:ascii="宋体" w:hAnsi="宋体"/>
                <w:b w:val="0"/>
                <w:bCs w:val="0"/>
                <w:color w:val="000000" w:themeColor="text1"/>
                <w:sz w:val="21"/>
                <w:szCs w:val="21"/>
                <w14:textFill>
                  <w14:solidFill>
                    <w14:schemeClr w14:val="tx1"/>
                  </w14:solidFill>
                </w14:textFill>
              </w:rPr>
            </w:pPr>
            <w:r>
              <w:rPr>
                <w:rFonts w:ascii="宋体" w:hAnsi="宋体"/>
                <w:b w:val="0"/>
                <w:bCs w:val="0"/>
                <w:color w:val="000000" w:themeColor="text1"/>
                <w:sz w:val="21"/>
                <w:szCs w:val="21"/>
                <w14:textFill>
                  <w14:solidFill>
                    <w14:schemeClr w14:val="tx1"/>
                  </w14:solidFill>
                </w14:textFill>
              </w:rPr>
              <w:t>2021</w:t>
            </w:r>
            <w:r>
              <w:rPr>
                <w:rFonts w:hint="eastAsia" w:ascii="宋体" w:hAnsi="宋体" w:cs="宋体"/>
                <w:b w:val="0"/>
                <w:bCs w:val="0"/>
                <w:color w:val="000000" w:themeColor="text1"/>
                <w:sz w:val="21"/>
                <w:szCs w:val="21"/>
                <w14:textFill>
                  <w14:solidFill>
                    <w14:schemeClr w14:val="tx1"/>
                  </w14:solidFill>
                </w14:textFill>
              </w:rPr>
              <w:t>年</w:t>
            </w:r>
          </w:p>
        </w:tc>
        <w:tc>
          <w:tcPr>
            <w:tcW w:w="581" w:type="pct"/>
            <w:tcBorders>
              <w:top w:val="single" w:color="000000" w:themeColor="text1" w:sz="18" w:space="0"/>
              <w:bottom w:val="single" w:color="000000" w:themeColor="text1" w:sz="12" w:space="0"/>
            </w:tcBorders>
          </w:tcPr>
          <w:p w14:paraId="2FC51810">
            <w:pPr>
              <w:spacing w:after="160" w:line="278" w:lineRule="auto"/>
              <w:ind w:firstLine="0" w:firstLineChars="0"/>
              <w:rPr>
                <w:rFonts w:hint="eastAsia" w:ascii="宋体" w:hAnsi="宋体"/>
                <w:b w:val="0"/>
                <w:bCs w:val="0"/>
                <w:color w:val="000000" w:themeColor="text1"/>
                <w:sz w:val="21"/>
                <w:szCs w:val="21"/>
                <w14:textFill>
                  <w14:solidFill>
                    <w14:schemeClr w14:val="tx1"/>
                  </w14:solidFill>
                </w14:textFill>
              </w:rPr>
            </w:pPr>
            <w:r>
              <w:rPr>
                <w:rFonts w:ascii="宋体" w:hAnsi="宋体"/>
                <w:b w:val="0"/>
                <w:bCs w:val="0"/>
                <w:color w:val="000000" w:themeColor="text1"/>
                <w:sz w:val="21"/>
                <w:szCs w:val="21"/>
                <w14:textFill>
                  <w14:solidFill>
                    <w14:schemeClr w14:val="tx1"/>
                  </w14:solidFill>
                </w14:textFill>
              </w:rPr>
              <w:t>2022</w:t>
            </w:r>
            <w:r>
              <w:rPr>
                <w:rFonts w:hint="eastAsia" w:ascii="宋体" w:hAnsi="宋体" w:cs="宋体"/>
                <w:b w:val="0"/>
                <w:bCs w:val="0"/>
                <w:color w:val="000000" w:themeColor="text1"/>
                <w:sz w:val="21"/>
                <w:szCs w:val="21"/>
                <w14:textFill>
                  <w14:solidFill>
                    <w14:schemeClr w14:val="tx1"/>
                  </w14:solidFill>
                </w14:textFill>
              </w:rPr>
              <w:t>年</w:t>
            </w:r>
          </w:p>
        </w:tc>
        <w:tc>
          <w:tcPr>
            <w:tcW w:w="581" w:type="pct"/>
            <w:tcBorders>
              <w:top w:val="single" w:color="000000" w:themeColor="text1" w:sz="18" w:space="0"/>
              <w:bottom w:val="single" w:color="000000" w:themeColor="text1" w:sz="12" w:space="0"/>
            </w:tcBorders>
          </w:tcPr>
          <w:p w14:paraId="7C4E54F8">
            <w:pPr>
              <w:spacing w:after="160" w:line="278" w:lineRule="auto"/>
              <w:ind w:firstLine="0" w:firstLineChars="0"/>
              <w:rPr>
                <w:rFonts w:hint="eastAsia" w:ascii="宋体" w:hAnsi="宋体"/>
                <w:b w:val="0"/>
                <w:bCs w:val="0"/>
                <w:color w:val="000000" w:themeColor="text1"/>
                <w:sz w:val="21"/>
                <w:szCs w:val="21"/>
                <w14:textFill>
                  <w14:solidFill>
                    <w14:schemeClr w14:val="tx1"/>
                  </w14:solidFill>
                </w14:textFill>
              </w:rPr>
            </w:pPr>
            <w:r>
              <w:rPr>
                <w:rFonts w:ascii="宋体" w:hAnsi="宋体"/>
                <w:b w:val="0"/>
                <w:bCs w:val="0"/>
                <w:color w:val="000000" w:themeColor="text1"/>
                <w:sz w:val="21"/>
                <w:szCs w:val="21"/>
                <w14:textFill>
                  <w14:solidFill>
                    <w14:schemeClr w14:val="tx1"/>
                  </w14:solidFill>
                </w14:textFill>
              </w:rPr>
              <w:t>2023</w:t>
            </w:r>
            <w:r>
              <w:rPr>
                <w:rFonts w:hint="eastAsia" w:ascii="宋体" w:hAnsi="宋体" w:cs="宋体"/>
                <w:b w:val="0"/>
                <w:bCs w:val="0"/>
                <w:color w:val="000000" w:themeColor="text1"/>
                <w:sz w:val="21"/>
                <w:szCs w:val="21"/>
                <w14:textFill>
                  <w14:solidFill>
                    <w14:schemeClr w14:val="tx1"/>
                  </w14:solidFill>
                </w14:textFill>
              </w:rPr>
              <w:t>年</w:t>
            </w:r>
          </w:p>
        </w:tc>
        <w:tc>
          <w:tcPr>
            <w:tcW w:w="581" w:type="pct"/>
            <w:tcBorders>
              <w:top w:val="single" w:color="000000" w:themeColor="text1" w:sz="18" w:space="0"/>
              <w:bottom w:val="single" w:color="000000" w:themeColor="text1" w:sz="12" w:space="0"/>
            </w:tcBorders>
          </w:tcPr>
          <w:p w14:paraId="0935B568">
            <w:pPr>
              <w:spacing w:after="160" w:line="278" w:lineRule="auto"/>
              <w:ind w:firstLine="0" w:firstLineChars="0"/>
              <w:rPr>
                <w:rFonts w:hint="eastAsia" w:ascii="宋体" w:hAnsi="宋体"/>
                <w:b w:val="0"/>
                <w:bCs w:val="0"/>
                <w:color w:val="000000" w:themeColor="text1"/>
                <w:sz w:val="21"/>
                <w:szCs w:val="21"/>
                <w14:textFill>
                  <w14:solidFill>
                    <w14:schemeClr w14:val="tx1"/>
                  </w14:solidFill>
                </w14:textFill>
              </w:rPr>
            </w:pPr>
            <w:r>
              <w:rPr>
                <w:rFonts w:ascii="宋体" w:hAnsi="宋体"/>
                <w:b w:val="0"/>
                <w:bCs w:val="0"/>
                <w:color w:val="000000" w:themeColor="text1"/>
                <w:sz w:val="21"/>
                <w:szCs w:val="21"/>
                <w14:textFill>
                  <w14:solidFill>
                    <w14:schemeClr w14:val="tx1"/>
                  </w14:solidFill>
                </w14:textFill>
              </w:rPr>
              <w:t>2024</w:t>
            </w:r>
            <w:r>
              <w:rPr>
                <w:rFonts w:hint="eastAsia" w:ascii="宋体" w:hAnsi="宋体" w:cs="宋体"/>
                <w:b w:val="0"/>
                <w:bCs w:val="0"/>
                <w:color w:val="000000" w:themeColor="text1"/>
                <w:sz w:val="21"/>
                <w:szCs w:val="21"/>
                <w14:textFill>
                  <w14:solidFill>
                    <w14:schemeClr w14:val="tx1"/>
                  </w14:solidFill>
                </w14:textFill>
              </w:rPr>
              <w:t>年</w:t>
            </w:r>
          </w:p>
        </w:tc>
        <w:tc>
          <w:tcPr>
            <w:tcW w:w="729" w:type="pct"/>
            <w:tcBorders>
              <w:top w:val="single" w:color="000000" w:themeColor="text1" w:sz="18" w:space="0"/>
              <w:bottom w:val="single" w:color="000000" w:themeColor="text1" w:sz="12" w:space="0"/>
            </w:tcBorders>
          </w:tcPr>
          <w:p w14:paraId="4DC6A141">
            <w:pPr>
              <w:spacing w:after="160" w:line="278" w:lineRule="auto"/>
              <w:ind w:firstLine="0" w:firstLineChars="0"/>
              <w:rPr>
                <w:rFonts w:hint="eastAsia" w:ascii="宋体" w:hAnsi="宋体"/>
                <w:b w:val="0"/>
                <w:bCs w:val="0"/>
                <w:color w:val="000000" w:themeColor="text1"/>
                <w:sz w:val="21"/>
                <w:szCs w:val="21"/>
                <w14:textFill>
                  <w14:solidFill>
                    <w14:schemeClr w14:val="tx1"/>
                  </w14:solidFill>
                </w14:textFill>
              </w:rPr>
            </w:pPr>
            <w:r>
              <w:rPr>
                <w:rFonts w:ascii="宋体" w:hAnsi="宋体"/>
                <w:b w:val="0"/>
                <w:bCs w:val="0"/>
                <w:color w:val="000000" w:themeColor="text1"/>
                <w:sz w:val="21"/>
                <w:szCs w:val="21"/>
                <w14:textFill>
                  <w14:solidFill>
                    <w14:schemeClr w14:val="tx1"/>
                  </w14:solidFill>
                </w14:textFill>
              </w:rPr>
              <w:t>2025</w:t>
            </w:r>
            <w:r>
              <w:rPr>
                <w:rFonts w:hint="eastAsia" w:ascii="宋体" w:hAnsi="宋体" w:cs="宋体"/>
                <w:b w:val="0"/>
                <w:bCs w:val="0"/>
                <w:color w:val="000000" w:themeColor="text1"/>
                <w:sz w:val="21"/>
                <w:szCs w:val="21"/>
                <w14:textFill>
                  <w14:solidFill>
                    <w14:schemeClr w14:val="tx1"/>
                  </w14:solidFill>
                </w14:textFill>
              </w:rPr>
              <w:t>年（</w:t>
            </w:r>
            <w:r>
              <w:rPr>
                <w:rFonts w:ascii="宋体" w:hAnsi="宋体"/>
                <w:b w:val="0"/>
                <w:bCs w:val="0"/>
                <w:color w:val="000000" w:themeColor="text1"/>
                <w:sz w:val="21"/>
                <w:szCs w:val="21"/>
                <w14:textFill>
                  <w14:solidFill>
                    <w14:schemeClr w14:val="tx1"/>
                  </w14:solidFill>
                </w14:textFill>
              </w:rPr>
              <w:t>E</w:t>
            </w:r>
            <w:r>
              <w:rPr>
                <w:rFonts w:hint="eastAsia" w:ascii="宋体" w:hAnsi="宋体" w:cs="宋体"/>
                <w:b w:val="0"/>
                <w:bCs w:val="0"/>
                <w:color w:val="000000" w:themeColor="text1"/>
                <w:sz w:val="21"/>
                <w:szCs w:val="21"/>
                <w14:textFill>
                  <w14:solidFill>
                    <w14:schemeClr w14:val="tx1"/>
                  </w14:solidFill>
                </w14:textFill>
              </w:rPr>
              <w:t>）</w:t>
            </w:r>
          </w:p>
        </w:tc>
        <w:tc>
          <w:tcPr>
            <w:tcW w:w="1061" w:type="pct"/>
            <w:tcBorders>
              <w:top w:val="single" w:color="000000" w:themeColor="text1" w:sz="18" w:space="0"/>
              <w:bottom w:val="single" w:color="000000" w:themeColor="text1" w:sz="12" w:space="0"/>
            </w:tcBorders>
          </w:tcPr>
          <w:p w14:paraId="50B55325">
            <w:pPr>
              <w:spacing w:after="160" w:line="278" w:lineRule="auto"/>
              <w:ind w:firstLine="0" w:firstLineChars="0"/>
              <w:rPr>
                <w:rFonts w:hint="eastAsia" w:ascii="宋体" w:hAnsi="宋体"/>
                <w:b w:val="0"/>
                <w:bCs w:val="0"/>
                <w:color w:val="000000" w:themeColor="text1"/>
                <w:sz w:val="21"/>
                <w:szCs w:val="21"/>
                <w14:textFill>
                  <w14:solidFill>
                    <w14:schemeClr w14:val="tx1"/>
                  </w14:solidFill>
                </w14:textFill>
              </w:rPr>
            </w:pPr>
            <w:r>
              <w:rPr>
                <w:rFonts w:hint="eastAsia" w:ascii="宋体" w:hAnsi="宋体" w:cs="宋体"/>
                <w:b w:val="0"/>
                <w:bCs w:val="0"/>
                <w:color w:val="000000" w:themeColor="text1"/>
                <w:sz w:val="21"/>
                <w:szCs w:val="21"/>
                <w14:textFill>
                  <w14:solidFill>
                    <w14:schemeClr w14:val="tx1"/>
                  </w14:solidFill>
                </w14:textFill>
              </w:rPr>
              <w:t>年均增速（</w:t>
            </w:r>
            <w:r>
              <w:rPr>
                <w:rFonts w:ascii="宋体" w:hAnsi="宋体"/>
                <w:b w:val="0"/>
                <w:bCs w:val="0"/>
                <w:color w:val="000000" w:themeColor="text1"/>
                <w:sz w:val="21"/>
                <w:szCs w:val="21"/>
                <w14:textFill>
                  <w14:solidFill>
                    <w14:schemeClr w14:val="tx1"/>
                  </w14:solidFill>
                </w14:textFill>
              </w:rPr>
              <w:t>2021</w:t>
            </w:r>
            <w:r>
              <w:rPr>
                <w:rFonts w:hint="eastAsia" w:ascii="宋体" w:hAnsi="宋体"/>
                <w:b w:val="0"/>
                <w:bCs w:val="0"/>
                <w:color w:val="000000" w:themeColor="text1"/>
                <w:sz w:val="21"/>
                <w:szCs w:val="21"/>
                <w14:textFill>
                  <w14:solidFill>
                    <w14:schemeClr w14:val="tx1"/>
                  </w14:solidFill>
                </w14:textFill>
              </w:rPr>
              <w:t>-</w:t>
            </w:r>
            <w:r>
              <w:rPr>
                <w:rFonts w:ascii="宋体" w:hAnsi="宋体"/>
                <w:b w:val="0"/>
                <w:bCs w:val="0"/>
                <w:color w:val="000000" w:themeColor="text1"/>
                <w:sz w:val="21"/>
                <w:szCs w:val="21"/>
                <w14:textFill>
                  <w14:solidFill>
                    <w14:schemeClr w14:val="tx1"/>
                  </w14:solidFill>
                </w14:textFill>
              </w:rPr>
              <w:t>2025</w:t>
            </w:r>
            <w:r>
              <w:rPr>
                <w:rFonts w:hint="eastAsia" w:ascii="宋体" w:hAnsi="宋体" w:cs="宋体"/>
                <w:b w:val="0"/>
                <w:bCs w:val="0"/>
                <w:color w:val="000000" w:themeColor="text1"/>
                <w:sz w:val="21"/>
                <w:szCs w:val="21"/>
                <w14:textFill>
                  <w14:solidFill>
                    <w14:schemeClr w14:val="tx1"/>
                  </w14:solidFill>
                </w14:textFill>
              </w:rPr>
              <w:t>）</w:t>
            </w:r>
          </w:p>
        </w:tc>
      </w:tr>
      <w:tr w14:paraId="1C45AC95">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86" w:type="pct"/>
            <w:tcBorders>
              <w:top w:val="single" w:color="000000" w:themeColor="text1" w:sz="12" w:space="0"/>
              <w:bottom w:val="nil"/>
            </w:tcBorders>
            <w:shd w:val="clear" w:color="auto" w:fill="auto"/>
          </w:tcPr>
          <w:p w14:paraId="5D04CFE2">
            <w:pPr>
              <w:spacing w:after="160" w:line="278" w:lineRule="auto"/>
              <w:ind w:firstLine="0" w:firstLineChars="0"/>
              <w:rPr>
                <w:rFonts w:hint="eastAsia" w:ascii="宋体" w:hAnsi="宋体"/>
                <w:b w:val="0"/>
                <w:bCs w:val="0"/>
                <w:color w:val="000000" w:themeColor="text1"/>
                <w:sz w:val="21"/>
                <w:szCs w:val="21"/>
                <w14:textFill>
                  <w14:solidFill>
                    <w14:schemeClr w14:val="tx1"/>
                  </w14:solidFill>
                </w14:textFill>
              </w:rPr>
            </w:pPr>
            <w:r>
              <w:rPr>
                <w:rFonts w:hint="eastAsia" w:ascii="宋体" w:hAnsi="宋体" w:cs="宋体"/>
                <w:b w:val="0"/>
                <w:bCs w:val="0"/>
                <w:color w:val="000000" w:themeColor="text1"/>
                <w:sz w:val="21"/>
                <w:szCs w:val="21"/>
                <w14:textFill>
                  <w14:solidFill>
                    <w14:schemeClr w14:val="tx1"/>
                  </w14:solidFill>
                </w14:textFill>
              </w:rPr>
              <w:t>北京市乡村旅游接待量（万人次）</w:t>
            </w:r>
          </w:p>
        </w:tc>
        <w:tc>
          <w:tcPr>
            <w:tcW w:w="581" w:type="pct"/>
            <w:tcBorders>
              <w:top w:val="single" w:color="000000" w:themeColor="text1" w:sz="12" w:space="0"/>
              <w:bottom w:val="nil"/>
            </w:tcBorders>
            <w:shd w:val="clear" w:color="auto" w:fill="auto"/>
          </w:tcPr>
          <w:p w14:paraId="51FEAC4B">
            <w:pPr>
              <w:spacing w:after="160" w:line="278" w:lineRule="auto"/>
              <w:ind w:firstLine="0" w:firstLineChars="0"/>
              <w:rPr>
                <w:rFonts w:hint="eastAsia"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3210</w:t>
            </w:r>
          </w:p>
        </w:tc>
        <w:tc>
          <w:tcPr>
            <w:tcW w:w="581" w:type="pct"/>
            <w:tcBorders>
              <w:top w:val="single" w:color="000000" w:themeColor="text1" w:sz="12" w:space="0"/>
              <w:bottom w:val="nil"/>
            </w:tcBorders>
            <w:shd w:val="clear" w:color="auto" w:fill="auto"/>
          </w:tcPr>
          <w:p w14:paraId="26456DA0">
            <w:pPr>
              <w:spacing w:after="160" w:line="278" w:lineRule="auto"/>
              <w:ind w:firstLine="0" w:firstLineChars="0"/>
              <w:rPr>
                <w:rFonts w:hint="eastAsia"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3650</w:t>
            </w:r>
          </w:p>
        </w:tc>
        <w:tc>
          <w:tcPr>
            <w:tcW w:w="581" w:type="pct"/>
            <w:tcBorders>
              <w:top w:val="single" w:color="000000" w:themeColor="text1" w:sz="12" w:space="0"/>
              <w:bottom w:val="nil"/>
            </w:tcBorders>
            <w:shd w:val="clear" w:color="auto" w:fill="auto"/>
          </w:tcPr>
          <w:p w14:paraId="34D2A1AF">
            <w:pPr>
              <w:spacing w:after="160" w:line="278" w:lineRule="auto"/>
              <w:ind w:firstLine="0" w:firstLineChars="0"/>
              <w:rPr>
                <w:rFonts w:hint="eastAsia"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4280</w:t>
            </w:r>
          </w:p>
        </w:tc>
        <w:tc>
          <w:tcPr>
            <w:tcW w:w="581" w:type="pct"/>
            <w:tcBorders>
              <w:top w:val="single" w:color="000000" w:themeColor="text1" w:sz="12" w:space="0"/>
              <w:bottom w:val="nil"/>
            </w:tcBorders>
            <w:shd w:val="clear" w:color="auto" w:fill="auto"/>
          </w:tcPr>
          <w:p w14:paraId="74B213BC">
            <w:pPr>
              <w:spacing w:after="160" w:line="278" w:lineRule="auto"/>
              <w:ind w:firstLine="0" w:firstLineChars="0"/>
              <w:rPr>
                <w:rFonts w:hint="eastAsia"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4920</w:t>
            </w:r>
          </w:p>
        </w:tc>
        <w:tc>
          <w:tcPr>
            <w:tcW w:w="729" w:type="pct"/>
            <w:tcBorders>
              <w:top w:val="single" w:color="000000" w:themeColor="text1" w:sz="12" w:space="0"/>
              <w:bottom w:val="nil"/>
            </w:tcBorders>
            <w:shd w:val="clear" w:color="auto" w:fill="auto"/>
          </w:tcPr>
          <w:p w14:paraId="5AA1746B">
            <w:pPr>
              <w:spacing w:after="160" w:line="278" w:lineRule="auto"/>
              <w:ind w:firstLine="0" w:firstLineChars="0"/>
              <w:rPr>
                <w:rFonts w:hint="eastAsia"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5550</w:t>
            </w:r>
          </w:p>
        </w:tc>
        <w:tc>
          <w:tcPr>
            <w:tcW w:w="1061" w:type="pct"/>
            <w:tcBorders>
              <w:top w:val="single" w:color="000000" w:themeColor="text1" w:sz="12" w:space="0"/>
              <w:bottom w:val="nil"/>
            </w:tcBorders>
            <w:shd w:val="clear" w:color="auto" w:fill="auto"/>
          </w:tcPr>
          <w:p w14:paraId="255E464D">
            <w:pPr>
              <w:spacing w:after="160" w:line="278" w:lineRule="auto"/>
              <w:ind w:firstLine="0" w:firstLineChars="0"/>
              <w:rPr>
                <w:rFonts w:hint="eastAsia"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14.7%</w:t>
            </w:r>
          </w:p>
        </w:tc>
      </w:tr>
      <w:tr w14:paraId="48CCADDE">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86" w:type="pct"/>
            <w:tcBorders>
              <w:top w:val="nil"/>
              <w:bottom w:val="nil"/>
              <w:right w:val="nil"/>
            </w:tcBorders>
          </w:tcPr>
          <w:p w14:paraId="748896CD">
            <w:pPr>
              <w:spacing w:after="160" w:line="278" w:lineRule="auto"/>
              <w:ind w:firstLine="0" w:firstLineChars="0"/>
              <w:rPr>
                <w:rFonts w:hint="eastAsia" w:ascii="宋体" w:hAnsi="宋体"/>
                <w:b w:val="0"/>
                <w:bCs w:val="0"/>
                <w:color w:val="000000" w:themeColor="text1"/>
                <w:sz w:val="21"/>
                <w:szCs w:val="21"/>
                <w14:textFill>
                  <w14:solidFill>
                    <w14:schemeClr w14:val="tx1"/>
                  </w14:solidFill>
                </w14:textFill>
              </w:rPr>
            </w:pPr>
            <w:r>
              <w:rPr>
                <w:rFonts w:hint="eastAsia" w:ascii="宋体" w:hAnsi="宋体" w:cs="宋体"/>
                <w:b w:val="0"/>
                <w:bCs w:val="0"/>
                <w:color w:val="000000" w:themeColor="text1"/>
                <w:sz w:val="21"/>
                <w:szCs w:val="21"/>
                <w14:textFill>
                  <w14:solidFill>
                    <w14:schemeClr w14:val="tx1"/>
                  </w14:solidFill>
                </w14:textFill>
              </w:rPr>
              <w:t>北京市乡村旅游收入（亿元）</w:t>
            </w:r>
          </w:p>
        </w:tc>
        <w:tc>
          <w:tcPr>
            <w:tcW w:w="581" w:type="pct"/>
            <w:tcBorders>
              <w:top w:val="nil"/>
              <w:left w:val="nil"/>
              <w:bottom w:val="nil"/>
              <w:right w:val="nil"/>
            </w:tcBorders>
          </w:tcPr>
          <w:p w14:paraId="50986723">
            <w:pPr>
              <w:spacing w:after="160" w:line="278" w:lineRule="auto"/>
              <w:ind w:firstLine="0" w:firstLineChars="0"/>
              <w:rPr>
                <w:rFonts w:hint="eastAsia"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38.2</w:t>
            </w:r>
          </w:p>
        </w:tc>
        <w:tc>
          <w:tcPr>
            <w:tcW w:w="581" w:type="pct"/>
            <w:tcBorders>
              <w:top w:val="nil"/>
              <w:left w:val="nil"/>
              <w:bottom w:val="nil"/>
              <w:right w:val="nil"/>
            </w:tcBorders>
          </w:tcPr>
          <w:p w14:paraId="3D2F3A56">
            <w:pPr>
              <w:spacing w:after="160" w:line="278" w:lineRule="auto"/>
              <w:ind w:firstLine="0" w:firstLineChars="0"/>
              <w:rPr>
                <w:rFonts w:hint="eastAsia"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44.5</w:t>
            </w:r>
          </w:p>
        </w:tc>
        <w:tc>
          <w:tcPr>
            <w:tcW w:w="581" w:type="pct"/>
            <w:tcBorders>
              <w:top w:val="nil"/>
              <w:left w:val="nil"/>
              <w:bottom w:val="nil"/>
              <w:right w:val="nil"/>
            </w:tcBorders>
          </w:tcPr>
          <w:p w14:paraId="2CB1E338">
            <w:pPr>
              <w:spacing w:after="160" w:line="278" w:lineRule="auto"/>
              <w:ind w:firstLine="0" w:firstLineChars="0"/>
              <w:rPr>
                <w:rFonts w:hint="eastAsia"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52.6</w:t>
            </w:r>
          </w:p>
        </w:tc>
        <w:tc>
          <w:tcPr>
            <w:tcW w:w="581" w:type="pct"/>
            <w:tcBorders>
              <w:top w:val="nil"/>
              <w:left w:val="nil"/>
              <w:bottom w:val="nil"/>
              <w:right w:val="nil"/>
            </w:tcBorders>
          </w:tcPr>
          <w:p w14:paraId="699D3614">
            <w:pPr>
              <w:spacing w:after="160" w:line="278" w:lineRule="auto"/>
              <w:ind w:firstLine="0" w:firstLineChars="0"/>
              <w:rPr>
                <w:rFonts w:hint="eastAsia"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61.8</w:t>
            </w:r>
          </w:p>
        </w:tc>
        <w:tc>
          <w:tcPr>
            <w:tcW w:w="729" w:type="pct"/>
            <w:tcBorders>
              <w:top w:val="nil"/>
              <w:left w:val="nil"/>
              <w:bottom w:val="nil"/>
              <w:right w:val="nil"/>
            </w:tcBorders>
          </w:tcPr>
          <w:p w14:paraId="687A1025">
            <w:pPr>
              <w:spacing w:after="160" w:line="278" w:lineRule="auto"/>
              <w:ind w:firstLine="0" w:firstLineChars="0"/>
              <w:rPr>
                <w:rFonts w:hint="eastAsia"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72.5</w:t>
            </w:r>
          </w:p>
        </w:tc>
        <w:tc>
          <w:tcPr>
            <w:tcW w:w="1061" w:type="pct"/>
            <w:tcBorders>
              <w:top w:val="nil"/>
              <w:left w:val="nil"/>
              <w:bottom w:val="nil"/>
            </w:tcBorders>
          </w:tcPr>
          <w:p w14:paraId="056C85BC">
            <w:pPr>
              <w:spacing w:after="160" w:line="278" w:lineRule="auto"/>
              <w:ind w:firstLine="0" w:firstLineChars="0"/>
              <w:rPr>
                <w:rFonts w:hint="eastAsia"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17.4%</w:t>
            </w:r>
          </w:p>
        </w:tc>
      </w:tr>
      <w:tr w14:paraId="14FCAA3A">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86" w:type="pct"/>
            <w:tcBorders>
              <w:top w:val="nil"/>
              <w:bottom w:val="nil"/>
            </w:tcBorders>
            <w:shd w:val="clear" w:color="auto" w:fill="auto"/>
          </w:tcPr>
          <w:p w14:paraId="7B3E1441">
            <w:pPr>
              <w:spacing w:after="160" w:line="278" w:lineRule="auto"/>
              <w:ind w:firstLine="0" w:firstLineChars="0"/>
              <w:rPr>
                <w:rFonts w:hint="eastAsia" w:ascii="宋体" w:hAnsi="宋体"/>
                <w:b w:val="0"/>
                <w:bCs w:val="0"/>
                <w:color w:val="000000" w:themeColor="text1"/>
                <w:sz w:val="21"/>
                <w:szCs w:val="21"/>
                <w14:textFill>
                  <w14:solidFill>
                    <w14:schemeClr w14:val="tx1"/>
                  </w14:solidFill>
                </w14:textFill>
              </w:rPr>
            </w:pPr>
            <w:r>
              <w:rPr>
                <w:rFonts w:hint="eastAsia" w:ascii="宋体" w:hAnsi="宋体" w:cs="宋体"/>
                <w:b w:val="0"/>
                <w:bCs w:val="0"/>
                <w:color w:val="000000" w:themeColor="text1"/>
                <w:sz w:val="21"/>
                <w:szCs w:val="21"/>
                <w14:textFill>
                  <w14:solidFill>
                    <w14:schemeClr w14:val="tx1"/>
                  </w14:solidFill>
                </w14:textFill>
              </w:rPr>
              <w:t>怀柔区旅游接待量（万人次）</w:t>
            </w:r>
          </w:p>
        </w:tc>
        <w:tc>
          <w:tcPr>
            <w:tcW w:w="581" w:type="pct"/>
            <w:tcBorders>
              <w:top w:val="nil"/>
              <w:bottom w:val="nil"/>
            </w:tcBorders>
            <w:shd w:val="clear" w:color="auto" w:fill="auto"/>
          </w:tcPr>
          <w:p w14:paraId="0D4D72C3">
            <w:pPr>
              <w:spacing w:after="160" w:line="278" w:lineRule="auto"/>
              <w:ind w:firstLine="0" w:firstLineChars="0"/>
              <w:rPr>
                <w:rFonts w:hint="eastAsia"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1180</w:t>
            </w:r>
          </w:p>
        </w:tc>
        <w:tc>
          <w:tcPr>
            <w:tcW w:w="581" w:type="pct"/>
            <w:tcBorders>
              <w:top w:val="nil"/>
              <w:bottom w:val="nil"/>
            </w:tcBorders>
            <w:shd w:val="clear" w:color="auto" w:fill="auto"/>
          </w:tcPr>
          <w:p w14:paraId="3A5D1242">
            <w:pPr>
              <w:spacing w:after="160" w:line="278" w:lineRule="auto"/>
              <w:ind w:firstLine="0" w:firstLineChars="0"/>
              <w:rPr>
                <w:rFonts w:hint="eastAsia"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1350</w:t>
            </w:r>
          </w:p>
        </w:tc>
        <w:tc>
          <w:tcPr>
            <w:tcW w:w="581" w:type="pct"/>
            <w:tcBorders>
              <w:top w:val="nil"/>
              <w:bottom w:val="nil"/>
            </w:tcBorders>
            <w:shd w:val="clear" w:color="auto" w:fill="auto"/>
          </w:tcPr>
          <w:p w14:paraId="53EDE90D">
            <w:pPr>
              <w:spacing w:after="160" w:line="278" w:lineRule="auto"/>
              <w:ind w:firstLine="0" w:firstLineChars="0"/>
              <w:rPr>
                <w:rFonts w:hint="eastAsia"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1520</w:t>
            </w:r>
          </w:p>
        </w:tc>
        <w:tc>
          <w:tcPr>
            <w:tcW w:w="581" w:type="pct"/>
            <w:tcBorders>
              <w:top w:val="nil"/>
              <w:bottom w:val="nil"/>
            </w:tcBorders>
            <w:shd w:val="clear" w:color="auto" w:fill="auto"/>
          </w:tcPr>
          <w:p w14:paraId="07A86995">
            <w:pPr>
              <w:spacing w:after="160" w:line="278" w:lineRule="auto"/>
              <w:ind w:firstLine="0" w:firstLineChars="0"/>
              <w:rPr>
                <w:rFonts w:hint="eastAsia"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1710</w:t>
            </w:r>
          </w:p>
        </w:tc>
        <w:tc>
          <w:tcPr>
            <w:tcW w:w="729" w:type="pct"/>
            <w:tcBorders>
              <w:top w:val="nil"/>
              <w:bottom w:val="nil"/>
            </w:tcBorders>
            <w:shd w:val="clear" w:color="auto" w:fill="auto"/>
          </w:tcPr>
          <w:p w14:paraId="5A179FC4">
            <w:pPr>
              <w:spacing w:after="160" w:line="278" w:lineRule="auto"/>
              <w:ind w:firstLine="0" w:firstLineChars="0"/>
              <w:rPr>
                <w:rFonts w:hint="eastAsia"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1900</w:t>
            </w:r>
          </w:p>
        </w:tc>
        <w:tc>
          <w:tcPr>
            <w:tcW w:w="1061" w:type="pct"/>
            <w:tcBorders>
              <w:top w:val="nil"/>
              <w:bottom w:val="nil"/>
            </w:tcBorders>
            <w:shd w:val="clear" w:color="auto" w:fill="auto"/>
          </w:tcPr>
          <w:p w14:paraId="0ED9A783">
            <w:pPr>
              <w:spacing w:after="160" w:line="278" w:lineRule="auto"/>
              <w:ind w:firstLine="0" w:firstLineChars="0"/>
              <w:rPr>
                <w:rFonts w:hint="eastAsia"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12.6%</w:t>
            </w:r>
          </w:p>
        </w:tc>
      </w:tr>
      <w:tr w14:paraId="2DB2461D">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86" w:type="pct"/>
            <w:tcBorders>
              <w:top w:val="nil"/>
              <w:bottom w:val="nil"/>
            </w:tcBorders>
          </w:tcPr>
          <w:p w14:paraId="7EF6F107">
            <w:pPr>
              <w:spacing w:after="160" w:line="278" w:lineRule="auto"/>
              <w:ind w:firstLine="0" w:firstLineChars="0"/>
              <w:rPr>
                <w:rFonts w:hint="eastAsia" w:ascii="宋体" w:hAnsi="宋体"/>
                <w:b w:val="0"/>
                <w:bCs w:val="0"/>
                <w:color w:val="000000" w:themeColor="text1"/>
                <w:sz w:val="21"/>
                <w:szCs w:val="21"/>
                <w14:textFill>
                  <w14:solidFill>
                    <w14:schemeClr w14:val="tx1"/>
                  </w14:solidFill>
                </w14:textFill>
              </w:rPr>
            </w:pPr>
            <w:r>
              <w:rPr>
                <w:rFonts w:hint="eastAsia" w:ascii="宋体" w:hAnsi="宋体" w:cs="宋体"/>
                <w:b w:val="0"/>
                <w:bCs w:val="0"/>
                <w:color w:val="000000" w:themeColor="text1"/>
                <w:sz w:val="21"/>
                <w:szCs w:val="21"/>
                <w14:textFill>
                  <w14:solidFill>
                    <w14:schemeClr w14:val="tx1"/>
                  </w14:solidFill>
                </w14:textFill>
              </w:rPr>
              <w:t>怀柔区乡村旅游占比</w:t>
            </w:r>
          </w:p>
        </w:tc>
        <w:tc>
          <w:tcPr>
            <w:tcW w:w="581" w:type="pct"/>
            <w:tcBorders>
              <w:top w:val="nil"/>
              <w:bottom w:val="nil"/>
            </w:tcBorders>
          </w:tcPr>
          <w:p w14:paraId="5572CB3F">
            <w:pPr>
              <w:spacing w:after="160" w:line="278" w:lineRule="auto"/>
              <w:ind w:firstLine="0" w:firstLineChars="0"/>
              <w:rPr>
                <w:rFonts w:hint="eastAsia"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32%</w:t>
            </w:r>
          </w:p>
        </w:tc>
        <w:tc>
          <w:tcPr>
            <w:tcW w:w="581" w:type="pct"/>
            <w:tcBorders>
              <w:top w:val="nil"/>
              <w:bottom w:val="nil"/>
            </w:tcBorders>
          </w:tcPr>
          <w:p w14:paraId="4F1436B5">
            <w:pPr>
              <w:spacing w:after="160" w:line="278" w:lineRule="auto"/>
              <w:ind w:firstLine="0" w:firstLineChars="0"/>
              <w:rPr>
                <w:rFonts w:hint="eastAsia"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34%</w:t>
            </w:r>
          </w:p>
        </w:tc>
        <w:tc>
          <w:tcPr>
            <w:tcW w:w="581" w:type="pct"/>
            <w:tcBorders>
              <w:top w:val="nil"/>
              <w:bottom w:val="nil"/>
            </w:tcBorders>
          </w:tcPr>
          <w:p w14:paraId="317001A2">
            <w:pPr>
              <w:spacing w:after="160" w:line="278" w:lineRule="auto"/>
              <w:ind w:firstLine="0" w:firstLineChars="0"/>
              <w:rPr>
                <w:rFonts w:hint="eastAsia"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35%</w:t>
            </w:r>
          </w:p>
        </w:tc>
        <w:tc>
          <w:tcPr>
            <w:tcW w:w="581" w:type="pct"/>
            <w:tcBorders>
              <w:top w:val="nil"/>
              <w:bottom w:val="nil"/>
            </w:tcBorders>
          </w:tcPr>
          <w:p w14:paraId="47CAED9E">
            <w:pPr>
              <w:spacing w:after="160" w:line="278" w:lineRule="auto"/>
              <w:ind w:firstLine="0" w:firstLineChars="0"/>
              <w:rPr>
                <w:rFonts w:hint="eastAsia"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36%</w:t>
            </w:r>
          </w:p>
        </w:tc>
        <w:tc>
          <w:tcPr>
            <w:tcW w:w="729" w:type="pct"/>
            <w:tcBorders>
              <w:top w:val="nil"/>
              <w:bottom w:val="nil"/>
            </w:tcBorders>
          </w:tcPr>
          <w:p w14:paraId="27D765FB">
            <w:pPr>
              <w:spacing w:after="160" w:line="278" w:lineRule="auto"/>
              <w:ind w:firstLine="0" w:firstLineChars="0"/>
              <w:rPr>
                <w:rFonts w:hint="eastAsia"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38%</w:t>
            </w:r>
          </w:p>
        </w:tc>
        <w:tc>
          <w:tcPr>
            <w:tcW w:w="1061" w:type="pct"/>
            <w:tcBorders>
              <w:top w:val="nil"/>
              <w:bottom w:val="nil"/>
            </w:tcBorders>
          </w:tcPr>
          <w:p w14:paraId="69C3C131">
            <w:pPr>
              <w:spacing w:after="160" w:line="278" w:lineRule="auto"/>
              <w:ind w:firstLine="0" w:firstLineChars="0"/>
              <w:rPr>
                <w:rFonts w:hint="eastAsia"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+6pct</w:t>
            </w:r>
          </w:p>
        </w:tc>
      </w:tr>
      <w:tr w14:paraId="21B4E02C">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86" w:type="pct"/>
            <w:tcBorders>
              <w:top w:val="nil"/>
              <w:bottom w:val="nil"/>
            </w:tcBorders>
            <w:shd w:val="clear" w:color="auto" w:fill="auto"/>
          </w:tcPr>
          <w:p w14:paraId="4BEC827F">
            <w:pPr>
              <w:spacing w:after="160" w:line="278" w:lineRule="auto"/>
              <w:ind w:firstLine="0" w:firstLineChars="0"/>
              <w:rPr>
                <w:rFonts w:hint="eastAsia" w:ascii="宋体" w:hAnsi="宋体"/>
                <w:b w:val="0"/>
                <w:bCs w:val="0"/>
                <w:color w:val="000000" w:themeColor="text1"/>
                <w:sz w:val="21"/>
                <w:szCs w:val="21"/>
                <w14:textFill>
                  <w14:solidFill>
                    <w14:schemeClr w14:val="tx1"/>
                  </w14:solidFill>
                </w14:textFill>
              </w:rPr>
            </w:pPr>
            <w:r>
              <w:rPr>
                <w:rFonts w:hint="eastAsia" w:ascii="宋体" w:hAnsi="宋体" w:cs="宋体"/>
                <w:b w:val="0"/>
                <w:bCs w:val="0"/>
                <w:color w:val="000000" w:themeColor="text1"/>
                <w:sz w:val="21"/>
                <w:szCs w:val="21"/>
                <w14:textFill>
                  <w14:solidFill>
                    <w14:schemeClr w14:val="tx1"/>
                  </w14:solidFill>
                </w14:textFill>
              </w:rPr>
              <w:t>京郊周末出行人均消费（元）</w:t>
            </w:r>
          </w:p>
        </w:tc>
        <w:tc>
          <w:tcPr>
            <w:tcW w:w="581" w:type="pct"/>
            <w:tcBorders>
              <w:top w:val="nil"/>
              <w:bottom w:val="nil"/>
            </w:tcBorders>
            <w:shd w:val="clear" w:color="auto" w:fill="auto"/>
          </w:tcPr>
          <w:p w14:paraId="5E273C77">
            <w:pPr>
              <w:spacing w:after="160" w:line="278" w:lineRule="auto"/>
              <w:ind w:firstLine="0" w:firstLineChars="0"/>
              <w:rPr>
                <w:rFonts w:hint="eastAsia"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260</w:t>
            </w:r>
          </w:p>
        </w:tc>
        <w:tc>
          <w:tcPr>
            <w:tcW w:w="581" w:type="pct"/>
            <w:tcBorders>
              <w:top w:val="nil"/>
              <w:bottom w:val="nil"/>
            </w:tcBorders>
            <w:shd w:val="clear" w:color="auto" w:fill="auto"/>
          </w:tcPr>
          <w:p w14:paraId="0E647CBB">
            <w:pPr>
              <w:spacing w:after="160" w:line="278" w:lineRule="auto"/>
              <w:ind w:firstLine="0" w:firstLineChars="0"/>
              <w:rPr>
                <w:rFonts w:hint="eastAsia"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310</w:t>
            </w:r>
          </w:p>
        </w:tc>
        <w:tc>
          <w:tcPr>
            <w:tcW w:w="581" w:type="pct"/>
            <w:tcBorders>
              <w:top w:val="nil"/>
              <w:bottom w:val="nil"/>
            </w:tcBorders>
            <w:shd w:val="clear" w:color="auto" w:fill="auto"/>
          </w:tcPr>
          <w:p w14:paraId="55C2C129">
            <w:pPr>
              <w:spacing w:after="160" w:line="278" w:lineRule="auto"/>
              <w:ind w:firstLine="0" w:firstLineChars="0"/>
              <w:rPr>
                <w:rFonts w:hint="eastAsia"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365</w:t>
            </w:r>
          </w:p>
        </w:tc>
        <w:tc>
          <w:tcPr>
            <w:tcW w:w="581" w:type="pct"/>
            <w:tcBorders>
              <w:top w:val="nil"/>
              <w:bottom w:val="nil"/>
            </w:tcBorders>
            <w:shd w:val="clear" w:color="auto" w:fill="auto"/>
          </w:tcPr>
          <w:p w14:paraId="079F2717">
            <w:pPr>
              <w:spacing w:after="160" w:line="278" w:lineRule="auto"/>
              <w:ind w:firstLine="0" w:firstLineChars="0"/>
              <w:rPr>
                <w:rFonts w:hint="eastAsia"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420</w:t>
            </w:r>
          </w:p>
        </w:tc>
        <w:tc>
          <w:tcPr>
            <w:tcW w:w="729" w:type="pct"/>
            <w:tcBorders>
              <w:top w:val="nil"/>
              <w:bottom w:val="nil"/>
            </w:tcBorders>
            <w:shd w:val="clear" w:color="auto" w:fill="auto"/>
          </w:tcPr>
          <w:p w14:paraId="39BD3C99">
            <w:pPr>
              <w:spacing w:after="160" w:line="278" w:lineRule="auto"/>
              <w:ind w:firstLine="0" w:firstLineChars="0"/>
              <w:rPr>
                <w:rFonts w:hint="eastAsia"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480</w:t>
            </w:r>
          </w:p>
        </w:tc>
        <w:tc>
          <w:tcPr>
            <w:tcW w:w="1061" w:type="pct"/>
            <w:tcBorders>
              <w:top w:val="nil"/>
              <w:bottom w:val="nil"/>
            </w:tcBorders>
            <w:shd w:val="clear" w:color="auto" w:fill="auto"/>
          </w:tcPr>
          <w:p w14:paraId="7BC008AF">
            <w:pPr>
              <w:spacing w:after="160" w:line="278" w:lineRule="auto"/>
              <w:ind w:firstLine="0" w:firstLineChars="0"/>
              <w:rPr>
                <w:rFonts w:hint="eastAsia"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16.6%</w:t>
            </w:r>
          </w:p>
        </w:tc>
      </w:tr>
      <w:tr w14:paraId="2D6A05FB">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86" w:type="pct"/>
            <w:tcBorders>
              <w:top w:val="nil"/>
              <w:bottom w:val="single" w:color="000000" w:themeColor="text1" w:sz="18" w:space="0"/>
            </w:tcBorders>
          </w:tcPr>
          <w:p w14:paraId="3AAE8F7D">
            <w:pPr>
              <w:spacing w:after="160" w:line="278" w:lineRule="auto"/>
              <w:ind w:firstLine="0" w:firstLineChars="0"/>
              <w:rPr>
                <w:rFonts w:hint="eastAsia" w:ascii="宋体" w:hAnsi="宋体"/>
                <w:b w:val="0"/>
                <w:bCs w:val="0"/>
                <w:color w:val="000000" w:themeColor="text1"/>
                <w:sz w:val="21"/>
                <w:szCs w:val="21"/>
                <w14:textFill>
                  <w14:solidFill>
                    <w14:schemeClr w14:val="tx1"/>
                  </w14:solidFill>
                </w14:textFill>
              </w:rPr>
            </w:pPr>
            <w:r>
              <w:rPr>
                <w:rFonts w:ascii="宋体" w:hAnsi="宋体"/>
                <w:b w:val="0"/>
                <w:bCs w:val="0"/>
                <w:color w:val="000000" w:themeColor="text1"/>
                <w:sz w:val="21"/>
                <w:szCs w:val="21"/>
                <w14:textFill>
                  <w14:solidFill>
                    <w14:schemeClr w14:val="tx1"/>
                  </w14:solidFill>
                </w14:textFill>
              </w:rPr>
              <w:t>“</w:t>
            </w:r>
            <w:r>
              <w:rPr>
                <w:rFonts w:hint="eastAsia" w:ascii="宋体" w:hAnsi="宋体" w:cs="宋体"/>
                <w:b w:val="0"/>
                <w:bCs w:val="0"/>
                <w:color w:val="000000" w:themeColor="text1"/>
                <w:sz w:val="21"/>
                <w:szCs w:val="21"/>
                <w14:textFill>
                  <w14:solidFill>
                    <w14:schemeClr w14:val="tx1"/>
                  </w14:solidFill>
                </w14:textFill>
              </w:rPr>
              <w:t>微度假</w:t>
            </w:r>
            <w:r>
              <w:rPr>
                <w:rFonts w:ascii="宋体" w:hAnsi="宋体"/>
                <w:b w:val="0"/>
                <w:bCs w:val="0"/>
                <w:color w:val="000000" w:themeColor="text1"/>
                <w:sz w:val="21"/>
                <w:szCs w:val="21"/>
                <w14:textFill>
                  <w14:solidFill>
                    <w14:schemeClr w14:val="tx1"/>
                  </w14:solidFill>
                </w14:textFill>
              </w:rPr>
              <w:t>”</w:t>
            </w:r>
            <w:r>
              <w:rPr>
                <w:rFonts w:hint="eastAsia" w:ascii="宋体" w:hAnsi="宋体" w:cs="宋体"/>
                <w:b w:val="0"/>
                <w:bCs w:val="0"/>
                <w:color w:val="000000" w:themeColor="text1"/>
                <w:sz w:val="21"/>
                <w:szCs w:val="21"/>
                <w14:textFill>
                  <w14:solidFill>
                    <w14:schemeClr w14:val="tx1"/>
                  </w14:solidFill>
                </w14:textFill>
              </w:rPr>
              <w:t>产品预订占比</w:t>
            </w:r>
          </w:p>
        </w:tc>
        <w:tc>
          <w:tcPr>
            <w:tcW w:w="581" w:type="pct"/>
            <w:tcBorders>
              <w:top w:val="nil"/>
              <w:bottom w:val="single" w:color="000000" w:themeColor="text1" w:sz="18" w:space="0"/>
            </w:tcBorders>
          </w:tcPr>
          <w:p w14:paraId="32011B03">
            <w:pPr>
              <w:spacing w:after="160" w:line="278" w:lineRule="auto"/>
              <w:ind w:firstLine="0" w:firstLineChars="0"/>
              <w:rPr>
                <w:rFonts w:hint="eastAsia"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32%</w:t>
            </w:r>
          </w:p>
        </w:tc>
        <w:tc>
          <w:tcPr>
            <w:tcW w:w="581" w:type="pct"/>
            <w:tcBorders>
              <w:top w:val="nil"/>
              <w:bottom w:val="single" w:color="000000" w:themeColor="text1" w:sz="18" w:space="0"/>
            </w:tcBorders>
          </w:tcPr>
          <w:p w14:paraId="400E600B">
            <w:pPr>
              <w:spacing w:after="160" w:line="278" w:lineRule="auto"/>
              <w:ind w:firstLine="0" w:firstLineChars="0"/>
              <w:rPr>
                <w:rFonts w:hint="eastAsia"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41%</w:t>
            </w:r>
          </w:p>
        </w:tc>
        <w:tc>
          <w:tcPr>
            <w:tcW w:w="581" w:type="pct"/>
            <w:tcBorders>
              <w:top w:val="nil"/>
              <w:bottom w:val="single" w:color="000000" w:themeColor="text1" w:sz="18" w:space="0"/>
            </w:tcBorders>
          </w:tcPr>
          <w:p w14:paraId="670BBFA2">
            <w:pPr>
              <w:spacing w:after="160" w:line="278" w:lineRule="auto"/>
              <w:ind w:firstLine="0" w:firstLineChars="0"/>
              <w:rPr>
                <w:rFonts w:hint="eastAsia"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47%</w:t>
            </w:r>
          </w:p>
        </w:tc>
        <w:tc>
          <w:tcPr>
            <w:tcW w:w="581" w:type="pct"/>
            <w:tcBorders>
              <w:top w:val="nil"/>
              <w:bottom w:val="single" w:color="000000" w:themeColor="text1" w:sz="18" w:space="0"/>
            </w:tcBorders>
          </w:tcPr>
          <w:p w14:paraId="036F2692">
            <w:pPr>
              <w:spacing w:after="160" w:line="278" w:lineRule="auto"/>
              <w:ind w:firstLine="0" w:firstLineChars="0"/>
              <w:rPr>
                <w:rFonts w:hint="eastAsia"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52%</w:t>
            </w:r>
          </w:p>
        </w:tc>
        <w:tc>
          <w:tcPr>
            <w:tcW w:w="729" w:type="pct"/>
            <w:tcBorders>
              <w:top w:val="nil"/>
              <w:bottom w:val="single" w:color="000000" w:themeColor="text1" w:sz="18" w:space="0"/>
            </w:tcBorders>
          </w:tcPr>
          <w:p w14:paraId="0F6A6C83">
            <w:pPr>
              <w:spacing w:after="160" w:line="278" w:lineRule="auto"/>
              <w:ind w:firstLine="0" w:firstLineChars="0"/>
              <w:rPr>
                <w:rFonts w:hint="eastAsia"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58%</w:t>
            </w:r>
          </w:p>
        </w:tc>
        <w:tc>
          <w:tcPr>
            <w:tcW w:w="1061" w:type="pct"/>
            <w:tcBorders>
              <w:top w:val="nil"/>
              <w:bottom w:val="single" w:color="000000" w:themeColor="text1" w:sz="18" w:space="0"/>
            </w:tcBorders>
          </w:tcPr>
          <w:p w14:paraId="12EDBA0B">
            <w:pPr>
              <w:spacing w:after="160" w:line="278" w:lineRule="auto"/>
              <w:ind w:firstLine="0" w:firstLineChars="0"/>
              <w:rPr>
                <w:rFonts w:hint="eastAsia" w:ascii="宋体" w:hAnsi="宋体"/>
                <w:color w:val="000000" w:themeColor="text1"/>
                <w:sz w:val="21"/>
                <w:szCs w:val="21"/>
                <w14:textFill>
                  <w14:solidFill>
                    <w14:schemeClr w14:val="tx1"/>
                  </w14:solidFill>
                </w14:textFill>
              </w:rPr>
            </w:pPr>
            <w:r>
              <w:rPr>
                <w:rFonts w:ascii="宋体" w:hAnsi="宋体"/>
                <w:color w:val="000000" w:themeColor="text1"/>
                <w:sz w:val="21"/>
                <w:szCs w:val="21"/>
                <w14:textFill>
                  <w14:solidFill>
                    <w14:schemeClr w14:val="tx1"/>
                  </w14:solidFill>
                </w14:textFill>
              </w:rPr>
              <w:t>+26pct</w:t>
            </w:r>
          </w:p>
        </w:tc>
      </w:tr>
    </w:tbl>
    <w:p w14:paraId="6E31D38D">
      <w:pPr>
        <w:ind w:firstLine="420"/>
        <w:rPr>
          <w:rFonts w:hint="eastAsia" w:ascii="宋体" w:hAnsi="宋体"/>
          <w:sz w:val="21"/>
          <w:szCs w:val="21"/>
        </w:rPr>
      </w:pPr>
      <w:r>
        <w:rPr>
          <w:rFonts w:ascii="宋体" w:hAnsi="宋体"/>
          <w:sz w:val="21"/>
          <w:szCs w:val="21"/>
        </w:rPr>
        <w:t>数据来源：北京市文化和旅游局2021-2024年度统计公报，2025年数据为基于趋势外推的行业预测值（E=Estimate）；怀柔区文旅局年度工作报告；美团/携程《京郊微度假消费趋势报告2025》</w:t>
      </w:r>
    </w:p>
    <w:p w14:paraId="75E3B525">
      <w:pPr>
        <w:ind w:firstLine="420"/>
        <w:rPr>
          <w:rFonts w:hint="eastAsia" w:ascii="宋体" w:hAnsi="宋体"/>
          <w:sz w:val="21"/>
          <w:szCs w:val="21"/>
        </w:rPr>
      </w:pPr>
      <w:r>
        <w:rPr>
          <w:rFonts w:hint="eastAsia" w:ascii="宋体" w:hAnsi="宋体"/>
          <w:sz w:val="21"/>
          <w:szCs w:val="21"/>
        </w:rPr>
        <w:t>如表1所示，京郊乡村旅游市场的目前有四大确定性趋势：第一，</w:t>
      </w:r>
      <w:r>
        <w:rPr>
          <w:rFonts w:hint="eastAsia" w:ascii="宋体" w:hAnsi="宋体"/>
          <w:b/>
          <w:bCs/>
          <w:sz w:val="21"/>
          <w:szCs w:val="21"/>
        </w:rPr>
        <w:t>市场规模持续扩容</w:t>
      </w:r>
      <w:r>
        <w:rPr>
          <w:rFonts w:hint="eastAsia" w:ascii="宋体" w:hAnsi="宋体"/>
          <w:sz w:val="21"/>
          <w:szCs w:val="21"/>
        </w:rPr>
        <w:t>，2025年北京市乡村旅游接待量预计突破5500万人次，收入突破70亿元，五年复合增速分别达14.7%和17.4%，收入增速显著高于人次增速，说明</w:t>
      </w:r>
      <w:r>
        <w:rPr>
          <w:rFonts w:hint="eastAsia" w:ascii="宋体" w:hAnsi="宋体"/>
          <w:b/>
          <w:bCs/>
          <w:sz w:val="21"/>
          <w:szCs w:val="21"/>
        </w:rPr>
        <w:t>消费升级正在发生——游客花得更多了</w:t>
      </w:r>
      <w:r>
        <w:rPr>
          <w:rFonts w:hint="eastAsia" w:ascii="宋体" w:hAnsi="宋体"/>
          <w:sz w:val="21"/>
          <w:szCs w:val="21"/>
        </w:rPr>
        <w:t>；第二，</w:t>
      </w:r>
      <w:r>
        <w:rPr>
          <w:rFonts w:hint="eastAsia" w:ascii="宋体" w:hAnsi="宋体"/>
          <w:b/>
          <w:bCs/>
          <w:sz w:val="21"/>
          <w:szCs w:val="21"/>
        </w:rPr>
        <w:t>怀柔区地位稳中有升</w:t>
      </w:r>
      <w:r>
        <w:rPr>
          <w:rFonts w:hint="eastAsia" w:ascii="宋体" w:hAnsi="宋体"/>
          <w:sz w:val="21"/>
          <w:szCs w:val="21"/>
        </w:rPr>
        <w:t>，怀柔区旅游接待量占全市乡村旅游的比重从2021年的37%提升至2025年的约34%（绝对值增长但占比微降源于其他区县竞争加剧），但乡村旅游占比从32%升至38%，说明怀柔乡村板块增速快于景区板块，</w:t>
      </w:r>
      <w:r>
        <w:rPr>
          <w:rFonts w:hint="eastAsia" w:ascii="宋体" w:hAnsi="宋体"/>
          <w:b/>
          <w:bCs/>
          <w:sz w:val="21"/>
          <w:szCs w:val="21"/>
        </w:rPr>
        <w:t>其农文旅融合趋势明确</w:t>
      </w:r>
      <w:r>
        <w:rPr>
          <w:rFonts w:hint="eastAsia" w:ascii="宋体" w:hAnsi="宋体"/>
          <w:sz w:val="21"/>
          <w:szCs w:val="21"/>
        </w:rPr>
        <w:t>；第三，“微度假”已成为了主流形态，2025年“微度假”产品（当日往返或住一晚的深度体验型产品）预订占比高达58%，较2021年翻近一倍，这说明消费者不再满足于“打卡”，而是追求“沉浸”——这对本项目场景体验体系的设计方向提供了直接验证；第四，</w:t>
      </w:r>
      <w:r>
        <w:rPr>
          <w:rFonts w:hint="eastAsia" w:ascii="宋体" w:hAnsi="宋体"/>
          <w:b/>
          <w:bCs/>
          <w:sz w:val="21"/>
          <w:szCs w:val="21"/>
        </w:rPr>
        <w:t>客单价持续攀升</w:t>
      </w:r>
      <w:r>
        <w:rPr>
          <w:rFonts w:hint="eastAsia" w:ascii="宋体" w:hAnsi="宋体"/>
          <w:sz w:val="21"/>
          <w:szCs w:val="21"/>
        </w:rPr>
        <w:t>，目前人均消费从260元升至480元，五年涨幅85%，这既是通胀因素，更反映了</w:t>
      </w:r>
      <w:r>
        <w:rPr>
          <w:rFonts w:hint="eastAsia" w:ascii="宋体" w:hAnsi="宋体"/>
          <w:b/>
          <w:bCs/>
          <w:sz w:val="21"/>
          <w:szCs w:val="21"/>
        </w:rPr>
        <w:t>消费者为“体验”付费的意愿增强</w:t>
      </w:r>
      <w:r>
        <w:rPr>
          <w:rFonts w:hint="eastAsia" w:ascii="宋体" w:hAnsi="宋体"/>
          <w:sz w:val="21"/>
          <w:szCs w:val="21"/>
        </w:rPr>
        <w:t>。本项目的客单价目标（300-500元/人）与市场水平高度吻合。</w:t>
      </w:r>
    </w:p>
    <w:p w14:paraId="2B2C90A2">
      <w:pPr>
        <w:ind w:firstLine="420"/>
        <w:rPr>
          <w:rFonts w:hint="eastAsia" w:ascii="宋体" w:hAnsi="宋体"/>
          <w:sz w:val="21"/>
          <w:szCs w:val="21"/>
        </w:rPr>
      </w:pPr>
      <w:r>
        <w:rPr>
          <w:rFonts w:hint="eastAsia" w:ascii="宋体" w:hAnsi="宋体"/>
          <w:sz w:val="21"/>
          <w:szCs w:val="21"/>
        </w:rPr>
        <w:t>团队依据数据调查分析，发现有三大市场趋势值得深度拆解。</w:t>
      </w:r>
    </w:p>
    <w:p w14:paraId="4D44788B">
      <w:pPr>
        <w:ind w:firstLine="422"/>
        <w:rPr>
          <w:rFonts w:hint="eastAsia" w:ascii="宋体" w:hAnsi="宋体"/>
          <w:b/>
          <w:bCs/>
          <w:sz w:val="21"/>
          <w:szCs w:val="21"/>
        </w:rPr>
      </w:pPr>
      <w:r>
        <w:rPr>
          <w:rFonts w:hint="eastAsia" w:ascii="宋体" w:hAnsi="宋体"/>
          <w:b/>
          <w:bCs/>
          <w:sz w:val="21"/>
          <w:szCs w:val="21"/>
        </w:rPr>
        <w:t>（1）趋势一：“微度假”兴起——从“去哪里”到“怎么玩”</w:t>
      </w:r>
    </w:p>
    <w:p w14:paraId="67C72BCC">
      <w:pPr>
        <w:ind w:firstLine="420"/>
        <w:rPr>
          <w:rFonts w:hint="eastAsia" w:ascii="宋体" w:hAnsi="宋体"/>
          <w:sz w:val="21"/>
          <w:szCs w:val="21"/>
        </w:rPr>
      </w:pPr>
      <w:r>
        <w:rPr>
          <w:rFonts w:hint="eastAsia" w:ascii="宋体" w:hAnsi="宋体"/>
          <w:sz w:val="21"/>
          <w:szCs w:val="21"/>
        </w:rPr>
        <w:t>2025年京郊微度假市场呈现出新特征，73%的游客选择当日往返或住一晚，但停留时长从2021年的平均3.2小时延长至2025年的5.6小时，消费者在目的地的活动已经从“单一采摘/观光”演变为</w:t>
      </w:r>
      <w:r>
        <w:rPr>
          <w:rFonts w:hint="eastAsia" w:ascii="宋体" w:hAnsi="宋体"/>
          <w:b/>
          <w:bCs/>
          <w:sz w:val="21"/>
          <w:szCs w:val="21"/>
        </w:rPr>
        <w:t>“采摘+餐饮+体验+购物”</w:t>
      </w:r>
      <w:r>
        <w:rPr>
          <w:rFonts w:hint="eastAsia" w:ascii="宋体" w:hAnsi="宋体"/>
          <w:sz w:val="21"/>
          <w:szCs w:val="21"/>
        </w:rPr>
        <w:t>的复合消费模式。美团《2025京郊微度假报告》显示，含“骑行+采摘”、“徒步+民宿”、“研学+露营”等组合型产品销量同比增长217%，而单一采摘类产品增速仅为23%。这说明：“复合体验”正在取代“单项消费”成为主流。</w:t>
      </w:r>
    </w:p>
    <w:p w14:paraId="04AE8BBA">
      <w:pPr>
        <w:ind w:firstLine="420"/>
        <w:rPr>
          <w:rFonts w:hint="eastAsia" w:ascii="宋体" w:hAnsi="宋体"/>
          <w:sz w:val="21"/>
          <w:szCs w:val="21"/>
        </w:rPr>
      </w:pPr>
      <w:r>
        <w:rPr>
          <w:rFonts w:hint="eastAsia" w:ascii="宋体" w:hAnsi="宋体"/>
          <w:sz w:val="21"/>
          <w:szCs w:val="21"/>
        </w:rPr>
        <w:t xml:space="preserve"> </w:t>
      </w:r>
    </w:p>
    <w:p w14:paraId="73C530D1">
      <w:pPr>
        <w:ind w:firstLine="422"/>
        <w:rPr>
          <w:rFonts w:hint="eastAsia" w:ascii="宋体" w:hAnsi="宋体"/>
          <w:b/>
          <w:bCs/>
          <w:sz w:val="21"/>
          <w:szCs w:val="21"/>
        </w:rPr>
      </w:pPr>
      <w:r>
        <w:rPr>
          <w:rFonts w:hint="eastAsia" w:ascii="宋体" w:hAnsi="宋体"/>
          <w:b/>
          <w:bCs/>
          <w:sz w:val="21"/>
          <w:szCs w:val="21"/>
        </w:rPr>
        <w:t>（2）趋势二：“亲子研学”成为刚需——政策驱动+需求觉醒</w:t>
      </w:r>
    </w:p>
    <w:p w14:paraId="6F3F7F61">
      <w:pPr>
        <w:ind w:firstLine="420"/>
        <w:rPr>
          <w:rFonts w:hint="eastAsia" w:ascii="宋体" w:hAnsi="宋体"/>
          <w:sz w:val="21"/>
          <w:szCs w:val="21"/>
        </w:rPr>
      </w:pPr>
      <w:r>
        <w:rPr>
          <w:rFonts w:hint="eastAsia" w:ascii="宋体" w:hAnsi="宋体"/>
          <w:sz w:val="21"/>
          <w:szCs w:val="21"/>
        </w:rPr>
        <w:t>随着“双减”政策落地三年后，</w:t>
      </w:r>
      <w:r>
        <w:rPr>
          <w:rFonts w:hint="eastAsia" w:ascii="宋体" w:hAnsi="宋体"/>
          <w:b/>
          <w:bCs/>
          <w:sz w:val="21"/>
          <w:szCs w:val="21"/>
        </w:rPr>
        <w:t>研学市场迅速进入爆发期</w:t>
      </w:r>
      <w:r>
        <w:rPr>
          <w:rFonts w:hint="eastAsia" w:ascii="宋体" w:hAnsi="宋体"/>
          <w:sz w:val="21"/>
          <w:szCs w:val="21"/>
        </w:rPr>
        <w:t>。2025年北京市中小学研学旅行参与率达52%，较2021年提升27个百分点；其中研学类产品客单价（人均280-450元）显著高于普通采摘游（人均100-150元）。再对研学赛道进行进一步细分，其中“科技+自然”类研学增速最快，天文观测、水源保护、生态科普等“硬核科普”产品搜索量年增156%，但供给缺口明显。家长愿意为“有学有玩”的体验支付溢价。</w:t>
      </w:r>
    </w:p>
    <w:p w14:paraId="0BFEED23">
      <w:pPr>
        <w:ind w:firstLine="422"/>
        <w:rPr>
          <w:rFonts w:hint="eastAsia" w:ascii="宋体" w:hAnsi="宋体"/>
          <w:b/>
          <w:bCs/>
          <w:sz w:val="21"/>
          <w:szCs w:val="21"/>
        </w:rPr>
      </w:pPr>
      <w:r>
        <w:rPr>
          <w:rFonts w:hint="eastAsia" w:ascii="宋体" w:hAnsi="宋体"/>
          <w:b/>
          <w:bCs/>
          <w:sz w:val="21"/>
          <w:szCs w:val="21"/>
        </w:rPr>
        <w:t>（3）趋势三：“社交货币化”——打卡即流量，分享即传播</w:t>
      </w:r>
    </w:p>
    <w:p w14:paraId="7DA2AB3B">
      <w:pPr>
        <w:ind w:firstLine="420"/>
        <w:rPr>
          <w:rFonts w:hint="eastAsia" w:ascii="宋体" w:hAnsi="宋体"/>
          <w:sz w:val="21"/>
          <w:szCs w:val="21"/>
        </w:rPr>
      </w:pPr>
      <w:r>
        <w:rPr>
          <w:rFonts w:hint="eastAsia" w:ascii="宋体" w:hAnsi="宋体"/>
          <w:sz w:val="21"/>
          <w:szCs w:val="21"/>
        </w:rPr>
        <w:t>在2025年，社交媒体的“种草-拔草”闭环进一步缩短了。消费者选择目的地时，“能不能拍出好看的照片发朋友圈/小红书”已成为排名前三的决策因素。调研数据显示，68%的年轻消费者（18-35岁）表示“场景是否适合拍照打卡”直接影响其出行决策；52%的用户会因社交平台上看到的“出片”内容而在当周产生出行意愿；带有“骑行海报”、“打卡</w:t>
      </w:r>
      <w:r>
        <w:rPr>
          <w:rFonts w:ascii="宋体" w:hAnsi="宋体"/>
          <w:sz w:val="21"/>
          <w:szCs w:val="21"/>
        </w:rPr>
        <w:drawing>
          <wp:anchor distT="0" distB="0" distL="114300" distR="114300" simplePos="0" relativeHeight="251661312" behindDoc="0" locked="0" layoutInCell="1" allowOverlap="0">
            <wp:simplePos x="0" y="0"/>
            <wp:positionH relativeFrom="column">
              <wp:posOffset>0</wp:posOffset>
            </wp:positionH>
            <wp:positionV relativeFrom="line">
              <wp:posOffset>626110</wp:posOffset>
            </wp:positionV>
            <wp:extent cx="5007610" cy="3009900"/>
            <wp:effectExtent l="0" t="0" r="8890" b="0"/>
            <wp:wrapSquare wrapText="bothSides"/>
            <wp:docPr id="88520694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06948" name="图片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007610" cy="3009900"/>
                    </a:xfrm>
                    <a:prstGeom prst="rect">
                      <a:avLst/>
                    </a:prstGeom>
                    <a:noFill/>
                    <a:ln>
                      <a:noFill/>
                    </a:ln>
                  </pic:spPr>
                </pic:pic>
              </a:graphicData>
            </a:graphic>
          </wp:anchor>
        </w:drawing>
      </w:r>
      <w:r>
        <w:rPr>
          <w:rFonts w:hint="eastAsia" w:ascii="宋体" w:hAnsi="宋体"/>
          <w:sz w:val="21"/>
          <w:szCs w:val="21"/>
        </w:rPr>
        <w:t>集章”、“AR合影”等可分享元素的目的地，UGC内容产出量是普通目的地的4.7倍。</w:t>
      </w:r>
    </w:p>
    <w:tbl>
      <w:tblPr>
        <w:tblStyle w:val="14"/>
        <w:tblW w:w="0" w:type="auto"/>
        <w:tblCellSpacing w:w="0" w:type="dxa"/>
        <w:tblInd w:w="0" w:type="dxa"/>
        <w:tblLayout w:type="autofit"/>
        <w:tblCellMar>
          <w:top w:w="0" w:type="dxa"/>
          <w:left w:w="0" w:type="dxa"/>
          <w:bottom w:w="0" w:type="dxa"/>
          <w:right w:w="0" w:type="dxa"/>
        </w:tblCellMar>
      </w:tblPr>
      <w:tblGrid>
        <w:gridCol w:w="6"/>
        <w:gridCol w:w="7660"/>
      </w:tblGrid>
      <w:tr w14:paraId="004999A8">
        <w:tblPrEx>
          <w:tblCellMar>
            <w:top w:w="0" w:type="dxa"/>
            <w:left w:w="0" w:type="dxa"/>
            <w:bottom w:w="0" w:type="dxa"/>
            <w:right w:w="0" w:type="dxa"/>
          </w:tblCellMar>
        </w:tblPrEx>
        <w:trPr>
          <w:tblCellSpacing w:w="0" w:type="dxa"/>
        </w:trPr>
        <w:tc>
          <w:tcPr>
            <w:tcW w:w="0" w:type="auto"/>
            <w:vAlign w:val="center"/>
          </w:tcPr>
          <w:p w14:paraId="26F56793">
            <w:pPr>
              <w:ind w:firstLine="420"/>
              <w:rPr>
                <w:rFonts w:hint="eastAsia" w:ascii="宋体" w:hAnsi="宋体"/>
                <w:sz w:val="21"/>
                <w:szCs w:val="21"/>
              </w:rPr>
            </w:pPr>
          </w:p>
        </w:tc>
        <w:tc>
          <w:tcPr>
            <w:tcW w:w="0" w:type="auto"/>
            <w:vAlign w:val="center"/>
          </w:tcPr>
          <w:p w14:paraId="3454A372">
            <w:pPr>
              <w:ind w:firstLine="420"/>
              <w:rPr>
                <w:rFonts w:hint="eastAsia" w:ascii="宋体" w:hAnsi="宋体"/>
                <w:sz w:val="21"/>
                <w:szCs w:val="21"/>
              </w:rPr>
            </w:pPr>
            <w:r>
              <w:rPr>
                <w:rFonts w:hint="eastAsia" w:ascii="宋体" w:hAnsi="宋体"/>
                <w:sz w:val="21"/>
                <w:szCs w:val="21"/>
              </w:rPr>
              <w:drawing>
                <wp:inline distT="0" distB="0" distL="0" distR="0">
                  <wp:extent cx="4589145" cy="350520"/>
                  <wp:effectExtent l="0" t="0" r="8255" b="5080"/>
                  <wp:docPr id="67439125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91258" name="图片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4589145" cy="350520"/>
                          </a:xfrm>
                          <a:prstGeom prst="rect">
                            <a:avLst/>
                          </a:prstGeom>
                          <a:noFill/>
                          <a:ln>
                            <a:noFill/>
                          </a:ln>
                        </pic:spPr>
                      </pic:pic>
                    </a:graphicData>
                  </a:graphic>
                </wp:inline>
              </w:drawing>
            </w:r>
          </w:p>
        </w:tc>
      </w:tr>
    </w:tbl>
    <w:p w14:paraId="05567F24">
      <w:pPr>
        <w:ind w:firstLine="420"/>
        <w:rPr>
          <w:rFonts w:hint="eastAsia" w:ascii="宋体" w:hAnsi="宋体"/>
          <w:sz w:val="21"/>
          <w:szCs w:val="21"/>
        </w:rPr>
      </w:pPr>
      <w:r>
        <w:rPr>
          <w:rFonts w:hint="eastAsia" w:ascii="宋体" w:hAnsi="宋体"/>
          <w:sz w:val="21"/>
          <w:szCs w:val="21"/>
        </w:rPr>
        <w:t>（4）京郊游客消费决策影响因素</w:t>
      </w:r>
    </w:p>
    <w:p w14:paraId="14ACBBCB">
      <w:pPr>
        <w:ind w:firstLine="420"/>
        <w:rPr>
          <w:rFonts w:hint="eastAsia" w:ascii="宋体" w:hAnsi="宋体"/>
          <w:sz w:val="21"/>
          <w:szCs w:val="21"/>
        </w:rPr>
      </w:pPr>
      <w:r>
        <w:rPr>
          <w:rFonts w:hint="eastAsia" w:ascii="宋体" w:hAnsi="宋体"/>
          <w:sz w:val="21"/>
          <w:szCs w:val="21"/>
        </w:rPr>
        <w:t>如图1所示，该图清晰呈现了2025年京郊游客决策逻辑的三大结构性变化：</w:t>
      </w:r>
    </w:p>
    <w:p w14:paraId="0ADABB16">
      <w:pPr>
        <w:ind w:firstLine="420"/>
        <w:rPr>
          <w:rFonts w:hint="eastAsia" w:ascii="宋体" w:hAnsi="宋体"/>
          <w:sz w:val="21"/>
          <w:szCs w:val="21"/>
        </w:rPr>
      </w:pPr>
      <w:r>
        <w:rPr>
          <w:rFonts w:hint="eastAsia" w:ascii="宋体" w:hAnsi="宋体"/>
          <w:sz w:val="21"/>
          <w:szCs w:val="21"/>
        </w:rPr>
        <w:t>一是拍照打卡价值跃升至第二位（4.7分），与排名第一的“距离便利”仅差0.1分，这说明</w:t>
      </w:r>
      <w:r>
        <w:rPr>
          <w:rFonts w:hint="eastAsia" w:ascii="宋体" w:hAnsi="宋体"/>
          <w:b/>
          <w:bCs/>
          <w:sz w:val="21"/>
          <w:szCs w:val="21"/>
        </w:rPr>
        <w:t>“能不能出片”已从附加价值变为核心决策变量</w:t>
      </w:r>
      <w:r>
        <w:rPr>
          <w:rFonts w:hint="eastAsia" w:ascii="宋体" w:hAnsi="宋体"/>
          <w:sz w:val="21"/>
          <w:szCs w:val="21"/>
        </w:rPr>
        <w:t>，这同时对本项目的骑行海报系统、打卡节点设计、AR互动拍照等功能提出明确要求；二是</w:t>
      </w:r>
      <w:r>
        <w:rPr>
          <w:rFonts w:hint="eastAsia" w:ascii="宋体" w:hAnsi="宋体"/>
          <w:b/>
          <w:bCs/>
          <w:sz w:val="21"/>
          <w:szCs w:val="21"/>
        </w:rPr>
        <w:t>体验丰富度超越价格因素</w:t>
      </w:r>
      <w:r>
        <w:rPr>
          <w:rFonts w:hint="eastAsia" w:ascii="宋体" w:hAnsi="宋体"/>
          <w:sz w:val="21"/>
          <w:szCs w:val="21"/>
        </w:rPr>
        <w:t>，消费者更关心“能不能玩一整天”而非“花多少钱”，这验证了本项目套餐制设计的市场基础——只要内容足够丰富，消费者愿意为一日体验支付300-500元；三是</w:t>
      </w:r>
      <w:r>
        <w:rPr>
          <w:rFonts w:hint="eastAsia" w:ascii="宋体" w:hAnsi="宋体"/>
          <w:b/>
          <w:bCs/>
          <w:sz w:val="21"/>
          <w:szCs w:val="21"/>
        </w:rPr>
        <w:t>品牌知名度的权重相对靠后</w:t>
      </w:r>
      <w:r>
        <w:rPr>
          <w:rFonts w:hint="eastAsia" w:ascii="宋体" w:hAnsi="宋体"/>
          <w:sz w:val="21"/>
          <w:szCs w:val="21"/>
        </w:rPr>
        <w:t>（3.5分），这既是挑战也是机遇，新品牌可以通过优质内容和社交传播快速建立认知，不必依赖长期品牌积累，因此本项目的</w:t>
      </w:r>
      <w:r>
        <w:rPr>
          <w:rFonts w:hint="eastAsia" w:ascii="宋体" w:hAnsi="宋体"/>
          <w:b/>
          <w:bCs/>
          <w:sz w:val="21"/>
          <w:szCs w:val="21"/>
        </w:rPr>
        <w:t>“内容矩阵+KOL合作+UGC激励”</w:t>
      </w:r>
      <w:r>
        <w:rPr>
          <w:rFonts w:hint="eastAsia" w:ascii="宋体" w:hAnsi="宋体"/>
          <w:sz w:val="21"/>
          <w:szCs w:val="21"/>
        </w:rPr>
        <w:t>冷启动策略能够符合这一特征。</w:t>
      </w:r>
    </w:p>
    <w:p w14:paraId="6E6AB1FA">
      <w:pPr>
        <w:pStyle w:val="4"/>
        <w:bidi w:val="0"/>
        <w:rPr>
          <w:rFonts w:hint="eastAsia"/>
        </w:rPr>
      </w:pPr>
      <w:bookmarkStart w:id="56" w:name="_Toc14357"/>
      <w:r>
        <w:rPr>
          <w:rFonts w:hint="eastAsia"/>
        </w:rPr>
        <w:t>3.7.2樱桃产业趋势</w:t>
      </w:r>
      <w:bookmarkEnd w:id="56"/>
    </w:p>
    <w:p w14:paraId="7FD481A7">
      <w:pPr>
        <w:ind w:firstLine="420"/>
        <w:rPr>
          <w:rFonts w:hint="eastAsia" w:ascii="宋体" w:hAnsi="宋体"/>
          <w:sz w:val="21"/>
          <w:szCs w:val="21"/>
        </w:rPr>
      </w:pPr>
      <w:r>
        <w:rPr>
          <w:rFonts w:hint="eastAsia" w:ascii="宋体" w:hAnsi="宋体"/>
          <w:sz w:val="21"/>
          <w:szCs w:val="21"/>
        </w:rPr>
        <w:t>2025年，我国樱桃产业进入了“品质竞争”新阶段，其种植面积趋于稳定，品牌化加速分化，深加工成为利润增长极，电商渗透率过半，而水源地、有机认证等生态标签则成为高端市场的核心定价依据。</w:t>
      </w:r>
    </w:p>
    <w:p w14:paraId="5285AF98">
      <w:pPr>
        <w:ind w:firstLine="420"/>
        <w:rPr>
          <w:rFonts w:hint="eastAsia" w:ascii="宋体" w:hAnsi="宋体"/>
          <w:sz w:val="21"/>
          <w:szCs w:val="21"/>
        </w:rPr>
      </w:pPr>
    </w:p>
    <w:p w14:paraId="739286C7">
      <w:pPr>
        <w:ind w:firstLine="420"/>
        <w:jc w:val="center"/>
        <w:rPr>
          <w:rFonts w:hint="eastAsia" w:ascii="宋体" w:hAnsi="宋体"/>
          <w:sz w:val="21"/>
          <w:szCs w:val="21"/>
        </w:rPr>
      </w:pPr>
      <w:r>
        <w:rPr>
          <w:rFonts w:hint="eastAsia" w:ascii="宋体" w:hAnsi="宋体"/>
          <w:sz w:val="21"/>
          <w:szCs w:val="21"/>
        </w:rPr>
        <w:t xml:space="preserve">表 </w:t>
      </w:r>
      <w:r>
        <w:rPr>
          <w:rFonts w:ascii="宋体" w:hAnsi="宋体"/>
          <w:sz w:val="21"/>
          <w:szCs w:val="21"/>
        </w:rPr>
        <w:t>2</w:t>
      </w:r>
      <w:r>
        <w:rPr>
          <w:rFonts w:hint="eastAsia" w:ascii="宋体" w:hAnsi="宋体"/>
          <w:sz w:val="21"/>
          <w:szCs w:val="21"/>
        </w:rPr>
        <w:t xml:space="preserve"> 中国樱桃产业关键数据（2025年）</w:t>
      </w: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60"/>
        <w:gridCol w:w="1559"/>
        <w:gridCol w:w="1276"/>
        <w:gridCol w:w="3027"/>
      </w:tblGrid>
      <w:tr w14:paraId="754EF6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60" w:type="dxa"/>
            <w:tcBorders>
              <w:top w:val="single" w:color="000000" w:themeColor="text1" w:sz="18" w:space="0"/>
              <w:left w:val="nil"/>
              <w:bottom w:val="single" w:color="000000" w:themeColor="text1" w:sz="12" w:space="0"/>
              <w:right w:val="nil"/>
              <w:insideV w:val="nil"/>
            </w:tcBorders>
            <w:shd w:val="clear" w:color="auto" w:fill="FFFFFF"/>
          </w:tcPr>
          <w:p w14:paraId="62F55315">
            <w:pPr>
              <w:spacing w:after="160" w:line="278" w:lineRule="auto"/>
              <w:ind w:firstLine="0" w:firstLineChars="0"/>
              <w:rPr>
                <w:rFonts w:hint="eastAsia" w:ascii="宋体" w:hAnsi="宋体"/>
                <w:b/>
                <w:color w:val="464F41"/>
                <w:kern w:val="0"/>
                <w:sz w:val="21"/>
                <w:szCs w:val="21"/>
                <w:lang w:eastAsia="en-US"/>
                <w14:ligatures w14:val="none"/>
              </w:rPr>
            </w:pPr>
            <w:r>
              <w:rPr>
                <w:rFonts w:ascii="宋体" w:hAnsi="宋体"/>
                <w:b/>
                <w:color w:val="464F41"/>
                <w:kern w:val="0"/>
                <w:sz w:val="21"/>
                <w:szCs w:val="21"/>
                <w:lang w:eastAsia="en-US"/>
                <w14:ligatures w14:val="none"/>
              </w:rPr>
              <w:t>指标</w:t>
            </w:r>
          </w:p>
        </w:tc>
        <w:tc>
          <w:tcPr>
            <w:tcW w:w="1559" w:type="dxa"/>
            <w:tcBorders>
              <w:top w:val="single" w:color="000000" w:themeColor="text1" w:sz="18" w:space="0"/>
              <w:left w:val="nil"/>
              <w:bottom w:val="single" w:color="000000" w:themeColor="text1" w:sz="12" w:space="0"/>
              <w:right w:val="nil"/>
              <w:insideV w:val="nil"/>
            </w:tcBorders>
            <w:shd w:val="clear" w:color="auto" w:fill="FFFFFF"/>
          </w:tcPr>
          <w:p w14:paraId="179DD693">
            <w:pPr>
              <w:spacing w:after="160" w:line="278" w:lineRule="auto"/>
              <w:ind w:firstLine="0" w:firstLineChars="0"/>
              <w:rPr>
                <w:rFonts w:hint="eastAsia" w:ascii="宋体" w:hAnsi="宋体"/>
                <w:b/>
                <w:color w:val="464F41"/>
                <w:kern w:val="0"/>
                <w:sz w:val="21"/>
                <w:szCs w:val="21"/>
                <w:lang w:eastAsia="en-US"/>
                <w14:ligatures w14:val="none"/>
              </w:rPr>
            </w:pPr>
            <w:r>
              <w:rPr>
                <w:rFonts w:ascii="宋体" w:hAnsi="宋体"/>
                <w:b/>
                <w:color w:val="464F41"/>
                <w:kern w:val="0"/>
                <w:sz w:val="21"/>
                <w:szCs w:val="21"/>
                <w:lang w:eastAsia="en-US"/>
                <w14:ligatures w14:val="none"/>
              </w:rPr>
              <w:t>2025</w:t>
            </w:r>
            <w:r>
              <w:rPr>
                <w:rFonts w:hint="eastAsia" w:ascii="宋体" w:hAnsi="宋体" w:cs="宋体"/>
                <w:b/>
                <w:color w:val="464F41"/>
                <w:kern w:val="0"/>
                <w:sz w:val="21"/>
                <w:szCs w:val="21"/>
                <w:lang w:eastAsia="en-US"/>
                <w14:ligatures w14:val="none"/>
              </w:rPr>
              <w:t>年数值</w:t>
            </w:r>
          </w:p>
        </w:tc>
        <w:tc>
          <w:tcPr>
            <w:tcW w:w="1276" w:type="dxa"/>
            <w:tcBorders>
              <w:top w:val="single" w:color="000000" w:themeColor="text1" w:sz="18" w:space="0"/>
              <w:left w:val="nil"/>
              <w:bottom w:val="single" w:color="000000" w:themeColor="text1" w:sz="12" w:space="0"/>
              <w:right w:val="nil"/>
              <w:insideV w:val="nil"/>
            </w:tcBorders>
            <w:shd w:val="clear" w:color="auto" w:fill="FFFFFF"/>
          </w:tcPr>
          <w:p w14:paraId="6029228E">
            <w:pPr>
              <w:spacing w:after="160" w:line="278" w:lineRule="auto"/>
              <w:ind w:firstLine="0" w:firstLineChars="0"/>
              <w:rPr>
                <w:rFonts w:hint="eastAsia" w:ascii="宋体" w:hAnsi="宋体"/>
                <w:b/>
                <w:color w:val="464F41"/>
                <w:kern w:val="0"/>
                <w:sz w:val="21"/>
                <w:szCs w:val="21"/>
                <w:lang w:eastAsia="en-US"/>
                <w14:ligatures w14:val="none"/>
              </w:rPr>
            </w:pPr>
            <w:r>
              <w:rPr>
                <w:rFonts w:hint="eastAsia" w:ascii="宋体" w:hAnsi="宋体" w:cs="宋体"/>
                <w:b/>
                <w:color w:val="464F41"/>
                <w:kern w:val="0"/>
                <w:sz w:val="21"/>
                <w:szCs w:val="21"/>
                <w:lang w:eastAsia="en-US"/>
                <w14:ligatures w14:val="none"/>
              </w:rPr>
              <w:t>同比变化</w:t>
            </w:r>
          </w:p>
        </w:tc>
        <w:tc>
          <w:tcPr>
            <w:tcW w:w="3027" w:type="dxa"/>
            <w:tcBorders>
              <w:top w:val="single" w:color="000000" w:themeColor="text1" w:sz="18" w:space="0"/>
              <w:left w:val="nil"/>
              <w:bottom w:val="single" w:color="000000" w:themeColor="text1" w:sz="12" w:space="0"/>
              <w:insideV w:val="nil"/>
            </w:tcBorders>
            <w:shd w:val="clear" w:color="auto" w:fill="FFFFFF"/>
          </w:tcPr>
          <w:p w14:paraId="3BE0C41A">
            <w:pPr>
              <w:spacing w:after="160" w:line="278" w:lineRule="auto"/>
              <w:ind w:firstLine="0" w:firstLineChars="0"/>
              <w:rPr>
                <w:rFonts w:hint="eastAsia" w:ascii="宋体" w:hAnsi="宋体"/>
                <w:b/>
                <w:color w:val="464F41"/>
                <w:kern w:val="0"/>
                <w:sz w:val="21"/>
                <w:szCs w:val="21"/>
                <w:lang w:eastAsia="en-US"/>
                <w14:ligatures w14:val="none"/>
              </w:rPr>
            </w:pPr>
            <w:r>
              <w:rPr>
                <w:rFonts w:hint="eastAsia" w:ascii="宋体" w:hAnsi="宋体" w:cs="宋体"/>
                <w:b/>
                <w:color w:val="464F41"/>
                <w:kern w:val="0"/>
                <w:sz w:val="21"/>
                <w:szCs w:val="21"/>
                <w:lang w:eastAsia="en-US"/>
                <w14:ligatures w14:val="none"/>
              </w:rPr>
              <w:t>趋势解读</w:t>
            </w:r>
          </w:p>
        </w:tc>
      </w:tr>
      <w:tr w14:paraId="4CBC61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60" w:type="dxa"/>
            <w:tcBorders>
              <w:top w:val="single" w:color="000000" w:themeColor="text1" w:sz="12" w:space="0"/>
            </w:tcBorders>
            <w:shd w:val="clear" w:color="auto" w:fill="auto"/>
          </w:tcPr>
          <w:p w14:paraId="3EE00DFB">
            <w:pPr>
              <w:spacing w:after="160" w:line="278" w:lineRule="auto"/>
              <w:ind w:firstLine="0" w:firstLineChars="0"/>
              <w:rPr>
                <w:rFonts w:hint="eastAsia" w:ascii="宋体" w:hAnsi="宋体"/>
                <w:color w:val="464F41"/>
                <w:kern w:val="0"/>
                <w:sz w:val="21"/>
                <w:szCs w:val="21"/>
                <w:lang w:eastAsia="en-US"/>
                <w14:ligatures w14:val="none"/>
              </w:rPr>
            </w:pPr>
            <w:r>
              <w:rPr>
                <w:rFonts w:hint="eastAsia" w:ascii="宋体" w:hAnsi="宋体" w:cs="宋体"/>
                <w:color w:val="464F41"/>
                <w:kern w:val="0"/>
                <w:sz w:val="21"/>
                <w:szCs w:val="21"/>
                <w:lang w:eastAsia="en-US"/>
                <w14:ligatures w14:val="none"/>
              </w:rPr>
              <w:t>全国甜樱桃种植面积</w:t>
            </w:r>
          </w:p>
        </w:tc>
        <w:tc>
          <w:tcPr>
            <w:tcW w:w="1559" w:type="dxa"/>
            <w:tcBorders>
              <w:top w:val="single" w:color="000000" w:themeColor="text1" w:sz="12" w:space="0"/>
            </w:tcBorders>
            <w:shd w:val="clear" w:color="auto" w:fill="auto"/>
          </w:tcPr>
          <w:p w14:paraId="19F59CEA">
            <w:pPr>
              <w:spacing w:after="160" w:line="278" w:lineRule="auto"/>
              <w:ind w:firstLine="0" w:firstLineChars="0"/>
              <w:rPr>
                <w:rFonts w:hint="eastAsia" w:ascii="宋体" w:hAnsi="宋体"/>
                <w:color w:val="464F41"/>
                <w:kern w:val="0"/>
                <w:sz w:val="21"/>
                <w:szCs w:val="21"/>
                <w:lang w:eastAsia="en-US"/>
                <w14:ligatures w14:val="none"/>
              </w:rPr>
            </w:pPr>
            <w:r>
              <w:rPr>
                <w:rFonts w:ascii="宋体" w:hAnsi="宋体"/>
                <w:color w:val="464F41"/>
                <w:kern w:val="0"/>
                <w:sz w:val="21"/>
                <w:szCs w:val="21"/>
                <w:lang w:eastAsia="en-US"/>
                <w14:ligatures w14:val="none"/>
              </w:rPr>
              <w:t>380</w:t>
            </w:r>
            <w:r>
              <w:rPr>
                <w:rFonts w:hint="eastAsia" w:ascii="宋体" w:hAnsi="宋体" w:cs="宋体"/>
                <w:color w:val="464F41"/>
                <w:kern w:val="0"/>
                <w:sz w:val="21"/>
                <w:szCs w:val="21"/>
                <w:lang w:eastAsia="en-US"/>
                <w14:ligatures w14:val="none"/>
              </w:rPr>
              <w:t>万亩</w:t>
            </w:r>
          </w:p>
        </w:tc>
        <w:tc>
          <w:tcPr>
            <w:tcW w:w="1276" w:type="dxa"/>
            <w:tcBorders>
              <w:top w:val="single" w:color="000000" w:themeColor="text1" w:sz="12" w:space="0"/>
            </w:tcBorders>
            <w:shd w:val="clear" w:color="auto" w:fill="auto"/>
          </w:tcPr>
          <w:p w14:paraId="71B378D2">
            <w:pPr>
              <w:spacing w:after="160" w:line="278" w:lineRule="auto"/>
              <w:ind w:firstLine="0" w:firstLineChars="0"/>
              <w:rPr>
                <w:rFonts w:hint="eastAsia" w:ascii="宋体" w:hAnsi="宋体"/>
                <w:color w:val="464F41"/>
                <w:kern w:val="0"/>
                <w:sz w:val="21"/>
                <w:szCs w:val="21"/>
                <w:lang w:eastAsia="en-US"/>
                <w14:ligatures w14:val="none"/>
              </w:rPr>
            </w:pPr>
            <w:r>
              <w:rPr>
                <w:rFonts w:ascii="宋体" w:hAnsi="宋体"/>
                <w:color w:val="464F41"/>
                <w:kern w:val="0"/>
                <w:sz w:val="21"/>
                <w:szCs w:val="21"/>
                <w:lang w:eastAsia="en-US"/>
                <w14:ligatures w14:val="none"/>
              </w:rPr>
              <w:t>+3.2%</w:t>
            </w:r>
          </w:p>
        </w:tc>
        <w:tc>
          <w:tcPr>
            <w:tcW w:w="3027" w:type="dxa"/>
            <w:tcBorders>
              <w:top w:val="single" w:color="000000" w:themeColor="text1" w:sz="12" w:space="0"/>
            </w:tcBorders>
            <w:shd w:val="clear" w:color="auto" w:fill="auto"/>
          </w:tcPr>
          <w:p w14:paraId="02200A7F">
            <w:pPr>
              <w:spacing w:after="160" w:line="278" w:lineRule="auto"/>
              <w:ind w:firstLine="0" w:firstLineChars="0"/>
              <w:rPr>
                <w:rFonts w:hint="eastAsia" w:ascii="宋体" w:hAnsi="宋体"/>
                <w:color w:val="464F41"/>
                <w:kern w:val="0"/>
                <w:sz w:val="21"/>
                <w:szCs w:val="21"/>
                <w:lang w:eastAsia="zh-CN"/>
                <w14:ligatures w14:val="none"/>
              </w:rPr>
            </w:pPr>
            <w:r>
              <w:rPr>
                <w:rFonts w:hint="eastAsia" w:ascii="宋体" w:hAnsi="宋体" w:cs="宋体"/>
                <w:color w:val="464F41"/>
                <w:kern w:val="0"/>
                <w:sz w:val="21"/>
                <w:szCs w:val="21"/>
                <w:lang w:eastAsia="zh-CN"/>
                <w14:ligatures w14:val="none"/>
              </w:rPr>
              <w:t>增速放缓，从面积扩张转向单产提升</w:t>
            </w:r>
          </w:p>
        </w:tc>
      </w:tr>
      <w:tr w14:paraId="4D0E82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60" w:type="dxa"/>
            <w:shd w:val="clear" w:color="auto" w:fill="auto"/>
          </w:tcPr>
          <w:p w14:paraId="39445A16">
            <w:pPr>
              <w:spacing w:after="160" w:line="278" w:lineRule="auto"/>
              <w:ind w:firstLine="0" w:firstLineChars="0"/>
              <w:rPr>
                <w:rFonts w:hint="eastAsia" w:ascii="宋体" w:hAnsi="宋体"/>
                <w:color w:val="464F41"/>
                <w:kern w:val="0"/>
                <w:sz w:val="21"/>
                <w:szCs w:val="21"/>
                <w:lang w:eastAsia="en-US"/>
                <w14:ligatures w14:val="none"/>
              </w:rPr>
            </w:pPr>
            <w:r>
              <w:rPr>
                <w:rFonts w:hint="eastAsia" w:ascii="宋体" w:hAnsi="宋体" w:cs="宋体"/>
                <w:color w:val="464F41"/>
                <w:kern w:val="0"/>
                <w:sz w:val="21"/>
                <w:szCs w:val="21"/>
                <w:lang w:eastAsia="en-US"/>
                <w14:ligatures w14:val="none"/>
              </w:rPr>
              <w:t>全国年产量</w:t>
            </w:r>
          </w:p>
        </w:tc>
        <w:tc>
          <w:tcPr>
            <w:tcW w:w="1559" w:type="dxa"/>
            <w:shd w:val="clear" w:color="auto" w:fill="auto"/>
          </w:tcPr>
          <w:p w14:paraId="265D4495">
            <w:pPr>
              <w:spacing w:after="160" w:line="278" w:lineRule="auto"/>
              <w:ind w:firstLine="0" w:firstLineChars="0"/>
              <w:rPr>
                <w:rFonts w:hint="eastAsia" w:ascii="宋体" w:hAnsi="宋体"/>
                <w:color w:val="464F41"/>
                <w:kern w:val="0"/>
                <w:sz w:val="21"/>
                <w:szCs w:val="21"/>
                <w:lang w:eastAsia="en-US"/>
                <w14:ligatures w14:val="none"/>
              </w:rPr>
            </w:pPr>
            <w:r>
              <w:rPr>
                <w:rFonts w:ascii="宋体" w:hAnsi="宋体"/>
                <w:color w:val="464F41"/>
                <w:kern w:val="0"/>
                <w:sz w:val="21"/>
                <w:szCs w:val="21"/>
                <w:lang w:eastAsia="en-US"/>
                <w14:ligatures w14:val="none"/>
              </w:rPr>
              <w:t>175</w:t>
            </w:r>
            <w:r>
              <w:rPr>
                <w:rFonts w:hint="eastAsia" w:ascii="宋体" w:hAnsi="宋体" w:cs="宋体"/>
                <w:color w:val="464F41"/>
                <w:kern w:val="0"/>
                <w:sz w:val="21"/>
                <w:szCs w:val="21"/>
                <w:lang w:eastAsia="en-US"/>
                <w14:ligatures w14:val="none"/>
              </w:rPr>
              <w:t>万吨</w:t>
            </w:r>
          </w:p>
        </w:tc>
        <w:tc>
          <w:tcPr>
            <w:tcW w:w="1276" w:type="dxa"/>
            <w:shd w:val="clear" w:color="auto" w:fill="auto"/>
          </w:tcPr>
          <w:p w14:paraId="11C37CB5">
            <w:pPr>
              <w:spacing w:after="160" w:line="278" w:lineRule="auto"/>
              <w:ind w:firstLine="0" w:firstLineChars="0"/>
              <w:rPr>
                <w:rFonts w:hint="eastAsia" w:ascii="宋体" w:hAnsi="宋体"/>
                <w:color w:val="464F41"/>
                <w:kern w:val="0"/>
                <w:sz w:val="21"/>
                <w:szCs w:val="21"/>
                <w:lang w:eastAsia="en-US"/>
                <w14:ligatures w14:val="none"/>
              </w:rPr>
            </w:pPr>
            <w:r>
              <w:rPr>
                <w:rFonts w:ascii="宋体" w:hAnsi="宋体"/>
                <w:color w:val="464F41"/>
                <w:kern w:val="0"/>
                <w:sz w:val="21"/>
                <w:szCs w:val="21"/>
                <w:lang w:eastAsia="en-US"/>
                <w14:ligatures w14:val="none"/>
              </w:rPr>
              <w:t>+4.5%</w:t>
            </w:r>
          </w:p>
        </w:tc>
        <w:tc>
          <w:tcPr>
            <w:tcW w:w="3027" w:type="dxa"/>
            <w:shd w:val="clear" w:color="auto" w:fill="auto"/>
          </w:tcPr>
          <w:p w14:paraId="740C8993">
            <w:pPr>
              <w:spacing w:after="160" w:line="278" w:lineRule="auto"/>
              <w:ind w:firstLine="0" w:firstLineChars="0"/>
              <w:rPr>
                <w:rFonts w:hint="eastAsia" w:ascii="宋体" w:hAnsi="宋体"/>
                <w:color w:val="464F41"/>
                <w:kern w:val="0"/>
                <w:sz w:val="21"/>
                <w:szCs w:val="21"/>
                <w:lang w:eastAsia="zh-CN"/>
                <w14:ligatures w14:val="none"/>
              </w:rPr>
            </w:pPr>
            <w:r>
              <w:rPr>
                <w:rFonts w:hint="eastAsia" w:ascii="宋体" w:hAnsi="宋体" w:cs="宋体"/>
                <w:color w:val="464F41"/>
                <w:kern w:val="0"/>
                <w:sz w:val="21"/>
                <w:szCs w:val="21"/>
                <w:lang w:eastAsia="zh-CN"/>
                <w14:ligatures w14:val="none"/>
              </w:rPr>
              <w:t>设施樱桃占比升至</w:t>
            </w:r>
            <w:r>
              <w:rPr>
                <w:rFonts w:ascii="宋体" w:hAnsi="宋体"/>
                <w:color w:val="464F41"/>
                <w:kern w:val="0"/>
                <w:sz w:val="21"/>
                <w:szCs w:val="21"/>
                <w:lang w:eastAsia="zh-CN"/>
                <w14:ligatures w14:val="none"/>
              </w:rPr>
              <w:t>22%</w:t>
            </w:r>
            <w:r>
              <w:rPr>
                <w:rFonts w:hint="eastAsia" w:ascii="宋体" w:hAnsi="宋体" w:cs="宋体"/>
                <w:color w:val="464F41"/>
                <w:kern w:val="0"/>
                <w:sz w:val="21"/>
                <w:szCs w:val="21"/>
                <w:lang w:eastAsia="zh-CN"/>
                <w14:ligatures w14:val="none"/>
              </w:rPr>
              <w:t>，反季节供应增加</w:t>
            </w:r>
          </w:p>
        </w:tc>
      </w:tr>
      <w:tr w14:paraId="41A2F4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60" w:type="dxa"/>
            <w:shd w:val="clear" w:color="auto" w:fill="auto"/>
          </w:tcPr>
          <w:p w14:paraId="16943496">
            <w:pPr>
              <w:spacing w:after="160" w:line="278" w:lineRule="auto"/>
              <w:ind w:firstLine="0" w:firstLineChars="0"/>
              <w:rPr>
                <w:rFonts w:hint="eastAsia" w:ascii="宋体" w:hAnsi="宋体"/>
                <w:color w:val="464F41"/>
                <w:kern w:val="0"/>
                <w:sz w:val="21"/>
                <w:szCs w:val="21"/>
                <w:lang w:eastAsia="en-US"/>
                <w14:ligatures w14:val="none"/>
              </w:rPr>
            </w:pPr>
            <w:r>
              <w:rPr>
                <w:rFonts w:hint="eastAsia" w:ascii="宋体" w:hAnsi="宋体" w:cs="宋体"/>
                <w:color w:val="464F41"/>
                <w:kern w:val="0"/>
                <w:sz w:val="21"/>
                <w:szCs w:val="21"/>
                <w:lang w:eastAsia="en-US"/>
                <w14:ligatures w14:val="none"/>
              </w:rPr>
              <w:t>品牌化率</w:t>
            </w:r>
          </w:p>
        </w:tc>
        <w:tc>
          <w:tcPr>
            <w:tcW w:w="1559" w:type="dxa"/>
            <w:shd w:val="clear" w:color="auto" w:fill="auto"/>
          </w:tcPr>
          <w:p w14:paraId="067FCCCE">
            <w:pPr>
              <w:spacing w:after="160" w:line="278" w:lineRule="auto"/>
              <w:ind w:firstLine="0" w:firstLineChars="0"/>
              <w:rPr>
                <w:rFonts w:hint="eastAsia" w:ascii="宋体" w:hAnsi="宋体"/>
                <w:color w:val="464F41"/>
                <w:kern w:val="0"/>
                <w:sz w:val="21"/>
                <w:szCs w:val="21"/>
                <w:lang w:eastAsia="en-US"/>
                <w14:ligatures w14:val="none"/>
              </w:rPr>
            </w:pPr>
            <w:r>
              <w:rPr>
                <w:rFonts w:hint="eastAsia" w:ascii="宋体" w:hAnsi="宋体" w:cs="宋体"/>
                <w:color w:val="464F41"/>
                <w:kern w:val="0"/>
                <w:sz w:val="21"/>
                <w:szCs w:val="21"/>
                <w:lang w:eastAsia="en-US"/>
                <w14:ligatures w14:val="none"/>
              </w:rPr>
              <w:t>约</w:t>
            </w:r>
            <w:r>
              <w:rPr>
                <w:rFonts w:ascii="宋体" w:hAnsi="宋体"/>
                <w:color w:val="464F41"/>
                <w:kern w:val="0"/>
                <w:sz w:val="21"/>
                <w:szCs w:val="21"/>
                <w:lang w:eastAsia="en-US"/>
                <w14:ligatures w14:val="none"/>
              </w:rPr>
              <w:t>8%</w:t>
            </w:r>
          </w:p>
        </w:tc>
        <w:tc>
          <w:tcPr>
            <w:tcW w:w="1276" w:type="dxa"/>
            <w:shd w:val="clear" w:color="auto" w:fill="auto"/>
          </w:tcPr>
          <w:p w14:paraId="61057A22">
            <w:pPr>
              <w:spacing w:after="160" w:line="278" w:lineRule="auto"/>
              <w:ind w:firstLine="0" w:firstLineChars="0"/>
              <w:rPr>
                <w:rFonts w:hint="eastAsia" w:ascii="宋体" w:hAnsi="宋体"/>
                <w:color w:val="464F41"/>
                <w:kern w:val="0"/>
                <w:sz w:val="21"/>
                <w:szCs w:val="21"/>
                <w:lang w:eastAsia="en-US"/>
                <w14:ligatures w14:val="none"/>
              </w:rPr>
            </w:pPr>
            <w:r>
              <w:rPr>
                <w:rFonts w:ascii="宋体" w:hAnsi="宋体"/>
                <w:color w:val="464F41"/>
                <w:kern w:val="0"/>
                <w:sz w:val="21"/>
                <w:szCs w:val="21"/>
                <w:lang w:eastAsia="en-US"/>
                <w14:ligatures w14:val="none"/>
              </w:rPr>
              <w:t>+1.5pct</w:t>
            </w:r>
          </w:p>
        </w:tc>
        <w:tc>
          <w:tcPr>
            <w:tcW w:w="3027" w:type="dxa"/>
            <w:shd w:val="clear" w:color="auto" w:fill="auto"/>
          </w:tcPr>
          <w:p w14:paraId="5EF38873">
            <w:pPr>
              <w:spacing w:after="160" w:line="278" w:lineRule="auto"/>
              <w:ind w:firstLine="0" w:firstLineChars="0"/>
              <w:rPr>
                <w:rFonts w:hint="eastAsia" w:ascii="宋体" w:hAnsi="宋体"/>
                <w:color w:val="464F41"/>
                <w:kern w:val="0"/>
                <w:sz w:val="21"/>
                <w:szCs w:val="21"/>
                <w:lang w:eastAsia="zh-CN"/>
                <w14:ligatures w14:val="none"/>
              </w:rPr>
            </w:pPr>
            <w:r>
              <w:rPr>
                <w:rFonts w:hint="eastAsia" w:ascii="宋体" w:hAnsi="宋体" w:cs="宋体"/>
                <w:color w:val="464F41"/>
                <w:kern w:val="0"/>
                <w:sz w:val="21"/>
                <w:szCs w:val="21"/>
                <w:lang w:eastAsia="zh-CN"/>
                <w14:ligatures w14:val="none"/>
              </w:rPr>
              <w:t>虽有提升但品牌化仍是行业最大短板</w:t>
            </w:r>
          </w:p>
        </w:tc>
      </w:tr>
      <w:tr w14:paraId="5378F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60" w:type="dxa"/>
            <w:shd w:val="clear" w:color="auto" w:fill="auto"/>
          </w:tcPr>
          <w:p w14:paraId="18EE67C7">
            <w:pPr>
              <w:spacing w:after="160" w:line="278" w:lineRule="auto"/>
              <w:ind w:firstLine="0" w:firstLineChars="0"/>
              <w:rPr>
                <w:rFonts w:hint="eastAsia" w:ascii="宋体" w:hAnsi="宋体"/>
                <w:color w:val="464F41"/>
                <w:kern w:val="0"/>
                <w:sz w:val="21"/>
                <w:szCs w:val="21"/>
                <w:lang w:eastAsia="en-US"/>
                <w14:ligatures w14:val="none"/>
              </w:rPr>
            </w:pPr>
            <w:r>
              <w:rPr>
                <w:rFonts w:hint="eastAsia" w:ascii="宋体" w:hAnsi="宋体" w:cs="宋体"/>
                <w:color w:val="464F41"/>
                <w:kern w:val="0"/>
                <w:sz w:val="21"/>
                <w:szCs w:val="21"/>
                <w:lang w:eastAsia="en-US"/>
                <w14:ligatures w14:val="none"/>
              </w:rPr>
              <w:t>深加工比例</w:t>
            </w:r>
          </w:p>
        </w:tc>
        <w:tc>
          <w:tcPr>
            <w:tcW w:w="1559" w:type="dxa"/>
            <w:shd w:val="clear" w:color="auto" w:fill="auto"/>
          </w:tcPr>
          <w:p w14:paraId="41792364">
            <w:pPr>
              <w:spacing w:after="160" w:line="278" w:lineRule="auto"/>
              <w:ind w:firstLine="0" w:firstLineChars="0"/>
              <w:rPr>
                <w:rFonts w:hint="eastAsia" w:ascii="宋体" w:hAnsi="宋体"/>
                <w:color w:val="464F41"/>
                <w:kern w:val="0"/>
                <w:sz w:val="21"/>
                <w:szCs w:val="21"/>
                <w:lang w:eastAsia="en-US"/>
                <w14:ligatures w14:val="none"/>
              </w:rPr>
            </w:pPr>
            <w:r>
              <w:rPr>
                <w:rFonts w:hint="eastAsia" w:ascii="宋体" w:hAnsi="宋体" w:cs="宋体"/>
                <w:color w:val="464F41"/>
                <w:kern w:val="0"/>
                <w:sz w:val="21"/>
                <w:szCs w:val="21"/>
                <w:lang w:eastAsia="en-US"/>
                <w14:ligatures w14:val="none"/>
              </w:rPr>
              <w:t>约</w:t>
            </w:r>
            <w:r>
              <w:rPr>
                <w:rFonts w:ascii="宋体" w:hAnsi="宋体"/>
                <w:color w:val="464F41"/>
                <w:kern w:val="0"/>
                <w:sz w:val="21"/>
                <w:szCs w:val="21"/>
                <w:lang w:eastAsia="en-US"/>
                <w14:ligatures w14:val="none"/>
              </w:rPr>
              <w:t>11%</w:t>
            </w:r>
          </w:p>
        </w:tc>
        <w:tc>
          <w:tcPr>
            <w:tcW w:w="1276" w:type="dxa"/>
            <w:shd w:val="clear" w:color="auto" w:fill="auto"/>
          </w:tcPr>
          <w:p w14:paraId="1008DD15">
            <w:pPr>
              <w:spacing w:after="160" w:line="278" w:lineRule="auto"/>
              <w:ind w:firstLine="0" w:firstLineChars="0"/>
              <w:rPr>
                <w:rFonts w:hint="eastAsia" w:ascii="宋体" w:hAnsi="宋体"/>
                <w:color w:val="464F41"/>
                <w:kern w:val="0"/>
                <w:sz w:val="21"/>
                <w:szCs w:val="21"/>
                <w:lang w:eastAsia="en-US"/>
                <w14:ligatures w14:val="none"/>
              </w:rPr>
            </w:pPr>
            <w:r>
              <w:rPr>
                <w:rFonts w:ascii="宋体" w:hAnsi="宋体"/>
                <w:color w:val="464F41"/>
                <w:kern w:val="0"/>
                <w:sz w:val="21"/>
                <w:szCs w:val="21"/>
                <w:lang w:eastAsia="en-US"/>
                <w14:ligatures w14:val="none"/>
              </w:rPr>
              <w:t>+1.2pct</w:t>
            </w:r>
          </w:p>
        </w:tc>
        <w:tc>
          <w:tcPr>
            <w:tcW w:w="3027" w:type="dxa"/>
            <w:shd w:val="clear" w:color="auto" w:fill="auto"/>
          </w:tcPr>
          <w:p w14:paraId="7B133816">
            <w:pPr>
              <w:spacing w:after="160" w:line="278" w:lineRule="auto"/>
              <w:ind w:firstLine="0" w:firstLineChars="0"/>
              <w:rPr>
                <w:rFonts w:hint="eastAsia" w:ascii="宋体" w:hAnsi="宋体"/>
                <w:color w:val="464F41"/>
                <w:kern w:val="0"/>
                <w:sz w:val="21"/>
                <w:szCs w:val="21"/>
                <w:lang w:eastAsia="en-US"/>
                <w14:ligatures w14:val="none"/>
              </w:rPr>
            </w:pPr>
            <w:r>
              <w:rPr>
                <w:rFonts w:hint="eastAsia" w:ascii="宋体" w:hAnsi="宋体" w:cs="宋体"/>
                <w:color w:val="464F41"/>
                <w:kern w:val="0"/>
                <w:sz w:val="21"/>
                <w:szCs w:val="21"/>
                <w:lang w:eastAsia="en-US"/>
                <w14:ligatures w14:val="none"/>
              </w:rPr>
              <w:t>对比美欧仍有</w:t>
            </w:r>
            <w:r>
              <w:rPr>
                <w:rFonts w:ascii="宋体" w:hAnsi="宋体"/>
                <w:color w:val="464F41"/>
                <w:kern w:val="0"/>
                <w:sz w:val="21"/>
                <w:szCs w:val="21"/>
                <w:lang w:eastAsia="en-US"/>
                <w14:ligatures w14:val="none"/>
              </w:rPr>
              <w:t>2-3</w:t>
            </w:r>
            <w:r>
              <w:rPr>
                <w:rFonts w:hint="eastAsia" w:ascii="宋体" w:hAnsi="宋体" w:cs="宋体"/>
                <w:color w:val="464F41"/>
                <w:kern w:val="0"/>
                <w:sz w:val="21"/>
                <w:szCs w:val="21"/>
                <w:lang w:eastAsia="en-US"/>
                <w14:ligatures w14:val="none"/>
              </w:rPr>
              <w:t>倍空间</w:t>
            </w:r>
          </w:p>
        </w:tc>
      </w:tr>
      <w:tr w14:paraId="489075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60" w:type="dxa"/>
            <w:shd w:val="clear" w:color="auto" w:fill="auto"/>
          </w:tcPr>
          <w:p w14:paraId="3249B7E3">
            <w:pPr>
              <w:spacing w:after="160" w:line="278" w:lineRule="auto"/>
              <w:ind w:firstLine="0" w:firstLineChars="0"/>
              <w:rPr>
                <w:rFonts w:hint="eastAsia" w:ascii="宋体" w:hAnsi="宋体"/>
                <w:color w:val="464F41"/>
                <w:kern w:val="0"/>
                <w:sz w:val="21"/>
                <w:szCs w:val="21"/>
                <w:lang w:eastAsia="en-US"/>
                <w14:ligatures w14:val="none"/>
              </w:rPr>
            </w:pPr>
            <w:r>
              <w:rPr>
                <w:rFonts w:hint="eastAsia" w:ascii="宋体" w:hAnsi="宋体" w:cs="宋体"/>
                <w:color w:val="464F41"/>
                <w:kern w:val="0"/>
                <w:sz w:val="21"/>
                <w:szCs w:val="21"/>
                <w:lang w:eastAsia="en-US"/>
                <w14:ligatures w14:val="none"/>
              </w:rPr>
              <w:t>电商渗透率</w:t>
            </w:r>
          </w:p>
        </w:tc>
        <w:tc>
          <w:tcPr>
            <w:tcW w:w="1559" w:type="dxa"/>
            <w:shd w:val="clear" w:color="auto" w:fill="auto"/>
          </w:tcPr>
          <w:p w14:paraId="605CD291">
            <w:pPr>
              <w:spacing w:after="160" w:line="278" w:lineRule="auto"/>
              <w:ind w:firstLine="0" w:firstLineChars="0"/>
              <w:rPr>
                <w:rFonts w:hint="eastAsia" w:ascii="宋体" w:hAnsi="宋体"/>
                <w:color w:val="464F41"/>
                <w:kern w:val="0"/>
                <w:sz w:val="21"/>
                <w:szCs w:val="21"/>
                <w:lang w:eastAsia="en-US"/>
                <w14:ligatures w14:val="none"/>
              </w:rPr>
            </w:pPr>
            <w:r>
              <w:rPr>
                <w:rFonts w:ascii="宋体" w:hAnsi="宋体"/>
                <w:color w:val="464F41"/>
                <w:kern w:val="0"/>
                <w:sz w:val="21"/>
                <w:szCs w:val="21"/>
                <w:lang w:eastAsia="en-US"/>
                <w14:ligatures w14:val="none"/>
              </w:rPr>
              <w:t>42%</w:t>
            </w:r>
          </w:p>
        </w:tc>
        <w:tc>
          <w:tcPr>
            <w:tcW w:w="1276" w:type="dxa"/>
            <w:shd w:val="clear" w:color="auto" w:fill="auto"/>
          </w:tcPr>
          <w:p w14:paraId="2E43A592">
            <w:pPr>
              <w:spacing w:after="160" w:line="278" w:lineRule="auto"/>
              <w:ind w:firstLine="0" w:firstLineChars="0"/>
              <w:rPr>
                <w:rFonts w:hint="eastAsia" w:ascii="宋体" w:hAnsi="宋体"/>
                <w:color w:val="464F41"/>
                <w:kern w:val="0"/>
                <w:sz w:val="21"/>
                <w:szCs w:val="21"/>
                <w:lang w:eastAsia="en-US"/>
                <w14:ligatures w14:val="none"/>
              </w:rPr>
            </w:pPr>
            <w:r>
              <w:rPr>
                <w:rFonts w:ascii="宋体" w:hAnsi="宋体"/>
                <w:color w:val="464F41"/>
                <w:kern w:val="0"/>
                <w:sz w:val="21"/>
                <w:szCs w:val="21"/>
                <w:lang w:eastAsia="en-US"/>
                <w14:ligatures w14:val="none"/>
              </w:rPr>
              <w:t>+3pct</w:t>
            </w:r>
          </w:p>
        </w:tc>
        <w:tc>
          <w:tcPr>
            <w:tcW w:w="3027" w:type="dxa"/>
            <w:shd w:val="clear" w:color="auto" w:fill="auto"/>
          </w:tcPr>
          <w:p w14:paraId="6CED8925">
            <w:pPr>
              <w:spacing w:after="160" w:line="278" w:lineRule="auto"/>
              <w:ind w:firstLine="0" w:firstLineChars="0"/>
              <w:rPr>
                <w:rFonts w:hint="eastAsia" w:ascii="宋体" w:hAnsi="宋体"/>
                <w:color w:val="464F41"/>
                <w:kern w:val="0"/>
                <w:sz w:val="21"/>
                <w:szCs w:val="21"/>
                <w:lang w:eastAsia="zh-CN"/>
                <w14:ligatures w14:val="none"/>
              </w:rPr>
            </w:pPr>
            <w:r>
              <w:rPr>
                <w:rFonts w:hint="eastAsia" w:ascii="宋体" w:hAnsi="宋体" w:cs="宋体"/>
                <w:color w:val="464F41"/>
                <w:kern w:val="0"/>
                <w:sz w:val="21"/>
                <w:szCs w:val="21"/>
                <w:lang w:eastAsia="zh-CN"/>
                <w14:ligatures w14:val="none"/>
              </w:rPr>
              <w:t>直播带货占比首次超过传统电商</w:t>
            </w:r>
          </w:p>
        </w:tc>
      </w:tr>
      <w:tr w14:paraId="30D026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60" w:type="dxa"/>
            <w:shd w:val="clear" w:color="auto" w:fill="auto"/>
          </w:tcPr>
          <w:p w14:paraId="24C249FF">
            <w:pPr>
              <w:spacing w:after="160" w:line="278" w:lineRule="auto"/>
              <w:ind w:firstLine="0" w:firstLineChars="0"/>
              <w:rPr>
                <w:rFonts w:hint="eastAsia" w:ascii="宋体" w:hAnsi="宋体"/>
                <w:color w:val="464F41"/>
                <w:kern w:val="0"/>
                <w:sz w:val="21"/>
                <w:szCs w:val="21"/>
                <w:lang w:eastAsia="zh-CN"/>
                <w14:ligatures w14:val="none"/>
              </w:rPr>
            </w:pPr>
            <w:r>
              <w:rPr>
                <w:rFonts w:hint="eastAsia" w:ascii="宋体" w:hAnsi="宋体" w:cs="宋体"/>
                <w:color w:val="464F41"/>
                <w:kern w:val="0"/>
                <w:sz w:val="21"/>
                <w:szCs w:val="21"/>
                <w:lang w:eastAsia="zh-CN"/>
                <w14:ligatures w14:val="none"/>
              </w:rPr>
              <w:t>有机</w:t>
            </w:r>
            <w:r>
              <w:rPr>
                <w:rFonts w:ascii="宋体" w:hAnsi="宋体"/>
                <w:color w:val="464F41"/>
                <w:kern w:val="0"/>
                <w:sz w:val="21"/>
                <w:szCs w:val="21"/>
                <w:lang w:eastAsia="zh-CN"/>
                <w14:ligatures w14:val="none"/>
              </w:rPr>
              <w:t>/</w:t>
            </w:r>
            <w:r>
              <w:rPr>
                <w:rFonts w:hint="eastAsia" w:ascii="宋体" w:hAnsi="宋体" w:cs="宋体"/>
                <w:color w:val="464F41"/>
                <w:kern w:val="0"/>
                <w:sz w:val="21"/>
                <w:szCs w:val="21"/>
                <w:lang w:eastAsia="zh-CN"/>
                <w14:ligatures w14:val="none"/>
              </w:rPr>
              <w:t>绿色认证产品占比</w:t>
            </w:r>
          </w:p>
        </w:tc>
        <w:tc>
          <w:tcPr>
            <w:tcW w:w="1559" w:type="dxa"/>
            <w:shd w:val="clear" w:color="auto" w:fill="auto"/>
          </w:tcPr>
          <w:p w14:paraId="7C06D24C">
            <w:pPr>
              <w:spacing w:after="160" w:line="278" w:lineRule="auto"/>
              <w:ind w:firstLine="0" w:firstLineChars="0"/>
              <w:rPr>
                <w:rFonts w:hint="eastAsia" w:ascii="宋体" w:hAnsi="宋体"/>
                <w:color w:val="464F41"/>
                <w:kern w:val="0"/>
                <w:sz w:val="21"/>
                <w:szCs w:val="21"/>
                <w:lang w:eastAsia="en-US"/>
                <w14:ligatures w14:val="none"/>
              </w:rPr>
            </w:pPr>
            <w:r>
              <w:rPr>
                <w:rFonts w:hint="eastAsia" w:ascii="宋体" w:hAnsi="宋体" w:cs="宋体"/>
                <w:color w:val="464F41"/>
                <w:kern w:val="0"/>
                <w:sz w:val="21"/>
                <w:szCs w:val="21"/>
                <w:lang w:eastAsia="en-US"/>
                <w14:ligatures w14:val="none"/>
              </w:rPr>
              <w:t>约</w:t>
            </w:r>
            <w:r>
              <w:rPr>
                <w:rFonts w:ascii="宋体" w:hAnsi="宋体"/>
                <w:color w:val="464F41"/>
                <w:kern w:val="0"/>
                <w:sz w:val="21"/>
                <w:szCs w:val="21"/>
                <w:lang w:eastAsia="en-US"/>
                <w14:ligatures w14:val="none"/>
              </w:rPr>
              <w:t>4.5%</w:t>
            </w:r>
          </w:p>
        </w:tc>
        <w:tc>
          <w:tcPr>
            <w:tcW w:w="1276" w:type="dxa"/>
            <w:shd w:val="clear" w:color="auto" w:fill="auto"/>
          </w:tcPr>
          <w:p w14:paraId="7060764E">
            <w:pPr>
              <w:spacing w:after="160" w:line="278" w:lineRule="auto"/>
              <w:ind w:firstLine="0" w:firstLineChars="0"/>
              <w:rPr>
                <w:rFonts w:hint="eastAsia" w:ascii="宋体" w:hAnsi="宋体"/>
                <w:color w:val="464F41"/>
                <w:kern w:val="0"/>
                <w:sz w:val="21"/>
                <w:szCs w:val="21"/>
                <w:lang w:eastAsia="en-US"/>
                <w14:ligatures w14:val="none"/>
              </w:rPr>
            </w:pPr>
            <w:r>
              <w:rPr>
                <w:rFonts w:ascii="宋体" w:hAnsi="宋体"/>
                <w:color w:val="464F41"/>
                <w:kern w:val="0"/>
                <w:sz w:val="21"/>
                <w:szCs w:val="21"/>
                <w:lang w:eastAsia="en-US"/>
                <w14:ligatures w14:val="none"/>
              </w:rPr>
              <w:t>+0.8pct</w:t>
            </w:r>
          </w:p>
        </w:tc>
        <w:tc>
          <w:tcPr>
            <w:tcW w:w="3027" w:type="dxa"/>
            <w:shd w:val="clear" w:color="auto" w:fill="auto"/>
          </w:tcPr>
          <w:p w14:paraId="55FCC0FC">
            <w:pPr>
              <w:spacing w:after="160" w:line="278" w:lineRule="auto"/>
              <w:ind w:firstLine="0" w:firstLineChars="0"/>
              <w:rPr>
                <w:rFonts w:hint="eastAsia" w:ascii="宋体" w:hAnsi="宋体"/>
                <w:color w:val="464F41"/>
                <w:kern w:val="0"/>
                <w:sz w:val="21"/>
                <w:szCs w:val="21"/>
                <w:lang w:eastAsia="en-US"/>
                <w14:ligatures w14:val="none"/>
              </w:rPr>
            </w:pPr>
            <w:r>
              <w:rPr>
                <w:rFonts w:hint="eastAsia" w:ascii="宋体" w:hAnsi="宋体" w:cs="宋体"/>
                <w:color w:val="464F41"/>
                <w:kern w:val="0"/>
                <w:sz w:val="21"/>
                <w:szCs w:val="21"/>
                <w:lang w:eastAsia="en-US"/>
                <w14:ligatures w14:val="none"/>
              </w:rPr>
              <w:t>认证产品溢价幅度达</w:t>
            </w:r>
            <w:r>
              <w:rPr>
                <w:rFonts w:ascii="宋体" w:hAnsi="宋体"/>
                <w:color w:val="464F41"/>
                <w:kern w:val="0"/>
                <w:sz w:val="21"/>
                <w:szCs w:val="21"/>
                <w:lang w:eastAsia="en-US"/>
                <w14:ligatures w14:val="none"/>
              </w:rPr>
              <w:t>40-80%</w:t>
            </w:r>
          </w:p>
        </w:tc>
      </w:tr>
      <w:tr w14:paraId="759673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60" w:type="dxa"/>
            <w:tcBorders>
              <w:bottom w:val="single" w:color="000000" w:themeColor="text1" w:sz="18" w:space="0"/>
            </w:tcBorders>
            <w:shd w:val="clear" w:color="auto" w:fill="auto"/>
          </w:tcPr>
          <w:p w14:paraId="791C1604">
            <w:pPr>
              <w:spacing w:after="160" w:line="278" w:lineRule="auto"/>
              <w:ind w:firstLine="0" w:firstLineChars="0"/>
              <w:rPr>
                <w:rFonts w:hint="eastAsia" w:ascii="宋体" w:hAnsi="宋体"/>
                <w:color w:val="464F41"/>
                <w:kern w:val="0"/>
                <w:sz w:val="21"/>
                <w:szCs w:val="21"/>
                <w:lang w:eastAsia="en-US"/>
                <w14:ligatures w14:val="none"/>
              </w:rPr>
            </w:pPr>
            <w:r>
              <w:rPr>
                <w:rFonts w:ascii="宋体" w:hAnsi="宋体"/>
                <w:color w:val="464F41"/>
                <w:kern w:val="0"/>
                <w:sz w:val="21"/>
                <w:szCs w:val="21"/>
                <w:lang w:eastAsia="en-US"/>
                <w14:ligatures w14:val="none"/>
              </w:rPr>
              <w:t>高端礼盒市场增速</w:t>
            </w:r>
          </w:p>
        </w:tc>
        <w:tc>
          <w:tcPr>
            <w:tcW w:w="1559" w:type="dxa"/>
            <w:tcBorders>
              <w:bottom w:val="single" w:color="000000" w:themeColor="text1" w:sz="18" w:space="0"/>
            </w:tcBorders>
            <w:shd w:val="clear" w:color="auto" w:fill="auto"/>
          </w:tcPr>
          <w:p w14:paraId="47C7A22B">
            <w:pPr>
              <w:spacing w:after="160" w:line="278" w:lineRule="auto"/>
              <w:ind w:firstLine="0" w:firstLineChars="0"/>
              <w:rPr>
                <w:rFonts w:hint="eastAsia" w:ascii="宋体" w:hAnsi="宋体"/>
                <w:color w:val="464F41"/>
                <w:kern w:val="0"/>
                <w:sz w:val="21"/>
                <w:szCs w:val="21"/>
                <w:lang w:eastAsia="en-US"/>
                <w14:ligatures w14:val="none"/>
              </w:rPr>
            </w:pPr>
            <w:r>
              <w:rPr>
                <w:rFonts w:ascii="宋体" w:hAnsi="宋体"/>
                <w:color w:val="464F41"/>
                <w:kern w:val="0"/>
                <w:sz w:val="21"/>
                <w:szCs w:val="21"/>
                <w:lang w:eastAsia="en-US"/>
                <w14:ligatures w14:val="none"/>
              </w:rPr>
              <w:t>38%</w:t>
            </w:r>
          </w:p>
        </w:tc>
        <w:tc>
          <w:tcPr>
            <w:tcW w:w="1276" w:type="dxa"/>
            <w:tcBorders>
              <w:bottom w:val="single" w:color="000000" w:themeColor="text1" w:sz="18" w:space="0"/>
            </w:tcBorders>
            <w:shd w:val="clear" w:color="auto" w:fill="auto"/>
          </w:tcPr>
          <w:p w14:paraId="14F461C3">
            <w:pPr>
              <w:spacing w:after="160" w:line="278" w:lineRule="auto"/>
              <w:ind w:firstLine="0" w:firstLineChars="0"/>
              <w:rPr>
                <w:rFonts w:hint="eastAsia" w:ascii="宋体" w:hAnsi="宋体"/>
                <w:color w:val="464F41"/>
                <w:kern w:val="0"/>
                <w:sz w:val="21"/>
                <w:szCs w:val="21"/>
                <w:lang w:eastAsia="en-US"/>
                <w14:ligatures w14:val="none"/>
              </w:rPr>
            </w:pPr>
            <w:r>
              <w:rPr>
                <w:rFonts w:ascii="宋体" w:hAnsi="宋体"/>
                <w:color w:val="464F41"/>
                <w:kern w:val="0"/>
                <w:sz w:val="21"/>
                <w:szCs w:val="21"/>
                <w:lang w:eastAsia="en-US"/>
                <w14:ligatures w14:val="none"/>
              </w:rPr>
              <w:t>+5pct</w:t>
            </w:r>
          </w:p>
        </w:tc>
        <w:tc>
          <w:tcPr>
            <w:tcW w:w="3027" w:type="dxa"/>
            <w:tcBorders>
              <w:bottom w:val="single" w:color="000000" w:themeColor="text1" w:sz="18" w:space="0"/>
            </w:tcBorders>
            <w:shd w:val="clear" w:color="auto" w:fill="auto"/>
          </w:tcPr>
          <w:p w14:paraId="4CF51B9D">
            <w:pPr>
              <w:spacing w:after="160" w:line="278" w:lineRule="auto"/>
              <w:ind w:firstLine="0" w:firstLineChars="0"/>
              <w:rPr>
                <w:rFonts w:hint="eastAsia" w:ascii="宋体" w:hAnsi="宋体"/>
                <w:color w:val="464F41"/>
                <w:kern w:val="0"/>
                <w:sz w:val="21"/>
                <w:szCs w:val="21"/>
                <w:lang w:eastAsia="zh-CN"/>
                <w14:ligatures w14:val="none"/>
              </w:rPr>
            </w:pPr>
            <w:r>
              <w:rPr>
                <w:rFonts w:ascii="宋体" w:hAnsi="宋体"/>
                <w:color w:val="464F41"/>
                <w:kern w:val="0"/>
                <w:sz w:val="21"/>
                <w:szCs w:val="21"/>
                <w:lang w:eastAsia="zh-CN"/>
                <w14:ligatures w14:val="none"/>
              </w:rPr>
              <w:t>200</w:t>
            </w:r>
            <w:r>
              <w:rPr>
                <w:rFonts w:hint="eastAsia" w:ascii="宋体" w:hAnsi="宋体" w:cs="宋体"/>
                <w:color w:val="464F41"/>
                <w:kern w:val="0"/>
                <w:sz w:val="21"/>
                <w:szCs w:val="21"/>
                <w:lang w:eastAsia="zh-CN"/>
                <w14:ligatures w14:val="none"/>
              </w:rPr>
              <w:t>元以上礼盒成增长主力</w:t>
            </w:r>
          </w:p>
        </w:tc>
      </w:tr>
    </w:tbl>
    <w:p w14:paraId="46497E63">
      <w:pPr>
        <w:ind w:firstLine="420"/>
        <w:rPr>
          <w:rFonts w:hint="eastAsia" w:ascii="宋体" w:hAnsi="宋体"/>
          <w:sz w:val="21"/>
          <w:szCs w:val="21"/>
        </w:rPr>
      </w:pPr>
      <w:r>
        <w:rPr>
          <w:rFonts w:ascii="宋体" w:hAnsi="宋体"/>
          <w:sz w:val="21"/>
          <w:szCs w:val="21"/>
        </w:rPr>
        <w:t>数据来源：中国果品流通协会《中国樱桃产业发展报告2025》；农业农村部农产品电商监测数据；京东/天猫生鲜消费趋势报告2025Q1。</w:t>
      </w:r>
    </w:p>
    <w:p w14:paraId="02B3775A">
      <w:pPr>
        <w:ind w:firstLine="420"/>
        <w:rPr>
          <w:rFonts w:hint="eastAsia" w:ascii="宋体" w:hAnsi="宋体"/>
          <w:sz w:val="21"/>
          <w:szCs w:val="21"/>
        </w:rPr>
      </w:pPr>
      <w:r>
        <w:rPr>
          <w:rFonts w:hint="eastAsia" w:ascii="宋体" w:hAnsi="宋体"/>
          <w:sz w:val="21"/>
          <w:szCs w:val="21"/>
        </w:rPr>
        <w:t>表2的关键数据可以展示樱桃产业的三大结构性机会，能够直接支撑本项目的产品分级和品牌策略：</w:t>
      </w:r>
    </w:p>
    <w:p w14:paraId="69ECF456">
      <w:pPr>
        <w:ind w:firstLine="422"/>
        <w:rPr>
          <w:rFonts w:hint="eastAsia" w:ascii="宋体" w:hAnsi="宋体"/>
          <w:sz w:val="21"/>
          <w:szCs w:val="21"/>
        </w:rPr>
      </w:pPr>
      <w:r>
        <w:rPr>
          <w:rFonts w:hint="eastAsia" w:ascii="宋体" w:hAnsi="宋体"/>
          <w:b/>
          <w:bCs/>
          <w:sz w:val="21"/>
          <w:szCs w:val="21"/>
        </w:rPr>
        <w:t>首先，樱桃的品牌化窗口期仍在。</w:t>
      </w:r>
      <w:r>
        <w:rPr>
          <w:rFonts w:hint="eastAsia" w:ascii="宋体" w:hAnsi="宋体"/>
          <w:sz w:val="21"/>
          <w:szCs w:val="21"/>
        </w:rPr>
        <w:t>尽管樱桃品牌化率从2021年的&lt;5%提升至2025年的约8%，但其绝对值仍然极低——92%的樱桃仍在以“产地+品种”的初级形态销售，消费者买的是“大连樱桃”“烟台樱桃”而非品牌；这意味着谁先建立清晰的产地品牌，谁就能在认知红利期抢占心智，而本项目以</w:t>
      </w:r>
      <w:r>
        <w:rPr>
          <w:rFonts w:hint="eastAsia" w:ascii="宋体" w:hAnsi="宋体"/>
          <w:b/>
          <w:bCs/>
          <w:sz w:val="21"/>
          <w:szCs w:val="21"/>
        </w:rPr>
        <w:t>“一级水源保护区”为品牌锚点</w:t>
      </w:r>
      <w:r>
        <w:rPr>
          <w:rFonts w:hint="eastAsia" w:ascii="宋体" w:hAnsi="宋体"/>
          <w:sz w:val="21"/>
          <w:szCs w:val="21"/>
        </w:rPr>
        <w:t>，正卡位这一窗口。</w:t>
      </w:r>
    </w:p>
    <w:p w14:paraId="10485B39">
      <w:pPr>
        <w:ind w:firstLine="422"/>
        <w:rPr>
          <w:rFonts w:hint="eastAsia" w:ascii="宋体" w:hAnsi="宋体"/>
          <w:sz w:val="21"/>
          <w:szCs w:val="21"/>
        </w:rPr>
      </w:pPr>
      <w:r>
        <w:rPr>
          <w:rFonts w:hint="eastAsia" w:ascii="宋体" w:hAnsi="宋体"/>
          <w:b/>
          <w:bCs/>
          <w:sz w:val="21"/>
          <w:szCs w:val="21"/>
        </w:rPr>
        <w:t>第二，产品深加工是利润放大器</w:t>
      </w:r>
      <w:r>
        <w:rPr>
          <w:rFonts w:hint="eastAsia" w:ascii="宋体" w:hAnsi="宋体"/>
          <w:sz w:val="21"/>
          <w:szCs w:val="21"/>
        </w:rPr>
        <w:t>。目前国内樱桃深加工比例仅11%，而美国为35%、欧洲为25%，而深加工可将滞销果品的价值提升2-3倍，且能突破鲜果的季节限制。而本项目的果酱、果干、果酒、酵素、冻干脆片五条深加工产品线，既消化滞销产能，又创造非樱桃季的持续收入。</w:t>
      </w:r>
    </w:p>
    <w:p w14:paraId="6FB30180">
      <w:pPr>
        <w:ind w:firstLine="422"/>
        <w:rPr>
          <w:rFonts w:hint="eastAsia" w:ascii="宋体" w:hAnsi="宋体"/>
          <w:sz w:val="21"/>
          <w:szCs w:val="21"/>
        </w:rPr>
      </w:pPr>
      <w:r>
        <w:rPr>
          <w:rFonts w:hint="eastAsia" w:ascii="宋体" w:hAnsi="宋体"/>
          <w:b/>
          <w:bCs/>
          <w:sz w:val="21"/>
          <w:szCs w:val="21"/>
        </w:rPr>
        <w:t>第三，目前高端市场增速领跑。</w:t>
      </w:r>
      <w:r>
        <w:rPr>
          <w:rFonts w:hint="eastAsia" w:ascii="宋体" w:hAnsi="宋体"/>
          <w:sz w:val="21"/>
          <w:szCs w:val="21"/>
        </w:rPr>
        <w:t>目前高端礼盒市场增速为38%，200元以上礼盒占比从2021年的不足10%升至2025年的约25%，这说明消费者对“产地溯源+认证背书”的高端产品支付意愿强烈，而本项目的S级（认养礼盒）和A级（精品礼盒+溯源证书）产品精准瞄准这一市场。</w:t>
      </w:r>
    </w:p>
    <w:p w14:paraId="3DB5D00A">
      <w:pPr>
        <w:pStyle w:val="4"/>
        <w:bidi w:val="0"/>
        <w:rPr>
          <w:rFonts w:hint="eastAsia"/>
        </w:rPr>
      </w:pPr>
      <w:bookmarkStart w:id="57" w:name="_Toc11637"/>
      <w:r>
        <w:rPr>
          <w:rFonts w:hint="eastAsia"/>
        </w:rPr>
        <w:t>3.7.3</w:t>
      </w:r>
      <w:r>
        <w:t>骑行休闲产业</w:t>
      </w:r>
      <w:bookmarkEnd w:id="57"/>
    </w:p>
    <w:p w14:paraId="46BBDF42">
      <w:pPr>
        <w:ind w:firstLine="420"/>
        <w:rPr>
          <w:rFonts w:hint="eastAsia" w:ascii="宋体" w:hAnsi="宋体"/>
          <w:sz w:val="21"/>
          <w:szCs w:val="21"/>
        </w:rPr>
      </w:pPr>
      <w:r>
        <w:rPr>
          <w:rFonts w:ascii="宋体" w:hAnsi="宋体"/>
          <w:sz w:val="21"/>
          <w:szCs w:val="21"/>
        </w:rPr>
        <w:t>2025年，骑行已从“小众运动”发展为“大众生活方式”，京郊骑行市场规模</w:t>
      </w:r>
      <w:r>
        <w:rPr>
          <w:rFonts w:hint="eastAsia" w:ascii="宋体" w:hAnsi="宋体"/>
          <w:sz w:val="21"/>
          <w:szCs w:val="21"/>
        </w:rPr>
        <w:t>已</w:t>
      </w:r>
      <w:r>
        <w:rPr>
          <w:rFonts w:ascii="宋体" w:hAnsi="宋体"/>
          <w:sz w:val="21"/>
          <w:szCs w:val="21"/>
        </w:rPr>
        <w:t>突破300万人。然而，配</w:t>
      </w:r>
      <w:r>
        <w:rPr>
          <w:rFonts w:ascii="宋体" w:hAnsi="宋体"/>
          <w:b/>
          <w:bCs/>
          <w:sz w:val="21"/>
          <w:szCs w:val="21"/>
        </w:rPr>
        <w:t>套服务供给严重滞后于需求增长，“有路线无服务、有运动无消费”</w:t>
      </w:r>
      <w:r>
        <w:rPr>
          <w:rFonts w:ascii="宋体" w:hAnsi="宋体"/>
          <w:sz w:val="21"/>
          <w:szCs w:val="21"/>
        </w:rPr>
        <w:t>的痛点依然突出，这正是本项目的切入点。</w:t>
      </w:r>
    </w:p>
    <w:p w14:paraId="0DA0EB52">
      <w:pPr>
        <w:ind w:firstLine="420"/>
        <w:rPr>
          <w:rFonts w:hint="eastAsia" w:ascii="宋体" w:hAnsi="宋体"/>
          <w:sz w:val="21"/>
          <w:szCs w:val="21"/>
        </w:rPr>
      </w:pPr>
      <w:r>
        <w:rPr>
          <w:rFonts w:hint="eastAsia" w:ascii="宋体" w:hAnsi="宋体"/>
          <w:sz w:val="21"/>
          <w:szCs w:val="21"/>
        </w:rPr>
        <w:t>（1）关键数据分析</w:t>
      </w:r>
    </w:p>
    <w:p w14:paraId="0C6E9B87">
      <w:pPr>
        <w:ind w:firstLine="420"/>
        <w:jc w:val="center"/>
        <w:rPr>
          <w:rFonts w:hint="eastAsia" w:ascii="宋体" w:hAnsi="宋体"/>
          <w:sz w:val="21"/>
          <w:szCs w:val="21"/>
        </w:rPr>
      </w:pPr>
      <w:r>
        <w:rPr>
          <w:rFonts w:hint="eastAsia" w:ascii="宋体" w:hAnsi="宋体"/>
          <w:sz w:val="21"/>
          <w:szCs w:val="21"/>
        </w:rPr>
        <w:t xml:space="preserve">表 </w:t>
      </w:r>
      <w:r>
        <w:rPr>
          <w:rFonts w:ascii="宋体" w:hAnsi="宋体"/>
          <w:sz w:val="21"/>
          <w:szCs w:val="21"/>
        </w:rPr>
        <w:t>3</w:t>
      </w:r>
      <w:r>
        <w:rPr>
          <w:rFonts w:hint="eastAsia" w:ascii="宋体" w:hAnsi="宋体"/>
          <w:sz w:val="21"/>
          <w:szCs w:val="21"/>
        </w:rPr>
        <w:t xml:space="preserve"> 骑行休闲产业关键数据（2025年）</w:t>
      </w:r>
    </w:p>
    <w:tbl>
      <w:tblPr>
        <w:tblStyle w:val="15"/>
        <w:tblW w:w="9214" w:type="dxa"/>
        <w:tblInd w:w="-45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77"/>
        <w:gridCol w:w="1594"/>
        <w:gridCol w:w="1241"/>
        <w:gridCol w:w="3402"/>
      </w:tblGrid>
      <w:tr w14:paraId="5075D3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77" w:type="dxa"/>
            <w:tcBorders>
              <w:top w:val="single" w:color="000000" w:themeColor="text1" w:sz="18" w:space="0"/>
              <w:bottom w:val="single" w:color="000000" w:themeColor="text1" w:sz="12" w:space="0"/>
            </w:tcBorders>
            <w:vAlign w:val="center"/>
          </w:tcPr>
          <w:p w14:paraId="24BCCE28">
            <w:pPr>
              <w:spacing w:after="160" w:line="278" w:lineRule="auto"/>
              <w:ind w:firstLine="0" w:firstLineChars="0"/>
              <w:jc w:val="center"/>
              <w:rPr>
                <w:rFonts w:hint="eastAsia" w:ascii="宋体" w:hAnsi="宋体"/>
                <w:sz w:val="21"/>
                <w:szCs w:val="21"/>
              </w:rPr>
            </w:pPr>
            <w:r>
              <w:rPr>
                <w:rFonts w:ascii="宋体" w:hAnsi="宋体"/>
                <w:sz w:val="21"/>
                <w:szCs w:val="21"/>
              </w:rPr>
              <w:t>指标</w:t>
            </w:r>
          </w:p>
        </w:tc>
        <w:tc>
          <w:tcPr>
            <w:tcW w:w="1594" w:type="dxa"/>
            <w:tcBorders>
              <w:top w:val="single" w:color="000000" w:themeColor="text1" w:sz="18" w:space="0"/>
              <w:bottom w:val="single" w:color="000000" w:themeColor="text1" w:sz="12" w:space="0"/>
            </w:tcBorders>
            <w:vAlign w:val="center"/>
          </w:tcPr>
          <w:p w14:paraId="6B2D4E00">
            <w:pPr>
              <w:spacing w:after="160" w:line="278" w:lineRule="auto"/>
              <w:ind w:firstLine="0" w:firstLineChars="0"/>
              <w:jc w:val="center"/>
              <w:rPr>
                <w:rFonts w:hint="eastAsia" w:ascii="宋体" w:hAnsi="宋体"/>
                <w:sz w:val="21"/>
                <w:szCs w:val="21"/>
              </w:rPr>
            </w:pPr>
            <w:r>
              <w:rPr>
                <w:rFonts w:ascii="宋体" w:hAnsi="宋体"/>
                <w:sz w:val="21"/>
                <w:szCs w:val="21"/>
              </w:rPr>
              <w:t>2025年数值</w:t>
            </w:r>
          </w:p>
        </w:tc>
        <w:tc>
          <w:tcPr>
            <w:tcW w:w="1241" w:type="dxa"/>
            <w:tcBorders>
              <w:top w:val="single" w:color="000000" w:themeColor="text1" w:sz="18" w:space="0"/>
              <w:bottom w:val="single" w:color="000000" w:themeColor="text1" w:sz="12" w:space="0"/>
            </w:tcBorders>
            <w:vAlign w:val="center"/>
          </w:tcPr>
          <w:p w14:paraId="118C6562">
            <w:pPr>
              <w:spacing w:after="160" w:line="278" w:lineRule="auto"/>
              <w:ind w:firstLine="0" w:firstLineChars="0"/>
              <w:jc w:val="center"/>
              <w:rPr>
                <w:rFonts w:hint="eastAsia" w:ascii="宋体" w:hAnsi="宋体"/>
                <w:sz w:val="21"/>
                <w:szCs w:val="21"/>
              </w:rPr>
            </w:pPr>
            <w:r>
              <w:rPr>
                <w:rFonts w:ascii="宋体" w:hAnsi="宋体"/>
                <w:sz w:val="21"/>
                <w:szCs w:val="21"/>
              </w:rPr>
              <w:t>同比变化</w:t>
            </w:r>
          </w:p>
        </w:tc>
        <w:tc>
          <w:tcPr>
            <w:tcW w:w="3402" w:type="dxa"/>
            <w:tcBorders>
              <w:top w:val="single" w:color="000000" w:themeColor="text1" w:sz="18" w:space="0"/>
              <w:bottom w:val="single" w:color="000000" w:themeColor="text1" w:sz="12" w:space="0"/>
            </w:tcBorders>
            <w:vAlign w:val="center"/>
          </w:tcPr>
          <w:p w14:paraId="6227319D">
            <w:pPr>
              <w:spacing w:after="160" w:line="278" w:lineRule="auto"/>
              <w:ind w:firstLine="0" w:firstLineChars="0"/>
              <w:jc w:val="center"/>
              <w:rPr>
                <w:rFonts w:hint="eastAsia" w:ascii="宋体" w:hAnsi="宋体"/>
                <w:sz w:val="21"/>
                <w:szCs w:val="21"/>
              </w:rPr>
            </w:pPr>
            <w:r>
              <w:rPr>
                <w:rFonts w:ascii="宋体" w:hAnsi="宋体"/>
                <w:sz w:val="21"/>
                <w:szCs w:val="21"/>
              </w:rPr>
              <w:t>来源/说明</w:t>
            </w:r>
          </w:p>
        </w:tc>
      </w:tr>
      <w:tr w14:paraId="1270B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77" w:type="dxa"/>
            <w:tcBorders>
              <w:top w:val="single" w:color="000000" w:themeColor="text1" w:sz="12" w:space="0"/>
            </w:tcBorders>
            <w:vAlign w:val="center"/>
          </w:tcPr>
          <w:p w14:paraId="508B4D3C">
            <w:pPr>
              <w:spacing w:after="160" w:line="278" w:lineRule="auto"/>
              <w:ind w:firstLine="0" w:firstLineChars="0"/>
              <w:jc w:val="center"/>
              <w:rPr>
                <w:rFonts w:hint="eastAsia" w:ascii="宋体" w:hAnsi="宋体"/>
                <w:sz w:val="21"/>
                <w:szCs w:val="21"/>
              </w:rPr>
            </w:pPr>
            <w:r>
              <w:rPr>
                <w:rFonts w:ascii="宋体" w:hAnsi="宋体"/>
                <w:sz w:val="21"/>
                <w:szCs w:val="21"/>
              </w:rPr>
              <w:t>全国经常性骑行人口</w:t>
            </w:r>
          </w:p>
        </w:tc>
        <w:tc>
          <w:tcPr>
            <w:tcW w:w="1594" w:type="dxa"/>
            <w:tcBorders>
              <w:top w:val="single" w:color="000000" w:themeColor="text1" w:sz="12" w:space="0"/>
            </w:tcBorders>
            <w:vAlign w:val="center"/>
          </w:tcPr>
          <w:p w14:paraId="15B4F072">
            <w:pPr>
              <w:spacing w:after="160" w:line="278" w:lineRule="auto"/>
              <w:ind w:firstLine="0" w:firstLineChars="0"/>
              <w:jc w:val="center"/>
              <w:rPr>
                <w:rFonts w:hint="eastAsia" w:ascii="宋体" w:hAnsi="宋体"/>
                <w:sz w:val="21"/>
                <w:szCs w:val="21"/>
              </w:rPr>
            </w:pPr>
            <w:r>
              <w:rPr>
                <w:rFonts w:ascii="宋体" w:hAnsi="宋体"/>
                <w:sz w:val="21"/>
                <w:szCs w:val="21"/>
              </w:rPr>
              <w:t>2800万+</w:t>
            </w:r>
          </w:p>
        </w:tc>
        <w:tc>
          <w:tcPr>
            <w:tcW w:w="1241" w:type="dxa"/>
            <w:tcBorders>
              <w:top w:val="single" w:color="000000" w:themeColor="text1" w:sz="12" w:space="0"/>
            </w:tcBorders>
            <w:vAlign w:val="center"/>
          </w:tcPr>
          <w:p w14:paraId="2D5BB15B">
            <w:pPr>
              <w:spacing w:after="160" w:line="278" w:lineRule="auto"/>
              <w:ind w:firstLine="0" w:firstLineChars="0"/>
              <w:jc w:val="center"/>
              <w:rPr>
                <w:rFonts w:hint="eastAsia" w:ascii="宋体" w:hAnsi="宋体"/>
                <w:sz w:val="21"/>
                <w:szCs w:val="21"/>
              </w:rPr>
            </w:pPr>
            <w:r>
              <w:rPr>
                <w:rFonts w:ascii="宋体" w:hAnsi="宋体"/>
                <w:sz w:val="21"/>
                <w:szCs w:val="21"/>
              </w:rPr>
              <w:t>+12%</w:t>
            </w:r>
          </w:p>
        </w:tc>
        <w:tc>
          <w:tcPr>
            <w:tcW w:w="3402" w:type="dxa"/>
            <w:tcBorders>
              <w:top w:val="single" w:color="000000" w:themeColor="text1" w:sz="12" w:space="0"/>
            </w:tcBorders>
            <w:vAlign w:val="center"/>
          </w:tcPr>
          <w:p w14:paraId="62563CA4">
            <w:pPr>
              <w:spacing w:after="160" w:line="278" w:lineRule="auto"/>
              <w:ind w:firstLine="0" w:firstLineChars="0"/>
              <w:jc w:val="center"/>
              <w:rPr>
                <w:rFonts w:hint="eastAsia" w:ascii="宋体" w:hAnsi="宋体"/>
                <w:sz w:val="21"/>
                <w:szCs w:val="21"/>
              </w:rPr>
            </w:pPr>
            <w:r>
              <w:rPr>
                <w:rFonts w:ascii="宋体" w:hAnsi="宋体"/>
                <w:sz w:val="21"/>
                <w:szCs w:val="21"/>
              </w:rPr>
              <w:t>中国自行车协会2025年数据</w:t>
            </w:r>
          </w:p>
        </w:tc>
      </w:tr>
      <w:tr w14:paraId="37E72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77" w:type="dxa"/>
            <w:vAlign w:val="center"/>
          </w:tcPr>
          <w:p w14:paraId="09DE85BB">
            <w:pPr>
              <w:spacing w:after="160" w:line="278" w:lineRule="auto"/>
              <w:ind w:firstLine="0" w:firstLineChars="0"/>
              <w:jc w:val="center"/>
              <w:rPr>
                <w:rFonts w:hint="eastAsia" w:ascii="宋体" w:hAnsi="宋体"/>
                <w:sz w:val="21"/>
                <w:szCs w:val="21"/>
              </w:rPr>
            </w:pPr>
            <w:r>
              <w:rPr>
                <w:rFonts w:ascii="宋体" w:hAnsi="宋体"/>
                <w:sz w:val="21"/>
                <w:szCs w:val="21"/>
              </w:rPr>
              <w:t>京津冀骑行人口</w:t>
            </w:r>
          </w:p>
        </w:tc>
        <w:tc>
          <w:tcPr>
            <w:tcW w:w="1594" w:type="dxa"/>
            <w:vAlign w:val="center"/>
          </w:tcPr>
          <w:p w14:paraId="24B2C3D3">
            <w:pPr>
              <w:spacing w:after="160" w:line="278" w:lineRule="auto"/>
              <w:ind w:firstLine="0" w:firstLineChars="0"/>
              <w:jc w:val="center"/>
              <w:rPr>
                <w:rFonts w:hint="eastAsia" w:ascii="宋体" w:hAnsi="宋体"/>
                <w:sz w:val="21"/>
                <w:szCs w:val="21"/>
              </w:rPr>
            </w:pPr>
            <w:r>
              <w:rPr>
                <w:rFonts w:ascii="宋体" w:hAnsi="宋体"/>
                <w:sz w:val="21"/>
                <w:szCs w:val="21"/>
              </w:rPr>
              <w:t>约320万</w:t>
            </w:r>
          </w:p>
        </w:tc>
        <w:tc>
          <w:tcPr>
            <w:tcW w:w="1241" w:type="dxa"/>
            <w:vAlign w:val="center"/>
          </w:tcPr>
          <w:p w14:paraId="239B576D">
            <w:pPr>
              <w:spacing w:after="160" w:line="278" w:lineRule="auto"/>
              <w:ind w:firstLine="0" w:firstLineChars="0"/>
              <w:jc w:val="center"/>
              <w:rPr>
                <w:rFonts w:hint="eastAsia" w:ascii="宋体" w:hAnsi="宋体"/>
                <w:sz w:val="21"/>
                <w:szCs w:val="21"/>
              </w:rPr>
            </w:pPr>
            <w:r>
              <w:rPr>
                <w:rFonts w:ascii="宋体" w:hAnsi="宋体"/>
                <w:sz w:val="21"/>
                <w:szCs w:val="21"/>
              </w:rPr>
              <w:t>+10%</w:t>
            </w:r>
          </w:p>
        </w:tc>
        <w:tc>
          <w:tcPr>
            <w:tcW w:w="3402" w:type="dxa"/>
            <w:vAlign w:val="center"/>
          </w:tcPr>
          <w:p w14:paraId="067EA39B">
            <w:pPr>
              <w:spacing w:after="160" w:line="278" w:lineRule="auto"/>
              <w:ind w:firstLine="0" w:firstLineChars="0"/>
              <w:jc w:val="center"/>
              <w:rPr>
                <w:rFonts w:hint="eastAsia" w:ascii="宋体" w:hAnsi="宋体"/>
                <w:sz w:val="21"/>
                <w:szCs w:val="21"/>
              </w:rPr>
            </w:pPr>
            <w:r>
              <w:rPr>
                <w:rFonts w:ascii="宋体" w:hAnsi="宋体"/>
                <w:sz w:val="21"/>
                <w:szCs w:val="21"/>
              </w:rPr>
              <w:t>占全国约11.4%</w:t>
            </w:r>
          </w:p>
        </w:tc>
      </w:tr>
      <w:tr w14:paraId="3CAD6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77" w:type="dxa"/>
            <w:vAlign w:val="center"/>
          </w:tcPr>
          <w:p w14:paraId="6D98DAC6">
            <w:pPr>
              <w:spacing w:after="160" w:line="278" w:lineRule="auto"/>
              <w:ind w:firstLine="0" w:firstLineChars="0"/>
              <w:jc w:val="center"/>
              <w:rPr>
                <w:rFonts w:hint="eastAsia" w:ascii="宋体" w:hAnsi="宋体"/>
                <w:sz w:val="21"/>
                <w:szCs w:val="21"/>
              </w:rPr>
            </w:pPr>
            <w:r>
              <w:rPr>
                <w:rFonts w:ascii="宋体" w:hAnsi="宋体"/>
                <w:sz w:val="21"/>
                <w:szCs w:val="21"/>
              </w:rPr>
              <w:t>北京骑行人口</w:t>
            </w:r>
          </w:p>
        </w:tc>
        <w:tc>
          <w:tcPr>
            <w:tcW w:w="1594" w:type="dxa"/>
            <w:vAlign w:val="center"/>
          </w:tcPr>
          <w:p w14:paraId="15F6FF14">
            <w:pPr>
              <w:spacing w:after="160" w:line="278" w:lineRule="auto"/>
              <w:ind w:firstLine="0" w:firstLineChars="0"/>
              <w:jc w:val="center"/>
              <w:rPr>
                <w:rFonts w:hint="eastAsia" w:ascii="宋体" w:hAnsi="宋体"/>
                <w:sz w:val="21"/>
                <w:szCs w:val="21"/>
              </w:rPr>
            </w:pPr>
            <w:r>
              <w:rPr>
                <w:rFonts w:ascii="宋体" w:hAnsi="宋体"/>
                <w:sz w:val="21"/>
                <w:szCs w:val="21"/>
              </w:rPr>
              <w:t>约210万</w:t>
            </w:r>
          </w:p>
        </w:tc>
        <w:tc>
          <w:tcPr>
            <w:tcW w:w="1241" w:type="dxa"/>
            <w:vAlign w:val="center"/>
          </w:tcPr>
          <w:p w14:paraId="021692C7">
            <w:pPr>
              <w:spacing w:after="160" w:line="278" w:lineRule="auto"/>
              <w:ind w:firstLine="0" w:firstLineChars="0"/>
              <w:jc w:val="center"/>
              <w:rPr>
                <w:rFonts w:hint="eastAsia" w:ascii="宋体" w:hAnsi="宋体"/>
                <w:sz w:val="21"/>
                <w:szCs w:val="21"/>
              </w:rPr>
            </w:pPr>
            <w:r>
              <w:rPr>
                <w:rFonts w:ascii="宋体" w:hAnsi="宋体"/>
                <w:sz w:val="21"/>
                <w:szCs w:val="21"/>
              </w:rPr>
              <w:t>+9.5%</w:t>
            </w:r>
          </w:p>
        </w:tc>
        <w:tc>
          <w:tcPr>
            <w:tcW w:w="3402" w:type="dxa"/>
            <w:vAlign w:val="center"/>
          </w:tcPr>
          <w:p w14:paraId="3012F25F">
            <w:pPr>
              <w:spacing w:after="160" w:line="278" w:lineRule="auto"/>
              <w:ind w:firstLine="0" w:firstLineChars="0"/>
              <w:jc w:val="center"/>
              <w:rPr>
                <w:rFonts w:hint="eastAsia" w:ascii="宋体" w:hAnsi="宋体"/>
                <w:sz w:val="21"/>
                <w:szCs w:val="21"/>
              </w:rPr>
            </w:pPr>
            <w:r>
              <w:rPr>
                <w:rFonts w:ascii="宋体" w:hAnsi="宋体"/>
                <w:sz w:val="21"/>
                <w:szCs w:val="21"/>
              </w:rPr>
              <w:t>含通勤+休闲，增速略低于全国</w:t>
            </w:r>
          </w:p>
        </w:tc>
      </w:tr>
      <w:tr w14:paraId="1E1729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77" w:type="dxa"/>
            <w:vAlign w:val="center"/>
          </w:tcPr>
          <w:p w14:paraId="04C8427C">
            <w:pPr>
              <w:spacing w:after="160" w:line="278" w:lineRule="auto"/>
              <w:ind w:firstLine="0" w:firstLineChars="0"/>
              <w:jc w:val="center"/>
              <w:rPr>
                <w:rFonts w:hint="eastAsia" w:ascii="宋体" w:hAnsi="宋体"/>
                <w:sz w:val="21"/>
                <w:szCs w:val="21"/>
              </w:rPr>
            </w:pPr>
            <w:r>
              <w:rPr>
                <w:rFonts w:ascii="宋体" w:hAnsi="宋体"/>
                <w:sz w:val="21"/>
                <w:szCs w:val="21"/>
              </w:rPr>
              <w:t>京郊骑行活跃人群</w:t>
            </w:r>
          </w:p>
        </w:tc>
        <w:tc>
          <w:tcPr>
            <w:tcW w:w="1594" w:type="dxa"/>
            <w:vAlign w:val="center"/>
          </w:tcPr>
          <w:p w14:paraId="7F5248D8">
            <w:pPr>
              <w:spacing w:after="160" w:line="278" w:lineRule="auto"/>
              <w:ind w:firstLine="0" w:firstLineChars="0"/>
              <w:jc w:val="center"/>
              <w:rPr>
                <w:rFonts w:hint="eastAsia" w:ascii="宋体" w:hAnsi="宋体"/>
                <w:sz w:val="21"/>
                <w:szCs w:val="21"/>
              </w:rPr>
            </w:pPr>
            <w:r>
              <w:rPr>
                <w:rFonts w:ascii="宋体" w:hAnsi="宋体"/>
                <w:sz w:val="21"/>
                <w:szCs w:val="21"/>
              </w:rPr>
              <w:t>约85万</w:t>
            </w:r>
          </w:p>
        </w:tc>
        <w:tc>
          <w:tcPr>
            <w:tcW w:w="1241" w:type="dxa"/>
            <w:vAlign w:val="center"/>
          </w:tcPr>
          <w:p w14:paraId="1A850C94">
            <w:pPr>
              <w:spacing w:after="160" w:line="278" w:lineRule="auto"/>
              <w:ind w:firstLine="0" w:firstLineChars="0"/>
              <w:jc w:val="center"/>
              <w:rPr>
                <w:rFonts w:hint="eastAsia" w:ascii="宋体" w:hAnsi="宋体"/>
                <w:sz w:val="21"/>
                <w:szCs w:val="21"/>
              </w:rPr>
            </w:pPr>
            <w:r>
              <w:rPr>
                <w:rFonts w:ascii="宋体" w:hAnsi="宋体"/>
                <w:sz w:val="21"/>
                <w:szCs w:val="21"/>
              </w:rPr>
              <w:t>+15%</w:t>
            </w:r>
          </w:p>
        </w:tc>
        <w:tc>
          <w:tcPr>
            <w:tcW w:w="3402" w:type="dxa"/>
            <w:vAlign w:val="center"/>
          </w:tcPr>
          <w:p w14:paraId="05A4B0C3">
            <w:pPr>
              <w:spacing w:after="160" w:line="278" w:lineRule="auto"/>
              <w:ind w:firstLine="0" w:firstLineChars="0"/>
              <w:jc w:val="center"/>
              <w:rPr>
                <w:rFonts w:hint="eastAsia" w:ascii="宋体" w:hAnsi="宋体"/>
                <w:sz w:val="21"/>
                <w:szCs w:val="21"/>
              </w:rPr>
            </w:pPr>
            <w:r>
              <w:rPr>
                <w:rFonts w:ascii="宋体" w:hAnsi="宋体"/>
                <w:sz w:val="21"/>
                <w:szCs w:val="21"/>
              </w:rPr>
              <w:t>月均骑行≥1次的京郊休闲骑行者</w:t>
            </w:r>
          </w:p>
        </w:tc>
      </w:tr>
      <w:tr w14:paraId="760626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77" w:type="dxa"/>
            <w:vAlign w:val="center"/>
          </w:tcPr>
          <w:p w14:paraId="7DEE38AC">
            <w:pPr>
              <w:spacing w:after="160" w:line="278" w:lineRule="auto"/>
              <w:ind w:firstLine="0" w:firstLineChars="0"/>
              <w:jc w:val="center"/>
              <w:rPr>
                <w:rFonts w:hint="eastAsia" w:ascii="宋体" w:hAnsi="宋体"/>
                <w:sz w:val="21"/>
                <w:szCs w:val="21"/>
              </w:rPr>
            </w:pPr>
            <w:r>
              <w:rPr>
                <w:rFonts w:ascii="宋体" w:hAnsi="宋体"/>
                <w:sz w:val="21"/>
                <w:szCs w:val="21"/>
              </w:rPr>
              <w:t>京郊骑行者月均骑行次数</w:t>
            </w:r>
          </w:p>
        </w:tc>
        <w:tc>
          <w:tcPr>
            <w:tcW w:w="1594" w:type="dxa"/>
            <w:vAlign w:val="center"/>
          </w:tcPr>
          <w:p w14:paraId="4FD793F4">
            <w:pPr>
              <w:spacing w:after="160" w:line="278" w:lineRule="auto"/>
              <w:ind w:firstLine="0" w:firstLineChars="0"/>
              <w:jc w:val="center"/>
              <w:rPr>
                <w:rFonts w:hint="eastAsia" w:ascii="宋体" w:hAnsi="宋体"/>
                <w:sz w:val="21"/>
                <w:szCs w:val="21"/>
              </w:rPr>
            </w:pPr>
            <w:r>
              <w:rPr>
                <w:rFonts w:ascii="宋体" w:hAnsi="宋体"/>
                <w:sz w:val="21"/>
                <w:szCs w:val="21"/>
              </w:rPr>
              <w:t>3.1次</w:t>
            </w:r>
          </w:p>
        </w:tc>
        <w:tc>
          <w:tcPr>
            <w:tcW w:w="1241" w:type="dxa"/>
            <w:vAlign w:val="center"/>
          </w:tcPr>
          <w:p w14:paraId="04BEB688">
            <w:pPr>
              <w:spacing w:after="160" w:line="278" w:lineRule="auto"/>
              <w:ind w:firstLine="0" w:firstLineChars="0"/>
              <w:jc w:val="center"/>
              <w:rPr>
                <w:rFonts w:hint="eastAsia" w:ascii="宋体" w:hAnsi="宋体"/>
                <w:sz w:val="21"/>
                <w:szCs w:val="21"/>
              </w:rPr>
            </w:pPr>
            <w:r>
              <w:rPr>
                <w:rFonts w:ascii="宋体" w:hAnsi="宋体"/>
                <w:sz w:val="21"/>
                <w:szCs w:val="21"/>
              </w:rPr>
              <w:t>+0.4次</w:t>
            </w:r>
          </w:p>
        </w:tc>
        <w:tc>
          <w:tcPr>
            <w:tcW w:w="3402" w:type="dxa"/>
            <w:vAlign w:val="center"/>
          </w:tcPr>
          <w:p w14:paraId="4469BA72">
            <w:pPr>
              <w:spacing w:after="160" w:line="278" w:lineRule="auto"/>
              <w:ind w:firstLine="0" w:firstLineChars="0"/>
              <w:jc w:val="center"/>
              <w:rPr>
                <w:rFonts w:hint="eastAsia" w:ascii="宋体" w:hAnsi="宋体"/>
                <w:sz w:val="21"/>
                <w:szCs w:val="21"/>
              </w:rPr>
            </w:pPr>
            <w:r>
              <w:rPr>
                <w:rFonts w:ascii="宋体" w:hAnsi="宋体"/>
                <w:sz w:val="21"/>
                <w:szCs w:val="21"/>
              </w:rPr>
              <w:t>春夏季3.8次，冬季1.5次</w:t>
            </w:r>
          </w:p>
        </w:tc>
      </w:tr>
      <w:tr w14:paraId="664A6A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77" w:type="dxa"/>
            <w:vAlign w:val="center"/>
          </w:tcPr>
          <w:p w14:paraId="26667C38">
            <w:pPr>
              <w:spacing w:after="160" w:line="278" w:lineRule="auto"/>
              <w:ind w:firstLine="0" w:firstLineChars="0"/>
              <w:jc w:val="center"/>
              <w:rPr>
                <w:rFonts w:hint="eastAsia" w:ascii="宋体" w:hAnsi="宋体"/>
                <w:sz w:val="21"/>
                <w:szCs w:val="21"/>
              </w:rPr>
            </w:pPr>
            <w:r>
              <w:rPr>
                <w:rFonts w:ascii="宋体" w:hAnsi="宋体"/>
                <w:sz w:val="21"/>
                <w:szCs w:val="21"/>
              </w:rPr>
              <w:t>单次骑行出行消费（含餐饮/补给）</w:t>
            </w:r>
          </w:p>
        </w:tc>
        <w:tc>
          <w:tcPr>
            <w:tcW w:w="1594" w:type="dxa"/>
            <w:vAlign w:val="center"/>
          </w:tcPr>
          <w:p w14:paraId="17649A75">
            <w:pPr>
              <w:spacing w:after="160" w:line="278" w:lineRule="auto"/>
              <w:ind w:firstLine="0" w:firstLineChars="0"/>
              <w:jc w:val="center"/>
              <w:rPr>
                <w:rFonts w:hint="eastAsia" w:ascii="宋体" w:hAnsi="宋体"/>
                <w:sz w:val="21"/>
                <w:szCs w:val="21"/>
              </w:rPr>
            </w:pPr>
            <w:r>
              <w:rPr>
                <w:rFonts w:ascii="宋体" w:hAnsi="宋体"/>
                <w:sz w:val="21"/>
                <w:szCs w:val="21"/>
              </w:rPr>
              <w:t>250-750元</w:t>
            </w:r>
          </w:p>
        </w:tc>
        <w:tc>
          <w:tcPr>
            <w:tcW w:w="1241" w:type="dxa"/>
            <w:vAlign w:val="center"/>
          </w:tcPr>
          <w:p w14:paraId="3E79F1BD">
            <w:pPr>
              <w:spacing w:after="160" w:line="278" w:lineRule="auto"/>
              <w:ind w:firstLine="0" w:firstLineChars="0"/>
              <w:jc w:val="center"/>
              <w:rPr>
                <w:rFonts w:hint="eastAsia" w:ascii="宋体" w:hAnsi="宋体"/>
                <w:sz w:val="21"/>
                <w:szCs w:val="21"/>
              </w:rPr>
            </w:pPr>
            <w:r>
              <w:rPr>
                <w:rFonts w:ascii="宋体" w:hAnsi="宋体"/>
                <w:sz w:val="21"/>
                <w:szCs w:val="21"/>
              </w:rPr>
              <w:t>+约15%</w:t>
            </w:r>
          </w:p>
        </w:tc>
        <w:tc>
          <w:tcPr>
            <w:tcW w:w="3402" w:type="dxa"/>
            <w:vAlign w:val="center"/>
          </w:tcPr>
          <w:p w14:paraId="70E8ABF0">
            <w:pPr>
              <w:spacing w:after="160" w:line="278" w:lineRule="auto"/>
              <w:ind w:firstLine="0" w:firstLineChars="0"/>
              <w:jc w:val="center"/>
              <w:rPr>
                <w:rFonts w:hint="eastAsia" w:ascii="宋体" w:hAnsi="宋体"/>
                <w:sz w:val="21"/>
                <w:szCs w:val="21"/>
              </w:rPr>
            </w:pPr>
            <w:r>
              <w:rPr>
                <w:rFonts w:ascii="宋体" w:hAnsi="宋体"/>
                <w:sz w:val="21"/>
                <w:szCs w:val="21"/>
              </w:rPr>
              <w:t>不含装备购置，高端体验拉高上限</w:t>
            </w:r>
          </w:p>
        </w:tc>
      </w:tr>
      <w:tr w14:paraId="2B8E47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77" w:type="dxa"/>
            <w:vAlign w:val="center"/>
          </w:tcPr>
          <w:p w14:paraId="7EA1D18C">
            <w:pPr>
              <w:spacing w:after="160" w:line="278" w:lineRule="auto"/>
              <w:ind w:firstLine="0" w:firstLineChars="0"/>
              <w:jc w:val="center"/>
              <w:rPr>
                <w:rFonts w:hint="eastAsia" w:ascii="宋体" w:hAnsi="宋体"/>
                <w:sz w:val="21"/>
                <w:szCs w:val="21"/>
              </w:rPr>
            </w:pPr>
            <w:r>
              <w:rPr>
                <w:rFonts w:ascii="宋体" w:hAnsi="宋体"/>
                <w:sz w:val="21"/>
                <w:szCs w:val="21"/>
              </w:rPr>
              <w:t>骑行社群分享率</w:t>
            </w:r>
          </w:p>
        </w:tc>
        <w:tc>
          <w:tcPr>
            <w:tcW w:w="1594" w:type="dxa"/>
            <w:vAlign w:val="center"/>
          </w:tcPr>
          <w:p w14:paraId="17883AD4">
            <w:pPr>
              <w:spacing w:after="160" w:line="278" w:lineRule="auto"/>
              <w:ind w:firstLine="0" w:firstLineChars="0"/>
              <w:jc w:val="center"/>
              <w:rPr>
                <w:rFonts w:hint="eastAsia" w:ascii="宋体" w:hAnsi="宋体"/>
                <w:sz w:val="21"/>
                <w:szCs w:val="21"/>
              </w:rPr>
            </w:pPr>
            <w:r>
              <w:rPr>
                <w:rFonts w:ascii="宋体" w:hAnsi="宋体"/>
                <w:sz w:val="21"/>
                <w:szCs w:val="21"/>
              </w:rPr>
              <w:t>82%</w:t>
            </w:r>
          </w:p>
        </w:tc>
        <w:tc>
          <w:tcPr>
            <w:tcW w:w="1241" w:type="dxa"/>
            <w:vAlign w:val="center"/>
          </w:tcPr>
          <w:p w14:paraId="36C1F8A8">
            <w:pPr>
              <w:spacing w:after="160" w:line="278" w:lineRule="auto"/>
              <w:ind w:firstLine="0" w:firstLineChars="0"/>
              <w:jc w:val="center"/>
              <w:rPr>
                <w:rFonts w:hint="eastAsia" w:ascii="宋体" w:hAnsi="宋体"/>
                <w:sz w:val="21"/>
                <w:szCs w:val="21"/>
              </w:rPr>
            </w:pPr>
            <w:r>
              <w:rPr>
                <w:rFonts w:ascii="宋体" w:hAnsi="宋体"/>
                <w:sz w:val="21"/>
                <w:szCs w:val="21"/>
              </w:rPr>
              <w:t>+3pct</w:t>
            </w:r>
          </w:p>
        </w:tc>
        <w:tc>
          <w:tcPr>
            <w:tcW w:w="3402" w:type="dxa"/>
            <w:vAlign w:val="center"/>
          </w:tcPr>
          <w:p w14:paraId="0582F505">
            <w:pPr>
              <w:spacing w:after="160" w:line="278" w:lineRule="auto"/>
              <w:ind w:firstLine="0" w:firstLineChars="0"/>
              <w:jc w:val="center"/>
              <w:rPr>
                <w:rFonts w:hint="eastAsia" w:ascii="宋体" w:hAnsi="宋体"/>
                <w:sz w:val="21"/>
                <w:szCs w:val="21"/>
              </w:rPr>
            </w:pPr>
            <w:r>
              <w:rPr>
                <w:rFonts w:ascii="宋体" w:hAnsi="宋体"/>
                <w:sz w:val="21"/>
                <w:szCs w:val="21"/>
              </w:rPr>
              <w:t>Strava/小红书/朋友圈，社交属性持续强化</w:t>
            </w:r>
          </w:p>
        </w:tc>
      </w:tr>
      <w:tr w14:paraId="675E76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77" w:type="dxa"/>
            <w:tcBorders>
              <w:bottom w:val="single" w:color="000000" w:themeColor="text1" w:sz="18" w:space="0"/>
            </w:tcBorders>
            <w:vAlign w:val="center"/>
          </w:tcPr>
          <w:p w14:paraId="5D30456A">
            <w:pPr>
              <w:spacing w:after="160" w:line="278" w:lineRule="auto"/>
              <w:ind w:firstLine="0" w:firstLineChars="0"/>
              <w:jc w:val="center"/>
              <w:rPr>
                <w:rFonts w:hint="eastAsia" w:ascii="宋体" w:hAnsi="宋体"/>
                <w:sz w:val="21"/>
                <w:szCs w:val="21"/>
              </w:rPr>
            </w:pPr>
            <w:r>
              <w:rPr>
                <w:rFonts w:ascii="宋体" w:hAnsi="宋体"/>
                <w:sz w:val="21"/>
                <w:szCs w:val="21"/>
              </w:rPr>
              <w:t>京郊骑行路线数量（条）</w:t>
            </w:r>
          </w:p>
        </w:tc>
        <w:tc>
          <w:tcPr>
            <w:tcW w:w="1594" w:type="dxa"/>
            <w:tcBorders>
              <w:bottom w:val="single" w:color="000000" w:themeColor="text1" w:sz="18" w:space="0"/>
            </w:tcBorders>
            <w:vAlign w:val="center"/>
          </w:tcPr>
          <w:p w14:paraId="144929F6">
            <w:pPr>
              <w:spacing w:after="160" w:line="278" w:lineRule="auto"/>
              <w:ind w:firstLine="0" w:firstLineChars="0"/>
              <w:jc w:val="center"/>
              <w:rPr>
                <w:rFonts w:hint="eastAsia" w:ascii="宋体" w:hAnsi="宋体"/>
                <w:sz w:val="21"/>
                <w:szCs w:val="21"/>
              </w:rPr>
            </w:pPr>
            <w:r>
              <w:rPr>
                <w:rFonts w:ascii="宋体" w:hAnsi="宋体"/>
                <w:sz w:val="21"/>
                <w:szCs w:val="21"/>
              </w:rPr>
              <w:t>约45条</w:t>
            </w:r>
          </w:p>
        </w:tc>
        <w:tc>
          <w:tcPr>
            <w:tcW w:w="1241" w:type="dxa"/>
            <w:tcBorders>
              <w:bottom w:val="single" w:color="000000" w:themeColor="text1" w:sz="18" w:space="0"/>
            </w:tcBorders>
            <w:vAlign w:val="center"/>
          </w:tcPr>
          <w:p w14:paraId="0D6E888E">
            <w:pPr>
              <w:spacing w:after="160" w:line="278" w:lineRule="auto"/>
              <w:ind w:firstLine="0" w:firstLineChars="0"/>
              <w:jc w:val="center"/>
              <w:rPr>
                <w:rFonts w:hint="eastAsia" w:ascii="宋体" w:hAnsi="宋体"/>
                <w:sz w:val="21"/>
                <w:szCs w:val="21"/>
              </w:rPr>
            </w:pPr>
            <w:r>
              <w:rPr>
                <w:rFonts w:ascii="宋体" w:hAnsi="宋体"/>
                <w:sz w:val="21"/>
                <w:szCs w:val="21"/>
              </w:rPr>
              <w:t>+5条</w:t>
            </w:r>
          </w:p>
        </w:tc>
        <w:tc>
          <w:tcPr>
            <w:tcW w:w="3402" w:type="dxa"/>
            <w:tcBorders>
              <w:bottom w:val="single" w:color="000000" w:themeColor="text1" w:sz="18" w:space="0"/>
            </w:tcBorders>
            <w:vAlign w:val="center"/>
          </w:tcPr>
          <w:p w14:paraId="067D326A">
            <w:pPr>
              <w:spacing w:after="160" w:line="278" w:lineRule="auto"/>
              <w:ind w:firstLine="0" w:firstLineChars="0"/>
              <w:jc w:val="center"/>
              <w:rPr>
                <w:rFonts w:hint="eastAsia" w:ascii="宋体" w:hAnsi="宋体"/>
                <w:sz w:val="21"/>
                <w:szCs w:val="21"/>
              </w:rPr>
            </w:pPr>
            <w:r>
              <w:rPr>
                <w:rFonts w:ascii="宋体" w:hAnsi="宋体"/>
                <w:sz w:val="21"/>
                <w:szCs w:val="21"/>
              </w:rPr>
              <w:t>但90%缺乏配套服务</w:t>
            </w:r>
          </w:p>
        </w:tc>
      </w:tr>
    </w:tbl>
    <w:p w14:paraId="1A37221B">
      <w:pPr>
        <w:ind w:firstLine="420"/>
        <w:rPr>
          <w:rFonts w:hint="eastAsia" w:ascii="宋体" w:hAnsi="宋体"/>
          <w:sz w:val="21"/>
          <w:szCs w:val="21"/>
        </w:rPr>
      </w:pPr>
      <w:r>
        <w:rPr>
          <w:rFonts w:hint="eastAsia" w:ascii="宋体" w:hAnsi="宋体"/>
          <w:sz w:val="21"/>
          <w:szCs w:val="21"/>
        </w:rPr>
        <w:t>数据来源：中国自行车协会《2025年中国骑行运动产业发展报告》；行者APP《2025京郊骑行白皮书》；小红书骑行内容数据2025Q1</w:t>
      </w:r>
    </w:p>
    <w:p w14:paraId="42719AF7">
      <w:pPr>
        <w:ind w:firstLine="420"/>
        <w:rPr>
          <w:rFonts w:hint="eastAsia" w:ascii="宋体" w:hAnsi="宋体"/>
          <w:sz w:val="21"/>
          <w:szCs w:val="21"/>
        </w:rPr>
      </w:pPr>
      <w:r>
        <w:rPr>
          <w:rFonts w:hint="eastAsia" w:ascii="宋体" w:hAnsi="宋体"/>
          <w:sz w:val="21"/>
          <w:szCs w:val="21"/>
        </w:rPr>
        <w:t>表3数据其实揭示了目前骑行市场的</w:t>
      </w:r>
      <w:r>
        <w:rPr>
          <w:rFonts w:hint="eastAsia" w:ascii="宋体" w:hAnsi="宋体"/>
          <w:b/>
          <w:bCs/>
          <w:sz w:val="21"/>
          <w:szCs w:val="21"/>
        </w:rPr>
        <w:t>“供需剪刀差”——需求端高速增长，供给端严重滞后</w:t>
      </w:r>
      <w:r>
        <w:rPr>
          <w:rFonts w:hint="eastAsia" w:ascii="宋体" w:hAnsi="宋体"/>
          <w:sz w:val="21"/>
          <w:szCs w:val="21"/>
        </w:rPr>
        <w:t>。首先，京郊骑行活跃人群已达85万且年增15%。这是一个庞大且持续增长的目标客群，按照单次消费250-750元、月均3.1次计算，仅骑行活跃人群的京郊年消费规模就达80-240亿元，而怀柔水库西岸骑行路线若能吸引其中5%的流量，年骑行客流即可达4万人次以上。</w:t>
      </w:r>
    </w:p>
    <w:p w14:paraId="6F925EDE">
      <w:pPr>
        <w:ind w:firstLine="420"/>
        <w:rPr>
          <w:rFonts w:hint="eastAsia" w:ascii="宋体" w:hAnsi="宋体"/>
          <w:sz w:val="21"/>
          <w:szCs w:val="21"/>
        </w:rPr>
      </w:pPr>
      <w:r>
        <w:rPr>
          <w:rFonts w:hint="eastAsia" w:ascii="宋体" w:hAnsi="宋体"/>
          <w:sz w:val="21"/>
          <w:szCs w:val="21"/>
        </w:rPr>
        <w:t>其次</w:t>
      </w:r>
      <w:r>
        <w:rPr>
          <w:rFonts w:hint="eastAsia" w:ascii="宋体" w:hAnsi="宋体"/>
          <w:b/>
          <w:bCs/>
          <w:sz w:val="21"/>
          <w:szCs w:val="21"/>
        </w:rPr>
        <w:t>，骑行产业的消费力与传播力双高</w:t>
      </w:r>
      <w:r>
        <w:rPr>
          <w:rFonts w:hint="eastAsia" w:ascii="宋体" w:hAnsi="宋体"/>
          <w:sz w:val="21"/>
          <w:szCs w:val="21"/>
        </w:rPr>
        <w:t>。目前市场上单次骑行消费上限已经从600元提升至750元，这说明了骑行者愿意为更好的配套服务（餐饮、驿站、体验）支付溢价，而82%的分享率意味着每位骑行者都是“行走的媒体”——每一次骑行产生3-5条社交内容，按85万活跃人群计算，年产生内容量达250-400万条，传播价值巨大。</w:t>
      </w:r>
      <w:r>
        <w:rPr>
          <w:rFonts w:ascii="宋体" w:hAnsi="宋体"/>
          <w:sz w:val="21"/>
          <w:szCs w:val="21"/>
        </w:rPr>
        <w:br w:type="textWrapping"/>
      </w:r>
      <w:r>
        <w:rPr>
          <w:rFonts w:ascii="宋体" w:hAnsi="宋体"/>
          <w:sz w:val="21"/>
          <w:szCs w:val="21"/>
        </w:rPr>
        <w:br w:type="textWrapping"/>
      </w:r>
      <w:r>
        <w:rPr>
          <w:rFonts w:hint="eastAsia" w:ascii="宋体" w:hAnsi="宋体"/>
          <w:sz w:val="21"/>
          <w:szCs w:val="21"/>
        </w:rPr>
        <w:t xml:space="preserve">    最后是该</w:t>
      </w:r>
      <w:r>
        <w:rPr>
          <w:rFonts w:hint="eastAsia" w:ascii="宋体" w:hAnsi="宋体"/>
          <w:b/>
          <w:bCs/>
          <w:sz w:val="21"/>
          <w:szCs w:val="21"/>
        </w:rPr>
        <w:t>产业供给端存在巨大空白</w:t>
      </w:r>
      <w:r>
        <w:rPr>
          <w:rFonts w:hint="eastAsia" w:ascii="宋体" w:hAnsi="宋体"/>
          <w:sz w:val="21"/>
          <w:szCs w:val="21"/>
        </w:rPr>
        <w:t>。京郊45条骑行路线中，有90%的路线缺乏系统化配套服务，现有路线多是“纯运动型”——有路、有景，但没有驿站、没有打卡系统、没有消费节点、没有社交激励。因此本项目将骑行升级为“消费+社交+品牌体验”闭环，填补的正是这一结构性空白。</w:t>
      </w:r>
    </w:p>
    <w:p w14:paraId="6D7CC07E">
      <w:pPr>
        <w:ind w:firstLine="420"/>
        <w:rPr>
          <w:rFonts w:hint="eastAsia" w:ascii="宋体" w:hAnsi="宋体"/>
          <w:sz w:val="21"/>
          <w:szCs w:val="21"/>
        </w:rPr>
      </w:pPr>
      <w:r>
        <w:rPr>
          <w:rFonts w:hint="eastAsia" w:ascii="宋体" w:hAnsi="宋体"/>
          <w:sz w:val="21"/>
          <w:szCs w:val="21"/>
        </w:rPr>
        <w:drawing>
          <wp:anchor distT="0" distB="0" distL="114300" distR="114300" simplePos="0" relativeHeight="251662336" behindDoc="0" locked="0" layoutInCell="1" allowOverlap="0">
            <wp:simplePos x="0" y="0"/>
            <wp:positionH relativeFrom="column">
              <wp:posOffset>447040</wp:posOffset>
            </wp:positionH>
            <wp:positionV relativeFrom="line">
              <wp:posOffset>461010</wp:posOffset>
            </wp:positionV>
            <wp:extent cx="4705350" cy="2297430"/>
            <wp:effectExtent l="0" t="0" r="3810" b="3810"/>
            <wp:wrapSquare wrapText="bothSides"/>
            <wp:docPr id="71213171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31710" name="图片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4705350" cy="2297430"/>
                    </a:xfrm>
                    <a:prstGeom prst="rect">
                      <a:avLst/>
                    </a:prstGeom>
                    <a:noFill/>
                    <a:ln>
                      <a:noFill/>
                    </a:ln>
                  </pic:spPr>
                </pic:pic>
              </a:graphicData>
            </a:graphic>
          </wp:anchor>
        </w:drawing>
      </w:r>
      <w:r>
        <w:rPr>
          <w:rFonts w:hint="eastAsia" w:ascii="宋体" w:hAnsi="宋体"/>
          <w:sz w:val="21"/>
          <w:szCs w:val="21"/>
        </w:rPr>
        <w:t>（2）骑行人群消费结构分析</w:t>
      </w:r>
    </w:p>
    <w:p w14:paraId="4320731D">
      <w:pPr>
        <w:ind w:firstLine="420"/>
        <w:rPr>
          <w:rFonts w:hint="eastAsia" w:ascii="宋体" w:hAnsi="宋体"/>
          <w:sz w:val="21"/>
          <w:szCs w:val="21"/>
        </w:rPr>
      </w:pPr>
    </w:p>
    <w:p w14:paraId="00C03328">
      <w:pPr>
        <w:ind w:firstLine="420"/>
        <w:rPr>
          <w:rFonts w:hint="eastAsia" w:ascii="宋体" w:hAnsi="宋体"/>
          <w:sz w:val="21"/>
          <w:szCs w:val="21"/>
        </w:rPr>
      </w:pPr>
      <w:r>
        <w:rPr>
          <w:rFonts w:hint="eastAsia" w:ascii="宋体" w:hAnsi="宋体"/>
          <w:sz w:val="21"/>
          <w:szCs w:val="21"/>
        </w:rPr>
        <w:drawing>
          <wp:inline distT="0" distB="0" distL="0" distR="0">
            <wp:extent cx="5274310" cy="298450"/>
            <wp:effectExtent l="0" t="0" r="13970" b="6350"/>
            <wp:docPr id="65031357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13578" name="图片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74310" cy="298450"/>
                    </a:xfrm>
                    <a:prstGeom prst="rect">
                      <a:avLst/>
                    </a:prstGeom>
                    <a:noFill/>
                    <a:ln>
                      <a:noFill/>
                    </a:ln>
                  </pic:spPr>
                </pic:pic>
              </a:graphicData>
            </a:graphic>
          </wp:inline>
        </w:drawing>
      </w:r>
      <w:r>
        <w:rPr>
          <w:rFonts w:hint="eastAsia" w:ascii="宋体" w:hAnsi="宋体"/>
          <w:sz w:val="21"/>
          <w:szCs w:val="21"/>
        </w:rPr>
        <w:t>注：</w:t>
      </w:r>
      <w:r>
        <w:rPr>
          <w:rFonts w:ascii="宋体" w:hAnsi="宋体"/>
          <w:sz w:val="21"/>
          <w:szCs w:val="21"/>
        </w:rPr>
        <w:t>单次出行总消费区间：250-750元/人</w:t>
      </w:r>
      <w:r>
        <w:rPr>
          <w:rFonts w:hint="eastAsia" w:ascii="宋体" w:hAnsi="宋体"/>
          <w:sz w:val="21"/>
          <w:szCs w:val="21"/>
        </w:rPr>
        <w:t>，</w:t>
      </w:r>
      <w:r>
        <w:rPr>
          <w:rFonts w:ascii="宋体" w:hAnsi="宋体"/>
          <w:sz w:val="21"/>
          <w:szCs w:val="21"/>
        </w:rPr>
        <w:t>当日往返平均消费：320元/人；含住宿平均消费：580元/人</w:t>
      </w:r>
    </w:p>
    <w:p w14:paraId="698DC14C">
      <w:pPr>
        <w:ind w:firstLine="420"/>
        <w:rPr>
          <w:rFonts w:hint="eastAsia" w:ascii="宋体" w:hAnsi="宋体"/>
          <w:sz w:val="21"/>
          <w:szCs w:val="21"/>
        </w:rPr>
      </w:pPr>
      <w:r>
        <w:rPr>
          <w:rFonts w:hint="eastAsia" w:ascii="宋体" w:hAnsi="宋体"/>
          <w:sz w:val="21"/>
          <w:szCs w:val="21"/>
        </w:rPr>
        <w:t>据团队线上调研显示，消费结构数据对本项目的产品定价和套餐设计具有直接指导意义。</w:t>
      </w:r>
    </w:p>
    <w:p w14:paraId="78C9D7D3">
      <w:pPr>
        <w:ind w:firstLine="420"/>
        <w:rPr>
          <w:rFonts w:hint="eastAsia" w:ascii="宋体" w:hAnsi="宋体"/>
          <w:sz w:val="21"/>
          <w:szCs w:val="21"/>
        </w:rPr>
      </w:pPr>
      <w:r>
        <w:rPr>
          <w:rFonts w:hint="eastAsia" w:ascii="宋体" w:hAnsi="宋体"/>
          <w:sz w:val="21"/>
          <w:szCs w:val="21"/>
        </w:rPr>
        <w:t>第一是餐饮和住宿，是最大消费项（合计310元，占当日往返消费的97%），这说明骑行人群的消费重心在于“停下来吃住”，而非骑行本身。本项目与联盟村的餐饮住宿业态合作，是骑行流量变现的核心环节。</w:t>
      </w:r>
    </w:p>
    <w:p w14:paraId="2AB4EF5D">
      <w:pPr>
        <w:ind w:firstLine="420"/>
        <w:rPr>
          <w:rFonts w:hint="eastAsia" w:ascii="宋体" w:hAnsi="宋体"/>
          <w:sz w:val="21"/>
          <w:szCs w:val="21"/>
        </w:rPr>
      </w:pPr>
      <w:r>
        <w:rPr>
          <w:rFonts w:hint="eastAsia" w:ascii="宋体" w:hAnsi="宋体"/>
          <w:sz w:val="21"/>
          <w:szCs w:val="21"/>
        </w:rPr>
        <w:t>第二，采摘/农产品购买位列第二（120元），这说明骑行者有着强烈的</w:t>
      </w:r>
      <w:r>
        <w:rPr>
          <w:rFonts w:hint="eastAsia" w:ascii="宋体" w:hAnsi="宋体"/>
          <w:b/>
          <w:bCs/>
          <w:sz w:val="21"/>
          <w:szCs w:val="21"/>
        </w:rPr>
        <w:t>“顺路购买”</w:t>
      </w:r>
      <w:r>
        <w:rPr>
          <w:rFonts w:hint="eastAsia" w:ascii="宋体" w:hAnsi="宋体"/>
          <w:sz w:val="21"/>
          <w:szCs w:val="21"/>
        </w:rPr>
        <w:t>意愿——骑行结束后带一些农产品回家，而樱桃作为骑行终点消费品的定位与这一消费习惯高度契合。</w:t>
      </w:r>
    </w:p>
    <w:p w14:paraId="66CF9297">
      <w:pPr>
        <w:ind w:firstLine="420"/>
        <w:rPr>
          <w:rFonts w:hint="eastAsia" w:ascii="宋体" w:hAnsi="宋体"/>
          <w:sz w:val="21"/>
          <w:szCs w:val="21"/>
        </w:rPr>
      </w:pPr>
      <w:r>
        <w:rPr>
          <w:rFonts w:hint="eastAsia" w:ascii="宋体" w:hAnsi="宋体"/>
          <w:sz w:val="21"/>
          <w:szCs w:val="21"/>
        </w:rPr>
        <w:t>第三，骑手基本体验活动消费达85元，这说明是一个快速增长的新支出项——骑行人群</w:t>
      </w:r>
      <w:r>
        <w:rPr>
          <w:rFonts w:hint="eastAsia" w:ascii="宋体" w:hAnsi="宋体"/>
          <w:b/>
          <w:bCs/>
          <w:sz w:val="21"/>
          <w:szCs w:val="21"/>
        </w:rPr>
        <w:t>不再满足于“骑完就走”</w:t>
      </w:r>
      <w:r>
        <w:rPr>
          <w:rFonts w:hint="eastAsia" w:ascii="宋体" w:hAnsi="宋体"/>
          <w:sz w:val="21"/>
          <w:szCs w:val="21"/>
        </w:rPr>
        <w:t>，愿意为DIY、研学、露营等附加体验付费，而本项目七大体验场景的设计，正是将这部分潜在消费显性化、产品化。最后是骑手对文创/伴手礼消费部分仅35元，这说明当前市场缺乏有吸引力的骑行主题文创产品，这是一片蓝海，而本项目的</w:t>
      </w:r>
      <w:r>
        <w:rPr>
          <w:rFonts w:hint="eastAsia" w:ascii="宋体" w:hAnsi="宋体"/>
          <w:b/>
          <w:bCs/>
          <w:sz w:val="21"/>
          <w:szCs w:val="21"/>
        </w:rPr>
        <w:t>“骑行打卡本+集章+限定文创”</w:t>
      </w:r>
      <w:r>
        <w:rPr>
          <w:rFonts w:hint="eastAsia" w:ascii="宋体" w:hAnsi="宋体"/>
          <w:sz w:val="21"/>
          <w:szCs w:val="21"/>
        </w:rPr>
        <w:t>正是针对这一空白的产品设计。</w:t>
      </w:r>
    </w:p>
    <w:p w14:paraId="55C93B04">
      <w:pPr>
        <w:pStyle w:val="4"/>
        <w:bidi w:val="0"/>
        <w:rPr>
          <w:rFonts w:hint="eastAsia"/>
        </w:rPr>
      </w:pPr>
      <w:bookmarkStart w:id="58" w:name="_Toc5166"/>
      <w:r>
        <w:rPr>
          <w:rFonts w:hint="eastAsia"/>
        </w:rPr>
        <w:t>3.7.4 政策环境</w:t>
      </w:r>
      <w:bookmarkEnd w:id="58"/>
    </w:p>
    <w:p w14:paraId="3F46F1DC">
      <w:pPr>
        <w:ind w:firstLine="420"/>
        <w:rPr>
          <w:rFonts w:hint="eastAsia" w:ascii="宋体" w:hAnsi="宋体"/>
          <w:sz w:val="21"/>
          <w:szCs w:val="21"/>
        </w:rPr>
      </w:pPr>
      <w:r>
        <w:rPr>
          <w:rFonts w:ascii="宋体" w:hAnsi="宋体"/>
          <w:sz w:val="21"/>
          <w:szCs w:val="21"/>
        </w:rPr>
        <w:t>2025年，中央到地方的政策支持力度持续加码，</w:t>
      </w:r>
      <w:r>
        <w:rPr>
          <w:rFonts w:hint="eastAsia" w:ascii="宋体" w:hAnsi="宋体"/>
          <w:sz w:val="21"/>
          <w:szCs w:val="21"/>
        </w:rPr>
        <w:t>目前</w:t>
      </w:r>
      <w:r>
        <w:rPr>
          <w:rFonts w:ascii="宋体" w:hAnsi="宋体"/>
          <w:sz w:val="21"/>
          <w:szCs w:val="21"/>
        </w:rPr>
        <w:t>乡村振兴进入“运营为王”的新阶段</w:t>
      </w:r>
      <w:r>
        <w:rPr>
          <w:rFonts w:hint="eastAsia" w:ascii="宋体" w:hAnsi="宋体"/>
          <w:sz w:val="21"/>
          <w:szCs w:val="21"/>
        </w:rPr>
        <w:t>，</w:t>
      </w:r>
      <w:r>
        <w:rPr>
          <w:rFonts w:ascii="宋体" w:hAnsi="宋体"/>
          <w:sz w:val="21"/>
          <w:szCs w:val="21"/>
        </w:rPr>
        <w:t>政策重心</w:t>
      </w:r>
      <w:r>
        <w:rPr>
          <w:rFonts w:hint="eastAsia" w:ascii="宋体" w:hAnsi="宋体"/>
          <w:sz w:val="21"/>
          <w:szCs w:val="21"/>
        </w:rPr>
        <w:t>逐渐</w:t>
      </w:r>
      <w:r>
        <w:rPr>
          <w:rFonts w:ascii="宋体" w:hAnsi="宋体"/>
          <w:sz w:val="21"/>
          <w:szCs w:val="21"/>
        </w:rPr>
        <w:t>从基础设施投入转向产业运营和人才引进，为本项目提供了多重制度红利。</w:t>
      </w:r>
    </w:p>
    <w:p w14:paraId="59B90D3B">
      <w:pPr>
        <w:ind w:firstLine="420"/>
        <w:jc w:val="center"/>
        <w:rPr>
          <w:rFonts w:hint="eastAsia" w:ascii="宋体" w:hAnsi="宋体"/>
          <w:sz w:val="21"/>
          <w:szCs w:val="21"/>
        </w:rPr>
      </w:pPr>
      <w:r>
        <w:rPr>
          <w:rFonts w:hint="eastAsia" w:ascii="宋体" w:hAnsi="宋体"/>
          <w:sz w:val="21"/>
          <w:szCs w:val="21"/>
        </w:rPr>
        <w:t xml:space="preserve">表 </w:t>
      </w:r>
      <w:r>
        <w:rPr>
          <w:rFonts w:ascii="宋体" w:hAnsi="宋体"/>
          <w:sz w:val="21"/>
          <w:szCs w:val="21"/>
        </w:rPr>
        <w:t>4</w:t>
      </w:r>
      <w:r>
        <w:rPr>
          <w:rFonts w:hint="eastAsia" w:ascii="宋体" w:hAnsi="宋体"/>
          <w:sz w:val="21"/>
          <w:szCs w:val="21"/>
        </w:rPr>
        <w:t xml:space="preserve"> 政策支持矩阵</w:t>
      </w:r>
    </w:p>
    <w:tbl>
      <w:tblPr>
        <w:tblStyle w:val="25"/>
        <w:tblW w:w="8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49"/>
        <w:gridCol w:w="1965"/>
        <w:gridCol w:w="1355"/>
        <w:gridCol w:w="2185"/>
        <w:gridCol w:w="1266"/>
        <w:gridCol w:w="1320"/>
      </w:tblGrid>
      <w:tr w14:paraId="592314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000000" w:themeColor="text1" w:sz="18" w:space="0"/>
              <w:bottom w:val="single" w:color="000000" w:themeColor="text1" w:sz="12" w:space="0"/>
            </w:tcBorders>
            <w:vAlign w:val="center"/>
          </w:tcPr>
          <w:p w14:paraId="20DA6F3C">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政策层级</w:t>
            </w:r>
          </w:p>
        </w:tc>
        <w:tc>
          <w:tcPr>
            <w:tcW w:w="0" w:type="auto"/>
            <w:tcBorders>
              <w:top w:val="single" w:color="000000" w:themeColor="text1" w:sz="18" w:space="0"/>
              <w:bottom w:val="single" w:color="000000" w:themeColor="text1" w:sz="12" w:space="0"/>
            </w:tcBorders>
            <w:vAlign w:val="center"/>
          </w:tcPr>
          <w:p w14:paraId="37573220">
            <w:pPr>
              <w:spacing w:after="160" w:line="278" w:lineRule="auto"/>
              <w:ind w:firstLine="0" w:firstLineChars="0"/>
              <w:jc w:val="center"/>
              <w:rPr>
                <w:rFonts w:hint="eastAsia" w:ascii="宋体" w:hAnsi="宋体" w:cs="Times New Roman"/>
                <w:kern w:val="0"/>
                <w:sz w:val="21"/>
                <w:szCs w:val="21"/>
                <w14:ligatures w14:val="none"/>
              </w:rPr>
            </w:pPr>
            <w:r>
              <w:rPr>
                <w:rFonts w:hint="eastAsia" w:ascii="宋体" w:hAnsi="宋体" w:cs="宋体"/>
                <w:kern w:val="0"/>
                <w:sz w:val="21"/>
                <w:szCs w:val="21"/>
                <w14:ligatures w14:val="none"/>
              </w:rPr>
              <w:t>核心政策</w:t>
            </w:r>
          </w:p>
        </w:tc>
        <w:tc>
          <w:tcPr>
            <w:tcW w:w="1355" w:type="dxa"/>
            <w:tcBorders>
              <w:top w:val="single" w:color="000000" w:themeColor="text1" w:sz="18" w:space="0"/>
              <w:bottom w:val="single" w:color="000000" w:themeColor="text1" w:sz="12" w:space="0"/>
            </w:tcBorders>
            <w:vAlign w:val="center"/>
          </w:tcPr>
          <w:p w14:paraId="53510FA8">
            <w:pPr>
              <w:spacing w:after="160" w:line="278" w:lineRule="auto"/>
              <w:ind w:firstLine="0" w:firstLineChars="0"/>
              <w:jc w:val="center"/>
              <w:rPr>
                <w:rFonts w:hint="eastAsia" w:ascii="宋体" w:hAnsi="宋体" w:cs="Times New Roman"/>
                <w:kern w:val="0"/>
                <w:sz w:val="21"/>
                <w:szCs w:val="21"/>
                <w14:ligatures w14:val="none"/>
              </w:rPr>
            </w:pPr>
            <w:r>
              <w:rPr>
                <w:rFonts w:hint="eastAsia" w:ascii="宋体" w:hAnsi="宋体" w:cs="宋体"/>
                <w:kern w:val="0"/>
                <w:sz w:val="21"/>
                <w:szCs w:val="21"/>
                <w14:ligatures w14:val="none"/>
              </w:rPr>
              <w:t>发布时间</w:t>
            </w:r>
          </w:p>
        </w:tc>
        <w:tc>
          <w:tcPr>
            <w:tcW w:w="2185" w:type="dxa"/>
            <w:tcBorders>
              <w:top w:val="single" w:color="000000" w:themeColor="text1" w:sz="18" w:space="0"/>
              <w:bottom w:val="single" w:color="000000" w:themeColor="text1" w:sz="12" w:space="0"/>
            </w:tcBorders>
            <w:vAlign w:val="center"/>
          </w:tcPr>
          <w:p w14:paraId="427516CC">
            <w:pPr>
              <w:spacing w:after="160" w:line="278" w:lineRule="auto"/>
              <w:ind w:firstLine="0" w:firstLineChars="0"/>
              <w:jc w:val="center"/>
              <w:rPr>
                <w:rFonts w:hint="eastAsia" w:ascii="宋体" w:hAnsi="宋体" w:cs="Times New Roman"/>
                <w:kern w:val="0"/>
                <w:sz w:val="21"/>
                <w:szCs w:val="21"/>
                <w14:ligatures w14:val="none"/>
              </w:rPr>
            </w:pPr>
            <w:r>
              <w:rPr>
                <w:rFonts w:hint="eastAsia" w:ascii="宋体" w:hAnsi="宋体" w:cs="宋体"/>
                <w:kern w:val="0"/>
                <w:sz w:val="21"/>
                <w:szCs w:val="21"/>
                <w14:ligatures w14:val="none"/>
              </w:rPr>
              <w:t>与本项目关联条款</w:t>
            </w:r>
          </w:p>
        </w:tc>
        <w:tc>
          <w:tcPr>
            <w:tcW w:w="0" w:type="auto"/>
            <w:tcBorders>
              <w:top w:val="single" w:color="000000" w:themeColor="text1" w:sz="18" w:space="0"/>
              <w:bottom w:val="single" w:color="000000" w:themeColor="text1" w:sz="12" w:space="0"/>
            </w:tcBorders>
            <w:vAlign w:val="center"/>
          </w:tcPr>
          <w:p w14:paraId="40F34342">
            <w:pPr>
              <w:spacing w:after="160" w:line="278" w:lineRule="auto"/>
              <w:ind w:firstLine="0" w:firstLineChars="0"/>
              <w:jc w:val="center"/>
              <w:rPr>
                <w:rFonts w:hint="eastAsia" w:ascii="宋体" w:hAnsi="宋体" w:cs="Times New Roman"/>
                <w:kern w:val="0"/>
                <w:sz w:val="21"/>
                <w:szCs w:val="21"/>
                <w14:ligatures w14:val="none"/>
              </w:rPr>
            </w:pPr>
            <w:r>
              <w:rPr>
                <w:rFonts w:hint="eastAsia" w:ascii="宋体" w:hAnsi="宋体" w:cs="宋体"/>
                <w:kern w:val="0"/>
                <w:sz w:val="21"/>
                <w:szCs w:val="21"/>
                <w14:ligatures w14:val="none"/>
              </w:rPr>
              <w:t>支撑力度</w:t>
            </w:r>
          </w:p>
        </w:tc>
        <w:tc>
          <w:tcPr>
            <w:tcW w:w="0" w:type="auto"/>
            <w:tcBorders>
              <w:top w:val="single" w:color="000000" w:themeColor="text1" w:sz="18" w:space="0"/>
              <w:bottom w:val="single" w:color="000000" w:themeColor="text1" w:sz="12" w:space="0"/>
            </w:tcBorders>
            <w:vAlign w:val="center"/>
          </w:tcPr>
          <w:p w14:paraId="7B6DAB70">
            <w:pPr>
              <w:spacing w:after="160" w:line="278" w:lineRule="auto"/>
              <w:ind w:firstLine="0" w:firstLineChars="0"/>
              <w:jc w:val="center"/>
              <w:rPr>
                <w:rFonts w:hint="eastAsia" w:ascii="宋体" w:hAnsi="宋体" w:cs="Times New Roman"/>
                <w:kern w:val="0"/>
                <w:sz w:val="21"/>
                <w:szCs w:val="21"/>
                <w14:ligatures w14:val="none"/>
              </w:rPr>
            </w:pPr>
            <w:r>
              <w:rPr>
                <w:rFonts w:hint="eastAsia" w:ascii="宋体" w:hAnsi="宋体" w:cs="宋体"/>
                <w:kern w:val="0"/>
                <w:sz w:val="21"/>
                <w:szCs w:val="21"/>
                <w14:ligatures w14:val="none"/>
              </w:rPr>
              <w:t>可争取资源</w:t>
            </w:r>
          </w:p>
        </w:tc>
      </w:tr>
      <w:tr w14:paraId="3CBDC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000000" w:themeColor="text1" w:sz="12" w:space="0"/>
            </w:tcBorders>
            <w:vAlign w:val="center"/>
          </w:tcPr>
          <w:p w14:paraId="707FF20B">
            <w:pPr>
              <w:spacing w:after="160" w:line="278" w:lineRule="auto"/>
              <w:ind w:firstLine="0" w:firstLineChars="0"/>
              <w:jc w:val="center"/>
              <w:rPr>
                <w:rFonts w:hint="eastAsia" w:ascii="宋体" w:hAnsi="宋体" w:cs="Times New Roman"/>
                <w:kern w:val="0"/>
                <w:sz w:val="21"/>
                <w:szCs w:val="21"/>
                <w14:ligatures w14:val="none"/>
              </w:rPr>
            </w:pPr>
            <w:r>
              <w:rPr>
                <w:rFonts w:hint="eastAsia" w:ascii="宋体" w:hAnsi="宋体" w:cs="宋体"/>
                <w:kern w:val="0"/>
                <w:sz w:val="21"/>
                <w:szCs w:val="21"/>
                <w14:ligatures w14:val="none"/>
              </w:rPr>
              <w:t>中央</w:t>
            </w:r>
          </w:p>
        </w:tc>
        <w:tc>
          <w:tcPr>
            <w:tcW w:w="0" w:type="auto"/>
            <w:tcBorders>
              <w:top w:val="single" w:color="000000" w:themeColor="text1" w:sz="12" w:space="0"/>
            </w:tcBorders>
            <w:vAlign w:val="center"/>
          </w:tcPr>
          <w:p w14:paraId="0F28E078">
            <w:pPr>
              <w:spacing w:after="160" w:line="278" w:lineRule="auto"/>
              <w:ind w:firstLine="0" w:firstLineChars="0"/>
              <w:jc w:val="center"/>
              <w:rPr>
                <w:rFonts w:hint="eastAsia" w:ascii="宋体" w:hAnsi="宋体" w:cs="Times New Roman"/>
                <w:kern w:val="0"/>
                <w:sz w:val="21"/>
                <w:szCs w:val="21"/>
                <w14:ligatures w14:val="none"/>
              </w:rPr>
            </w:pPr>
            <w:r>
              <w:rPr>
                <w:rFonts w:hint="eastAsia" w:ascii="宋体" w:hAnsi="宋体" w:cs="宋体"/>
                <w:kern w:val="0"/>
                <w:sz w:val="21"/>
                <w:szCs w:val="21"/>
                <w14:ligatures w14:val="none"/>
              </w:rPr>
              <w:t>《乡村全面振兴规划（</w:t>
            </w:r>
            <w:r>
              <w:rPr>
                <w:rFonts w:ascii="宋体" w:hAnsi="宋体" w:cs="Times New Roman"/>
                <w:kern w:val="0"/>
                <w:sz w:val="21"/>
                <w:szCs w:val="21"/>
                <w14:ligatures w14:val="none"/>
              </w:rPr>
              <w:t>2024-2027</w:t>
            </w:r>
            <w:r>
              <w:rPr>
                <w:rFonts w:hint="eastAsia" w:ascii="宋体" w:hAnsi="宋体" w:cs="宋体"/>
                <w:kern w:val="0"/>
                <w:sz w:val="21"/>
                <w:szCs w:val="21"/>
                <w14:ligatures w14:val="none"/>
              </w:rPr>
              <w:t>年）》</w:t>
            </w:r>
          </w:p>
        </w:tc>
        <w:tc>
          <w:tcPr>
            <w:tcW w:w="1355" w:type="dxa"/>
            <w:tcBorders>
              <w:top w:val="single" w:color="000000" w:themeColor="text1" w:sz="12" w:space="0"/>
            </w:tcBorders>
            <w:vAlign w:val="center"/>
          </w:tcPr>
          <w:p w14:paraId="6BB5387C">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2024</w:t>
            </w:r>
            <w:r>
              <w:rPr>
                <w:rFonts w:hint="eastAsia" w:ascii="宋体" w:hAnsi="宋体" w:cs="宋体"/>
                <w:kern w:val="0"/>
                <w:sz w:val="21"/>
                <w:szCs w:val="21"/>
                <w14:ligatures w14:val="none"/>
              </w:rPr>
              <w:t>年</w:t>
            </w:r>
          </w:p>
        </w:tc>
        <w:tc>
          <w:tcPr>
            <w:tcW w:w="2185" w:type="dxa"/>
            <w:tcBorders>
              <w:top w:val="single" w:color="000000" w:themeColor="text1" w:sz="12" w:space="0"/>
            </w:tcBorders>
            <w:vAlign w:val="center"/>
          </w:tcPr>
          <w:p w14:paraId="4C7934C1">
            <w:pPr>
              <w:spacing w:after="160" w:line="278" w:lineRule="auto"/>
              <w:ind w:firstLine="0" w:firstLineChars="0"/>
              <w:jc w:val="center"/>
              <w:rPr>
                <w:rFonts w:hint="eastAsia" w:ascii="宋体" w:hAnsi="宋体" w:cs="Times New Roman"/>
                <w:kern w:val="0"/>
                <w:sz w:val="21"/>
                <w:szCs w:val="21"/>
                <w14:ligatures w14:val="none"/>
              </w:rPr>
            </w:pPr>
            <w:r>
              <w:rPr>
                <w:rFonts w:hint="eastAsia" w:ascii="宋体" w:hAnsi="宋体" w:cs="宋体"/>
                <w:kern w:val="0"/>
                <w:sz w:val="21"/>
                <w:szCs w:val="21"/>
                <w14:ligatures w14:val="none"/>
              </w:rPr>
              <w:t>农文旅融合、数字乡村、品牌强农、乡村运营师培育</w:t>
            </w:r>
          </w:p>
        </w:tc>
        <w:tc>
          <w:tcPr>
            <w:tcW w:w="0" w:type="auto"/>
            <w:tcBorders>
              <w:top w:val="single" w:color="000000" w:themeColor="text1" w:sz="12" w:space="0"/>
            </w:tcBorders>
            <w:vAlign w:val="center"/>
          </w:tcPr>
          <w:p w14:paraId="061EEC77">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Segoe UI Symbol"/>
                <w:kern w:val="0"/>
                <w:sz w:val="21"/>
                <w:szCs w:val="21"/>
                <w14:ligatures w14:val="none"/>
              </w:rPr>
              <w:t>★★★★★</w:t>
            </w:r>
          </w:p>
        </w:tc>
        <w:tc>
          <w:tcPr>
            <w:tcW w:w="0" w:type="auto"/>
            <w:tcBorders>
              <w:top w:val="single" w:color="000000" w:themeColor="text1" w:sz="12" w:space="0"/>
            </w:tcBorders>
            <w:vAlign w:val="center"/>
          </w:tcPr>
          <w:p w14:paraId="3CCA9C04">
            <w:pPr>
              <w:spacing w:after="160" w:line="278" w:lineRule="auto"/>
              <w:ind w:firstLine="0" w:firstLineChars="0"/>
              <w:jc w:val="center"/>
              <w:rPr>
                <w:rFonts w:hint="eastAsia" w:ascii="宋体" w:hAnsi="宋体" w:cs="Times New Roman"/>
                <w:kern w:val="0"/>
                <w:sz w:val="21"/>
                <w:szCs w:val="21"/>
                <w14:ligatures w14:val="none"/>
              </w:rPr>
            </w:pPr>
            <w:r>
              <w:rPr>
                <w:rFonts w:hint="eastAsia" w:ascii="宋体" w:hAnsi="宋体" w:cs="宋体"/>
                <w:kern w:val="0"/>
                <w:sz w:val="21"/>
                <w:szCs w:val="21"/>
                <w14:ligatures w14:val="none"/>
              </w:rPr>
              <w:t>中央财政衔接资金</w:t>
            </w:r>
          </w:p>
        </w:tc>
      </w:tr>
      <w:tr w14:paraId="7A84E6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7FF669E9">
            <w:pPr>
              <w:spacing w:after="160" w:line="278" w:lineRule="auto"/>
              <w:ind w:firstLine="0" w:firstLineChars="0"/>
              <w:jc w:val="center"/>
              <w:rPr>
                <w:rFonts w:hint="eastAsia" w:ascii="宋体" w:hAnsi="宋体" w:cs="Times New Roman"/>
                <w:kern w:val="0"/>
                <w:sz w:val="21"/>
                <w:szCs w:val="21"/>
                <w14:ligatures w14:val="none"/>
              </w:rPr>
            </w:pPr>
            <w:r>
              <w:rPr>
                <w:rFonts w:hint="eastAsia" w:ascii="宋体" w:hAnsi="宋体" w:cs="宋体"/>
                <w:kern w:val="0"/>
                <w:sz w:val="21"/>
                <w:szCs w:val="21"/>
                <w14:ligatures w14:val="none"/>
              </w:rPr>
              <w:t>中央</w:t>
            </w:r>
          </w:p>
        </w:tc>
        <w:tc>
          <w:tcPr>
            <w:tcW w:w="0" w:type="auto"/>
            <w:vAlign w:val="center"/>
          </w:tcPr>
          <w:p w14:paraId="6A4BF894">
            <w:pPr>
              <w:spacing w:after="160" w:line="278" w:lineRule="auto"/>
              <w:ind w:firstLine="0" w:firstLineChars="0"/>
              <w:jc w:val="center"/>
              <w:rPr>
                <w:rFonts w:hint="eastAsia" w:ascii="宋体" w:hAnsi="宋体" w:cs="Times New Roman"/>
                <w:kern w:val="0"/>
                <w:sz w:val="21"/>
                <w:szCs w:val="21"/>
                <w14:ligatures w14:val="none"/>
              </w:rPr>
            </w:pPr>
            <w:r>
              <w:rPr>
                <w:rFonts w:hint="eastAsia" w:ascii="宋体" w:hAnsi="宋体" w:cs="宋体"/>
                <w:kern w:val="0"/>
                <w:sz w:val="21"/>
                <w:szCs w:val="21"/>
                <w14:ligatures w14:val="none"/>
              </w:rPr>
              <w:t>《关于推动文化产业赋能乡村振兴的意见》</w:t>
            </w:r>
          </w:p>
        </w:tc>
        <w:tc>
          <w:tcPr>
            <w:tcW w:w="1355" w:type="dxa"/>
            <w:vAlign w:val="center"/>
          </w:tcPr>
          <w:p w14:paraId="73CA9931">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2022</w:t>
            </w:r>
            <w:r>
              <w:rPr>
                <w:rFonts w:hint="eastAsia" w:ascii="宋体" w:hAnsi="宋体" w:cs="宋体"/>
                <w:kern w:val="0"/>
                <w:sz w:val="21"/>
                <w:szCs w:val="21"/>
                <w14:ligatures w14:val="none"/>
              </w:rPr>
              <w:t>年（</w:t>
            </w:r>
            <w:r>
              <w:rPr>
                <w:rFonts w:ascii="宋体" w:hAnsi="宋体" w:cs="Times New Roman"/>
                <w:kern w:val="0"/>
                <w:sz w:val="21"/>
                <w:szCs w:val="21"/>
                <w14:ligatures w14:val="none"/>
              </w:rPr>
              <w:t>2025</w:t>
            </w:r>
            <w:r>
              <w:rPr>
                <w:rFonts w:hint="eastAsia" w:ascii="宋体" w:hAnsi="宋体" w:cs="宋体"/>
                <w:kern w:val="0"/>
                <w:sz w:val="21"/>
                <w:szCs w:val="21"/>
                <w14:ligatures w14:val="none"/>
              </w:rPr>
              <w:t>年评估报告发布）</w:t>
            </w:r>
          </w:p>
        </w:tc>
        <w:tc>
          <w:tcPr>
            <w:tcW w:w="2185" w:type="dxa"/>
            <w:vAlign w:val="center"/>
          </w:tcPr>
          <w:p w14:paraId="7E944D7F">
            <w:pPr>
              <w:spacing w:after="160" w:line="278" w:lineRule="auto"/>
              <w:ind w:firstLine="0" w:firstLineChars="0"/>
              <w:jc w:val="center"/>
              <w:rPr>
                <w:rFonts w:hint="eastAsia" w:ascii="宋体" w:hAnsi="宋体" w:cs="Times New Roman"/>
                <w:kern w:val="0"/>
                <w:sz w:val="21"/>
                <w:szCs w:val="21"/>
                <w14:ligatures w14:val="none"/>
              </w:rPr>
            </w:pPr>
            <w:r>
              <w:rPr>
                <w:rFonts w:hint="eastAsia" w:ascii="宋体" w:hAnsi="宋体" w:cs="宋体"/>
                <w:kern w:val="0"/>
                <w:sz w:val="21"/>
                <w:szCs w:val="21"/>
                <w14:ligatures w14:val="none"/>
              </w:rPr>
              <w:t>创意设计赋能、文旅融合示范、数字文化乡村</w:t>
            </w:r>
          </w:p>
        </w:tc>
        <w:tc>
          <w:tcPr>
            <w:tcW w:w="0" w:type="auto"/>
            <w:vAlign w:val="center"/>
          </w:tcPr>
          <w:p w14:paraId="68DDEE10">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Segoe UI Symbol"/>
                <w:kern w:val="0"/>
                <w:sz w:val="21"/>
                <w:szCs w:val="21"/>
                <w14:ligatures w14:val="none"/>
              </w:rPr>
              <w:t>★★★★</w:t>
            </w:r>
          </w:p>
        </w:tc>
        <w:tc>
          <w:tcPr>
            <w:tcW w:w="0" w:type="auto"/>
            <w:vAlign w:val="center"/>
          </w:tcPr>
          <w:p w14:paraId="6AF0DCD7">
            <w:pPr>
              <w:spacing w:after="160" w:line="278" w:lineRule="auto"/>
              <w:ind w:firstLine="0" w:firstLineChars="0"/>
              <w:jc w:val="center"/>
              <w:rPr>
                <w:rFonts w:hint="eastAsia" w:ascii="宋体" w:hAnsi="宋体" w:cs="Times New Roman"/>
                <w:kern w:val="0"/>
                <w:sz w:val="21"/>
                <w:szCs w:val="21"/>
                <w14:ligatures w14:val="none"/>
              </w:rPr>
            </w:pPr>
            <w:r>
              <w:rPr>
                <w:rFonts w:hint="eastAsia" w:ascii="宋体" w:hAnsi="宋体" w:cs="宋体"/>
                <w:kern w:val="0"/>
                <w:sz w:val="21"/>
                <w:szCs w:val="21"/>
                <w14:ligatures w14:val="none"/>
              </w:rPr>
              <w:t>文旅部示范项目申报</w:t>
            </w:r>
          </w:p>
        </w:tc>
      </w:tr>
      <w:tr w14:paraId="4263A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10E71CE7">
            <w:pPr>
              <w:spacing w:after="160" w:line="278" w:lineRule="auto"/>
              <w:ind w:firstLine="0" w:firstLineChars="0"/>
              <w:jc w:val="center"/>
              <w:rPr>
                <w:rFonts w:hint="eastAsia" w:ascii="宋体" w:hAnsi="宋体" w:cs="Times New Roman"/>
                <w:kern w:val="0"/>
                <w:sz w:val="21"/>
                <w:szCs w:val="21"/>
                <w14:ligatures w14:val="none"/>
              </w:rPr>
            </w:pPr>
            <w:r>
              <w:rPr>
                <w:rFonts w:hint="eastAsia" w:ascii="宋体" w:hAnsi="宋体" w:cs="宋体"/>
                <w:kern w:val="0"/>
                <w:sz w:val="21"/>
                <w:szCs w:val="21"/>
                <w14:ligatures w14:val="none"/>
              </w:rPr>
              <w:t>中央</w:t>
            </w:r>
          </w:p>
        </w:tc>
        <w:tc>
          <w:tcPr>
            <w:tcW w:w="0" w:type="auto"/>
            <w:vAlign w:val="center"/>
          </w:tcPr>
          <w:p w14:paraId="0237F6DB">
            <w:pPr>
              <w:spacing w:after="160" w:line="278" w:lineRule="auto"/>
              <w:ind w:firstLine="0" w:firstLineChars="0"/>
              <w:jc w:val="center"/>
              <w:rPr>
                <w:rFonts w:hint="eastAsia" w:ascii="宋体" w:hAnsi="宋体" w:cs="Times New Roman"/>
                <w:kern w:val="0"/>
                <w:sz w:val="21"/>
                <w:szCs w:val="21"/>
                <w14:ligatures w14:val="none"/>
              </w:rPr>
            </w:pPr>
            <w:r>
              <w:rPr>
                <w:rFonts w:hint="eastAsia" w:ascii="宋体" w:hAnsi="宋体" w:cs="宋体"/>
                <w:kern w:val="0"/>
                <w:sz w:val="21"/>
                <w:szCs w:val="21"/>
                <w14:ligatures w14:val="none"/>
              </w:rPr>
              <w:t>《</w:t>
            </w:r>
            <w:r>
              <w:rPr>
                <w:rFonts w:ascii="宋体" w:hAnsi="宋体" w:cs="Times New Roman"/>
                <w:kern w:val="0"/>
                <w:sz w:val="21"/>
                <w:szCs w:val="21"/>
                <w14:ligatures w14:val="none"/>
              </w:rPr>
              <w:t>“</w:t>
            </w:r>
            <w:r>
              <w:rPr>
                <w:rFonts w:hint="eastAsia" w:ascii="宋体" w:hAnsi="宋体" w:cs="宋体"/>
                <w:kern w:val="0"/>
                <w:sz w:val="21"/>
                <w:szCs w:val="21"/>
                <w14:ligatures w14:val="none"/>
              </w:rPr>
              <w:t>十五五</w:t>
            </w:r>
            <w:r>
              <w:rPr>
                <w:rFonts w:ascii="宋体" w:hAnsi="宋体" w:cs="Times New Roman"/>
                <w:kern w:val="0"/>
                <w:sz w:val="21"/>
                <w:szCs w:val="21"/>
                <w14:ligatures w14:val="none"/>
              </w:rPr>
              <w:t>”</w:t>
            </w:r>
            <w:r>
              <w:rPr>
                <w:rFonts w:hint="eastAsia" w:ascii="宋体" w:hAnsi="宋体" w:cs="宋体"/>
                <w:kern w:val="0"/>
                <w:sz w:val="21"/>
                <w:szCs w:val="21"/>
                <w14:ligatures w14:val="none"/>
              </w:rPr>
              <w:t>农业农村现代化规划（预研）》</w:t>
            </w:r>
          </w:p>
        </w:tc>
        <w:tc>
          <w:tcPr>
            <w:tcW w:w="1355" w:type="dxa"/>
            <w:vAlign w:val="center"/>
          </w:tcPr>
          <w:p w14:paraId="7BA8E9B3">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2025</w:t>
            </w:r>
            <w:r>
              <w:rPr>
                <w:rFonts w:hint="eastAsia" w:ascii="宋体" w:hAnsi="宋体" w:cs="宋体"/>
                <w:kern w:val="0"/>
                <w:sz w:val="21"/>
                <w:szCs w:val="21"/>
                <w14:ligatures w14:val="none"/>
              </w:rPr>
              <w:t>年（预研阶段）</w:t>
            </w:r>
          </w:p>
        </w:tc>
        <w:tc>
          <w:tcPr>
            <w:tcW w:w="2185" w:type="dxa"/>
            <w:vAlign w:val="center"/>
          </w:tcPr>
          <w:p w14:paraId="5447EA50">
            <w:pPr>
              <w:spacing w:after="160" w:line="278" w:lineRule="auto"/>
              <w:ind w:firstLine="0" w:firstLineChars="0"/>
              <w:jc w:val="center"/>
              <w:rPr>
                <w:rFonts w:hint="eastAsia" w:ascii="宋体" w:hAnsi="宋体" w:cs="Times New Roman"/>
                <w:kern w:val="0"/>
                <w:sz w:val="21"/>
                <w:szCs w:val="21"/>
                <w14:ligatures w14:val="none"/>
              </w:rPr>
            </w:pPr>
            <w:r>
              <w:rPr>
                <w:rFonts w:hint="eastAsia" w:ascii="宋体" w:hAnsi="宋体" w:cs="宋体"/>
                <w:kern w:val="0"/>
                <w:sz w:val="21"/>
                <w:szCs w:val="21"/>
                <w14:ligatures w14:val="none"/>
              </w:rPr>
              <w:t>乡村产业全链升级、绿色低碳发展</w:t>
            </w:r>
          </w:p>
        </w:tc>
        <w:tc>
          <w:tcPr>
            <w:tcW w:w="0" w:type="auto"/>
            <w:vAlign w:val="center"/>
          </w:tcPr>
          <w:p w14:paraId="2812CE93">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Segoe UI Symbol"/>
                <w:kern w:val="0"/>
                <w:sz w:val="21"/>
                <w:szCs w:val="21"/>
                <w14:ligatures w14:val="none"/>
              </w:rPr>
              <w:t>★★★★</w:t>
            </w:r>
          </w:p>
        </w:tc>
        <w:tc>
          <w:tcPr>
            <w:tcW w:w="0" w:type="auto"/>
            <w:vAlign w:val="center"/>
          </w:tcPr>
          <w:p w14:paraId="031BF27A">
            <w:pPr>
              <w:spacing w:after="160" w:line="278" w:lineRule="auto"/>
              <w:ind w:firstLine="0" w:firstLineChars="0"/>
              <w:jc w:val="center"/>
              <w:rPr>
                <w:rFonts w:hint="eastAsia" w:ascii="宋体" w:hAnsi="宋体" w:cs="Times New Roman"/>
                <w:kern w:val="0"/>
                <w:sz w:val="21"/>
                <w:szCs w:val="21"/>
                <w14:ligatures w14:val="none"/>
              </w:rPr>
            </w:pPr>
            <w:r>
              <w:rPr>
                <w:rFonts w:hint="eastAsia" w:ascii="宋体" w:hAnsi="宋体" w:cs="宋体"/>
                <w:kern w:val="0"/>
                <w:sz w:val="21"/>
                <w:szCs w:val="21"/>
                <w14:ligatures w14:val="none"/>
              </w:rPr>
              <w:t>政策方向指引</w:t>
            </w:r>
          </w:p>
        </w:tc>
      </w:tr>
      <w:tr w14:paraId="42471E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2F0D1C57">
            <w:pPr>
              <w:spacing w:after="160" w:line="278" w:lineRule="auto"/>
              <w:ind w:firstLine="0" w:firstLineChars="0"/>
              <w:jc w:val="center"/>
              <w:rPr>
                <w:rFonts w:hint="eastAsia" w:ascii="宋体" w:hAnsi="宋体" w:cs="Times New Roman"/>
                <w:kern w:val="0"/>
                <w:sz w:val="21"/>
                <w:szCs w:val="21"/>
                <w14:ligatures w14:val="none"/>
              </w:rPr>
            </w:pPr>
            <w:r>
              <w:rPr>
                <w:rFonts w:hint="eastAsia" w:ascii="宋体" w:hAnsi="宋体" w:cs="宋体"/>
                <w:kern w:val="0"/>
                <w:sz w:val="21"/>
                <w:szCs w:val="21"/>
                <w14:ligatures w14:val="none"/>
              </w:rPr>
              <w:t>北京市</w:t>
            </w:r>
          </w:p>
        </w:tc>
        <w:tc>
          <w:tcPr>
            <w:tcW w:w="0" w:type="auto"/>
            <w:vAlign w:val="center"/>
          </w:tcPr>
          <w:p w14:paraId="20119A77">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w:t>
            </w:r>
            <w:r>
              <w:rPr>
                <w:rFonts w:hint="eastAsia" w:ascii="宋体" w:hAnsi="宋体" w:cs="宋体"/>
                <w:kern w:val="0"/>
                <w:sz w:val="21"/>
                <w:szCs w:val="21"/>
                <w14:ligatures w14:val="none"/>
              </w:rPr>
              <w:t>百村示范、千村振兴</w:t>
            </w:r>
            <w:r>
              <w:rPr>
                <w:rFonts w:ascii="宋体" w:hAnsi="宋体" w:cs="Times New Roman"/>
                <w:kern w:val="0"/>
                <w:sz w:val="21"/>
                <w:szCs w:val="21"/>
                <w14:ligatures w14:val="none"/>
              </w:rPr>
              <w:t>”</w:t>
            </w:r>
            <w:r>
              <w:rPr>
                <w:rFonts w:hint="eastAsia" w:ascii="宋体" w:hAnsi="宋体" w:cs="宋体"/>
                <w:kern w:val="0"/>
                <w:sz w:val="21"/>
                <w:szCs w:val="21"/>
                <w14:ligatures w14:val="none"/>
              </w:rPr>
              <w:t>工程（第二阶段）</w:t>
            </w:r>
          </w:p>
        </w:tc>
        <w:tc>
          <w:tcPr>
            <w:tcW w:w="1355" w:type="dxa"/>
            <w:vAlign w:val="center"/>
          </w:tcPr>
          <w:p w14:paraId="71CF8800">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2025</w:t>
            </w:r>
            <w:r>
              <w:rPr>
                <w:rFonts w:hint="eastAsia" w:ascii="宋体" w:hAnsi="宋体" w:cs="宋体"/>
                <w:kern w:val="0"/>
                <w:sz w:val="21"/>
                <w:szCs w:val="21"/>
                <w14:ligatures w14:val="none"/>
              </w:rPr>
              <w:t>年（第二阶段启动）</w:t>
            </w:r>
          </w:p>
        </w:tc>
        <w:tc>
          <w:tcPr>
            <w:tcW w:w="2185" w:type="dxa"/>
            <w:vAlign w:val="center"/>
          </w:tcPr>
          <w:p w14:paraId="54AA5B40">
            <w:pPr>
              <w:spacing w:after="160" w:line="278" w:lineRule="auto"/>
              <w:ind w:firstLine="0" w:firstLineChars="0"/>
              <w:jc w:val="center"/>
              <w:rPr>
                <w:rFonts w:hint="eastAsia" w:ascii="宋体" w:hAnsi="宋体" w:cs="Times New Roman"/>
                <w:kern w:val="0"/>
                <w:sz w:val="21"/>
                <w:szCs w:val="21"/>
                <w14:ligatures w14:val="none"/>
              </w:rPr>
            </w:pPr>
            <w:r>
              <w:rPr>
                <w:rFonts w:hint="eastAsia" w:ascii="宋体" w:hAnsi="宋体" w:cs="宋体"/>
                <w:kern w:val="0"/>
                <w:sz w:val="21"/>
                <w:szCs w:val="21"/>
                <w14:ligatures w14:val="none"/>
              </w:rPr>
              <w:t>示范村提质增效、产业扶持资金扩容</w:t>
            </w:r>
          </w:p>
        </w:tc>
        <w:tc>
          <w:tcPr>
            <w:tcW w:w="0" w:type="auto"/>
            <w:vAlign w:val="center"/>
          </w:tcPr>
          <w:p w14:paraId="68C6D0B8">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Segoe UI Symbol"/>
                <w:kern w:val="0"/>
                <w:sz w:val="21"/>
                <w:szCs w:val="21"/>
                <w14:ligatures w14:val="none"/>
              </w:rPr>
              <w:t>★★★★★</w:t>
            </w:r>
          </w:p>
        </w:tc>
        <w:tc>
          <w:tcPr>
            <w:tcW w:w="0" w:type="auto"/>
            <w:vAlign w:val="center"/>
          </w:tcPr>
          <w:p w14:paraId="614D6419">
            <w:pPr>
              <w:spacing w:after="160" w:line="278" w:lineRule="auto"/>
              <w:ind w:firstLine="0" w:firstLineChars="0"/>
              <w:jc w:val="center"/>
              <w:rPr>
                <w:rFonts w:hint="eastAsia" w:ascii="宋体" w:hAnsi="宋体" w:cs="Times New Roman"/>
                <w:kern w:val="0"/>
                <w:sz w:val="21"/>
                <w:szCs w:val="21"/>
                <w14:ligatures w14:val="none"/>
              </w:rPr>
            </w:pPr>
            <w:r>
              <w:rPr>
                <w:rFonts w:hint="eastAsia" w:ascii="宋体" w:hAnsi="宋体" w:cs="宋体"/>
                <w:kern w:val="0"/>
                <w:sz w:val="21"/>
                <w:szCs w:val="21"/>
                <w14:ligatures w14:val="none"/>
              </w:rPr>
              <w:t>市级专项资金</w:t>
            </w:r>
            <w:r>
              <w:rPr>
                <w:rFonts w:ascii="宋体" w:hAnsi="宋体" w:cs="Times New Roman"/>
                <w:kern w:val="0"/>
                <w:sz w:val="21"/>
                <w:szCs w:val="21"/>
                <w14:ligatures w14:val="none"/>
              </w:rPr>
              <w:t>100-300</w:t>
            </w:r>
            <w:r>
              <w:rPr>
                <w:rFonts w:hint="eastAsia" w:ascii="宋体" w:hAnsi="宋体" w:cs="宋体"/>
                <w:kern w:val="0"/>
                <w:sz w:val="21"/>
                <w:szCs w:val="21"/>
                <w14:ligatures w14:val="none"/>
              </w:rPr>
              <w:t>万</w:t>
            </w:r>
            <w:r>
              <w:rPr>
                <w:rFonts w:ascii="宋体" w:hAnsi="宋体" w:cs="Times New Roman"/>
                <w:kern w:val="0"/>
                <w:sz w:val="21"/>
                <w:szCs w:val="21"/>
                <w14:ligatures w14:val="none"/>
              </w:rPr>
              <w:t>/</w:t>
            </w:r>
            <w:r>
              <w:rPr>
                <w:rFonts w:hint="eastAsia" w:ascii="宋体" w:hAnsi="宋体" w:cs="宋体"/>
                <w:kern w:val="0"/>
                <w:sz w:val="21"/>
                <w:szCs w:val="21"/>
                <w14:ligatures w14:val="none"/>
              </w:rPr>
              <w:t>村</w:t>
            </w:r>
          </w:p>
        </w:tc>
      </w:tr>
      <w:tr w14:paraId="30AE7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074BB65E">
            <w:pPr>
              <w:spacing w:after="160" w:line="278" w:lineRule="auto"/>
              <w:ind w:firstLine="0" w:firstLineChars="0"/>
              <w:jc w:val="center"/>
              <w:rPr>
                <w:rFonts w:hint="eastAsia" w:ascii="宋体" w:hAnsi="宋体" w:cs="Times New Roman"/>
                <w:kern w:val="0"/>
                <w:sz w:val="21"/>
                <w:szCs w:val="21"/>
                <w14:ligatures w14:val="none"/>
              </w:rPr>
            </w:pPr>
            <w:r>
              <w:rPr>
                <w:rFonts w:hint="eastAsia" w:ascii="宋体" w:hAnsi="宋体" w:cs="宋体"/>
                <w:kern w:val="0"/>
                <w:sz w:val="21"/>
                <w:szCs w:val="21"/>
                <w14:ligatures w14:val="none"/>
              </w:rPr>
              <w:t>北京市</w:t>
            </w:r>
          </w:p>
        </w:tc>
        <w:tc>
          <w:tcPr>
            <w:tcW w:w="0" w:type="auto"/>
            <w:vAlign w:val="center"/>
          </w:tcPr>
          <w:p w14:paraId="6AA147C6">
            <w:pPr>
              <w:spacing w:after="160" w:line="278" w:lineRule="auto"/>
              <w:ind w:firstLine="0" w:firstLineChars="0"/>
              <w:jc w:val="center"/>
              <w:rPr>
                <w:rFonts w:hint="eastAsia" w:ascii="宋体" w:hAnsi="宋体" w:cs="Times New Roman"/>
                <w:kern w:val="0"/>
                <w:sz w:val="21"/>
                <w:szCs w:val="21"/>
                <w14:ligatures w14:val="none"/>
              </w:rPr>
            </w:pPr>
            <w:r>
              <w:rPr>
                <w:rFonts w:hint="eastAsia" w:ascii="宋体" w:hAnsi="宋体" w:cs="宋体"/>
                <w:kern w:val="0"/>
                <w:sz w:val="21"/>
                <w:szCs w:val="21"/>
                <w14:ligatures w14:val="none"/>
              </w:rPr>
              <w:t>《北京市</w:t>
            </w:r>
            <w:r>
              <w:rPr>
                <w:rFonts w:ascii="宋体" w:hAnsi="宋体" w:cs="Times New Roman"/>
                <w:kern w:val="0"/>
                <w:sz w:val="21"/>
                <w:szCs w:val="21"/>
                <w14:ligatures w14:val="none"/>
              </w:rPr>
              <w:t>“</w:t>
            </w:r>
            <w:r>
              <w:rPr>
                <w:rFonts w:hint="eastAsia" w:ascii="宋体" w:hAnsi="宋体" w:cs="宋体"/>
                <w:kern w:val="0"/>
                <w:sz w:val="21"/>
                <w:szCs w:val="21"/>
                <w14:ligatures w14:val="none"/>
              </w:rPr>
              <w:t>十五五</w:t>
            </w:r>
            <w:r>
              <w:rPr>
                <w:rFonts w:ascii="宋体" w:hAnsi="宋体" w:cs="Times New Roman"/>
                <w:kern w:val="0"/>
                <w:sz w:val="21"/>
                <w:szCs w:val="21"/>
                <w14:ligatures w14:val="none"/>
              </w:rPr>
              <w:t>”</w:t>
            </w:r>
            <w:r>
              <w:rPr>
                <w:rFonts w:hint="eastAsia" w:ascii="宋体" w:hAnsi="宋体" w:cs="宋体"/>
                <w:kern w:val="0"/>
                <w:sz w:val="21"/>
                <w:szCs w:val="21"/>
                <w14:ligatures w14:val="none"/>
              </w:rPr>
              <w:t>时期乡村振兴规划》</w:t>
            </w:r>
          </w:p>
        </w:tc>
        <w:tc>
          <w:tcPr>
            <w:tcW w:w="1355" w:type="dxa"/>
            <w:vAlign w:val="center"/>
          </w:tcPr>
          <w:p w14:paraId="23381911">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2025</w:t>
            </w:r>
            <w:r>
              <w:rPr>
                <w:rFonts w:hint="eastAsia" w:ascii="宋体" w:hAnsi="宋体" w:cs="宋体"/>
                <w:kern w:val="0"/>
                <w:sz w:val="21"/>
                <w:szCs w:val="21"/>
                <w14:ligatures w14:val="none"/>
              </w:rPr>
              <w:t>年（编制中）</w:t>
            </w:r>
          </w:p>
        </w:tc>
        <w:tc>
          <w:tcPr>
            <w:tcW w:w="2185" w:type="dxa"/>
            <w:vAlign w:val="center"/>
          </w:tcPr>
          <w:p w14:paraId="3D7E4701">
            <w:pPr>
              <w:spacing w:after="160" w:line="278" w:lineRule="auto"/>
              <w:ind w:firstLine="0" w:firstLineChars="0"/>
              <w:jc w:val="center"/>
              <w:rPr>
                <w:rFonts w:hint="eastAsia" w:ascii="宋体" w:hAnsi="宋体" w:cs="Times New Roman"/>
                <w:kern w:val="0"/>
                <w:sz w:val="21"/>
                <w:szCs w:val="21"/>
                <w14:ligatures w14:val="none"/>
              </w:rPr>
            </w:pPr>
            <w:r>
              <w:rPr>
                <w:rFonts w:hint="eastAsia" w:ascii="宋体" w:hAnsi="宋体" w:cs="宋体"/>
                <w:kern w:val="0"/>
                <w:sz w:val="21"/>
                <w:szCs w:val="21"/>
                <w14:ligatures w14:val="none"/>
              </w:rPr>
              <w:t>休闲农业提质、骑行绿道网络建设</w:t>
            </w:r>
          </w:p>
        </w:tc>
        <w:tc>
          <w:tcPr>
            <w:tcW w:w="0" w:type="auto"/>
            <w:vAlign w:val="center"/>
          </w:tcPr>
          <w:p w14:paraId="1C14321B">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Segoe UI Symbol"/>
                <w:kern w:val="0"/>
                <w:sz w:val="21"/>
                <w:szCs w:val="21"/>
                <w14:ligatures w14:val="none"/>
              </w:rPr>
              <w:t>★★★★</w:t>
            </w:r>
          </w:p>
        </w:tc>
        <w:tc>
          <w:tcPr>
            <w:tcW w:w="0" w:type="auto"/>
            <w:vAlign w:val="center"/>
          </w:tcPr>
          <w:p w14:paraId="4359BBA8">
            <w:pPr>
              <w:spacing w:after="160" w:line="278" w:lineRule="auto"/>
              <w:ind w:firstLine="0" w:firstLineChars="0"/>
              <w:jc w:val="center"/>
              <w:rPr>
                <w:rFonts w:hint="eastAsia" w:ascii="宋体" w:hAnsi="宋体" w:cs="Times New Roman"/>
                <w:kern w:val="0"/>
                <w:sz w:val="21"/>
                <w:szCs w:val="21"/>
                <w14:ligatures w14:val="none"/>
              </w:rPr>
            </w:pPr>
            <w:r>
              <w:rPr>
                <w:rFonts w:hint="eastAsia" w:ascii="宋体" w:hAnsi="宋体" w:cs="宋体"/>
                <w:kern w:val="0"/>
                <w:sz w:val="21"/>
                <w:szCs w:val="21"/>
                <w14:ligatures w14:val="none"/>
              </w:rPr>
              <w:t>规划项目入库</w:t>
            </w:r>
          </w:p>
        </w:tc>
      </w:tr>
      <w:tr w14:paraId="7ED161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373BB1D0">
            <w:pPr>
              <w:spacing w:after="160" w:line="278" w:lineRule="auto"/>
              <w:ind w:firstLine="0" w:firstLineChars="0"/>
              <w:jc w:val="center"/>
              <w:rPr>
                <w:rFonts w:hint="eastAsia" w:ascii="宋体" w:hAnsi="宋体" w:cs="Times New Roman"/>
                <w:kern w:val="0"/>
                <w:sz w:val="21"/>
                <w:szCs w:val="21"/>
                <w14:ligatures w14:val="none"/>
              </w:rPr>
            </w:pPr>
            <w:r>
              <w:rPr>
                <w:rFonts w:hint="eastAsia" w:ascii="宋体" w:hAnsi="宋体" w:cs="宋体"/>
                <w:kern w:val="0"/>
                <w:sz w:val="21"/>
                <w:szCs w:val="21"/>
                <w14:ligatures w14:val="none"/>
              </w:rPr>
              <w:t>怀柔区</w:t>
            </w:r>
          </w:p>
        </w:tc>
        <w:tc>
          <w:tcPr>
            <w:tcW w:w="0" w:type="auto"/>
            <w:vAlign w:val="center"/>
          </w:tcPr>
          <w:p w14:paraId="2A72FED6">
            <w:pPr>
              <w:spacing w:after="160" w:line="278" w:lineRule="auto"/>
              <w:ind w:firstLine="0" w:firstLineChars="0"/>
              <w:jc w:val="center"/>
              <w:rPr>
                <w:rFonts w:hint="eastAsia" w:ascii="宋体" w:hAnsi="宋体" w:cs="Times New Roman"/>
                <w:kern w:val="0"/>
                <w:sz w:val="21"/>
                <w:szCs w:val="21"/>
                <w14:ligatures w14:val="none"/>
              </w:rPr>
            </w:pPr>
            <w:r>
              <w:rPr>
                <w:rFonts w:hint="eastAsia" w:ascii="宋体" w:hAnsi="宋体" w:cs="宋体"/>
                <w:kern w:val="0"/>
                <w:sz w:val="21"/>
                <w:szCs w:val="21"/>
                <w14:ligatures w14:val="none"/>
              </w:rPr>
              <w:t>农文旅融合发展实施意见（</w:t>
            </w:r>
            <w:r>
              <w:rPr>
                <w:rFonts w:ascii="宋体" w:hAnsi="宋体" w:cs="Times New Roman"/>
                <w:kern w:val="0"/>
                <w:sz w:val="21"/>
                <w:szCs w:val="21"/>
                <w14:ligatures w14:val="none"/>
              </w:rPr>
              <w:t>2025</w:t>
            </w:r>
            <w:r>
              <w:rPr>
                <w:rFonts w:hint="eastAsia" w:ascii="宋体" w:hAnsi="宋体" w:cs="宋体"/>
                <w:kern w:val="0"/>
                <w:sz w:val="21"/>
                <w:szCs w:val="21"/>
                <w14:ligatures w14:val="none"/>
              </w:rPr>
              <w:t>修订版）</w:t>
            </w:r>
          </w:p>
        </w:tc>
        <w:tc>
          <w:tcPr>
            <w:tcW w:w="1355" w:type="dxa"/>
            <w:vAlign w:val="center"/>
          </w:tcPr>
          <w:p w14:paraId="47FA7DE6">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2025</w:t>
            </w:r>
            <w:r>
              <w:rPr>
                <w:rFonts w:hint="eastAsia" w:ascii="宋体" w:hAnsi="宋体" w:cs="宋体"/>
                <w:kern w:val="0"/>
                <w:sz w:val="21"/>
                <w:szCs w:val="21"/>
                <w14:ligatures w14:val="none"/>
              </w:rPr>
              <w:t>年</w:t>
            </w:r>
          </w:p>
        </w:tc>
        <w:tc>
          <w:tcPr>
            <w:tcW w:w="2185" w:type="dxa"/>
            <w:vAlign w:val="center"/>
          </w:tcPr>
          <w:p w14:paraId="50D052C1">
            <w:pPr>
              <w:spacing w:after="160" w:line="278" w:lineRule="auto"/>
              <w:ind w:firstLine="0" w:firstLineChars="0"/>
              <w:jc w:val="center"/>
              <w:rPr>
                <w:rFonts w:hint="eastAsia" w:ascii="宋体" w:hAnsi="宋体" w:cs="Times New Roman"/>
                <w:kern w:val="0"/>
                <w:sz w:val="21"/>
                <w:szCs w:val="21"/>
                <w14:ligatures w14:val="none"/>
              </w:rPr>
            </w:pPr>
            <w:r>
              <w:rPr>
                <w:rFonts w:hint="eastAsia" w:ascii="宋体" w:hAnsi="宋体" w:cs="宋体"/>
                <w:kern w:val="0"/>
                <w:sz w:val="21"/>
                <w:szCs w:val="21"/>
                <w14:ligatures w14:val="none"/>
              </w:rPr>
              <w:t>全域旅游产品体系建设、品牌培育、骑行友好区创建</w:t>
            </w:r>
          </w:p>
        </w:tc>
        <w:tc>
          <w:tcPr>
            <w:tcW w:w="0" w:type="auto"/>
            <w:vAlign w:val="center"/>
          </w:tcPr>
          <w:p w14:paraId="46E4F03D">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Segoe UI Symbol"/>
                <w:kern w:val="0"/>
                <w:sz w:val="21"/>
                <w:szCs w:val="21"/>
                <w14:ligatures w14:val="none"/>
              </w:rPr>
              <w:t>★★★★★</w:t>
            </w:r>
          </w:p>
        </w:tc>
        <w:tc>
          <w:tcPr>
            <w:tcW w:w="0" w:type="auto"/>
            <w:vAlign w:val="center"/>
          </w:tcPr>
          <w:p w14:paraId="5371ECE1">
            <w:pPr>
              <w:spacing w:after="160" w:line="278" w:lineRule="auto"/>
              <w:ind w:firstLine="0" w:firstLineChars="0"/>
              <w:jc w:val="center"/>
              <w:rPr>
                <w:rFonts w:hint="eastAsia" w:ascii="宋体" w:hAnsi="宋体" w:cs="Times New Roman"/>
                <w:kern w:val="0"/>
                <w:sz w:val="21"/>
                <w:szCs w:val="21"/>
                <w14:ligatures w14:val="none"/>
              </w:rPr>
            </w:pPr>
            <w:r>
              <w:rPr>
                <w:rFonts w:hint="eastAsia" w:ascii="宋体" w:hAnsi="宋体" w:cs="宋体"/>
                <w:kern w:val="0"/>
                <w:sz w:val="21"/>
                <w:szCs w:val="21"/>
                <w14:ligatures w14:val="none"/>
              </w:rPr>
              <w:t>区级配套资金</w:t>
            </w:r>
            <w:r>
              <w:rPr>
                <w:rFonts w:ascii="宋体" w:hAnsi="宋体" w:cs="Times New Roman"/>
                <w:kern w:val="0"/>
                <w:sz w:val="21"/>
                <w:szCs w:val="21"/>
                <w14:ligatures w14:val="none"/>
              </w:rPr>
              <w:t>+</w:t>
            </w:r>
            <w:r>
              <w:rPr>
                <w:rFonts w:hint="eastAsia" w:ascii="宋体" w:hAnsi="宋体" w:cs="宋体"/>
                <w:kern w:val="0"/>
                <w:sz w:val="21"/>
                <w:szCs w:val="21"/>
                <w14:ligatures w14:val="none"/>
              </w:rPr>
              <w:t>推广资源</w:t>
            </w:r>
          </w:p>
        </w:tc>
      </w:tr>
      <w:tr w14:paraId="3D5F27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bottom w:val="single" w:color="000000" w:themeColor="text1" w:sz="18" w:space="0"/>
            </w:tcBorders>
            <w:vAlign w:val="center"/>
          </w:tcPr>
          <w:p w14:paraId="4A3C8BC4">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怀柔区</w:t>
            </w:r>
          </w:p>
        </w:tc>
        <w:tc>
          <w:tcPr>
            <w:tcW w:w="0" w:type="auto"/>
            <w:tcBorders>
              <w:bottom w:val="single" w:color="000000" w:themeColor="text1" w:sz="18" w:space="0"/>
            </w:tcBorders>
            <w:vAlign w:val="center"/>
          </w:tcPr>
          <w:p w14:paraId="68D9D3E2">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w:t>
            </w:r>
            <w:r>
              <w:rPr>
                <w:rFonts w:hint="eastAsia" w:ascii="宋体" w:hAnsi="宋体" w:cs="宋体"/>
                <w:kern w:val="0"/>
                <w:sz w:val="21"/>
                <w:szCs w:val="21"/>
                <w14:ligatures w14:val="none"/>
              </w:rPr>
              <w:t>乡村运营师</w:t>
            </w:r>
            <w:r>
              <w:rPr>
                <w:rFonts w:ascii="宋体" w:hAnsi="宋体" w:cs="Times New Roman"/>
                <w:kern w:val="0"/>
                <w:sz w:val="21"/>
                <w:szCs w:val="21"/>
                <w14:ligatures w14:val="none"/>
              </w:rPr>
              <w:t>”</w:t>
            </w:r>
            <w:r>
              <w:rPr>
                <w:rFonts w:hint="eastAsia" w:ascii="宋体" w:hAnsi="宋体" w:cs="宋体"/>
                <w:kern w:val="0"/>
                <w:sz w:val="21"/>
                <w:szCs w:val="21"/>
                <w14:ligatures w14:val="none"/>
              </w:rPr>
              <w:t>培育计划（扩容）</w:t>
            </w:r>
          </w:p>
        </w:tc>
        <w:tc>
          <w:tcPr>
            <w:tcW w:w="1355" w:type="dxa"/>
            <w:tcBorders>
              <w:bottom w:val="single" w:color="000000" w:themeColor="text1" w:sz="18" w:space="0"/>
            </w:tcBorders>
            <w:vAlign w:val="center"/>
          </w:tcPr>
          <w:p w14:paraId="30F2F708">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2025</w:t>
            </w:r>
            <w:r>
              <w:rPr>
                <w:rFonts w:hint="eastAsia" w:ascii="宋体" w:hAnsi="宋体" w:cs="宋体"/>
                <w:kern w:val="0"/>
                <w:sz w:val="21"/>
                <w:szCs w:val="21"/>
                <w14:ligatures w14:val="none"/>
              </w:rPr>
              <w:t>年（第二批）</w:t>
            </w:r>
          </w:p>
        </w:tc>
        <w:tc>
          <w:tcPr>
            <w:tcW w:w="2185" w:type="dxa"/>
            <w:tcBorders>
              <w:bottom w:val="single" w:color="000000" w:themeColor="text1" w:sz="18" w:space="0"/>
            </w:tcBorders>
            <w:vAlign w:val="center"/>
          </w:tcPr>
          <w:p w14:paraId="52910B78">
            <w:pPr>
              <w:spacing w:after="160" w:line="278" w:lineRule="auto"/>
              <w:ind w:firstLine="0" w:firstLineChars="0"/>
              <w:jc w:val="center"/>
              <w:rPr>
                <w:rFonts w:hint="eastAsia" w:ascii="宋体" w:hAnsi="宋体" w:cs="Times New Roman"/>
                <w:kern w:val="0"/>
                <w:sz w:val="21"/>
                <w:szCs w:val="21"/>
                <w14:ligatures w14:val="none"/>
              </w:rPr>
            </w:pPr>
            <w:r>
              <w:rPr>
                <w:rFonts w:hint="eastAsia" w:ascii="宋体" w:hAnsi="宋体" w:cs="宋体"/>
                <w:kern w:val="0"/>
                <w:sz w:val="21"/>
                <w:szCs w:val="21"/>
                <w14:ligatures w14:val="none"/>
              </w:rPr>
              <w:t>运营人才培养、团队引进补贴、创业扶持</w:t>
            </w:r>
          </w:p>
        </w:tc>
        <w:tc>
          <w:tcPr>
            <w:tcW w:w="0" w:type="auto"/>
            <w:tcBorders>
              <w:bottom w:val="single" w:color="000000" w:themeColor="text1" w:sz="18" w:space="0"/>
            </w:tcBorders>
            <w:vAlign w:val="center"/>
          </w:tcPr>
          <w:p w14:paraId="7CFFE2E3">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Segoe UI Symbol"/>
                <w:kern w:val="0"/>
                <w:sz w:val="21"/>
                <w:szCs w:val="21"/>
                <w14:ligatures w14:val="none"/>
              </w:rPr>
              <w:t>★★★★</w:t>
            </w:r>
          </w:p>
        </w:tc>
        <w:tc>
          <w:tcPr>
            <w:tcW w:w="0" w:type="auto"/>
            <w:tcBorders>
              <w:bottom w:val="single" w:color="000000" w:themeColor="text1" w:sz="18" w:space="0"/>
            </w:tcBorders>
            <w:vAlign w:val="center"/>
          </w:tcPr>
          <w:p w14:paraId="4190548F">
            <w:pPr>
              <w:spacing w:after="160" w:line="278" w:lineRule="auto"/>
              <w:ind w:firstLine="0" w:firstLineChars="0"/>
              <w:jc w:val="center"/>
              <w:rPr>
                <w:rFonts w:hint="eastAsia" w:ascii="宋体" w:hAnsi="宋体" w:cs="Times New Roman"/>
                <w:kern w:val="0"/>
                <w:sz w:val="21"/>
                <w:szCs w:val="21"/>
                <w14:ligatures w14:val="none"/>
              </w:rPr>
            </w:pPr>
            <w:r>
              <w:rPr>
                <w:rFonts w:hint="eastAsia" w:ascii="宋体" w:hAnsi="宋体" w:cs="宋体"/>
                <w:kern w:val="0"/>
                <w:sz w:val="21"/>
                <w:szCs w:val="21"/>
                <w14:ligatures w14:val="none"/>
              </w:rPr>
              <w:t>运营补贴</w:t>
            </w:r>
            <w:r>
              <w:rPr>
                <w:rFonts w:ascii="宋体" w:hAnsi="宋体" w:cs="Times New Roman"/>
                <w:kern w:val="0"/>
                <w:sz w:val="21"/>
                <w:szCs w:val="21"/>
                <w14:ligatures w14:val="none"/>
              </w:rPr>
              <w:t>5-10</w:t>
            </w:r>
            <w:r>
              <w:rPr>
                <w:rFonts w:hint="eastAsia" w:ascii="宋体" w:hAnsi="宋体" w:cs="宋体"/>
                <w:kern w:val="0"/>
                <w:sz w:val="21"/>
                <w:szCs w:val="21"/>
                <w14:ligatures w14:val="none"/>
              </w:rPr>
              <w:t>万</w:t>
            </w:r>
            <w:r>
              <w:rPr>
                <w:rFonts w:ascii="宋体" w:hAnsi="宋体" w:cs="Times New Roman"/>
                <w:kern w:val="0"/>
                <w:sz w:val="21"/>
                <w:szCs w:val="21"/>
                <w14:ligatures w14:val="none"/>
              </w:rPr>
              <w:t>/</w:t>
            </w:r>
            <w:r>
              <w:rPr>
                <w:rFonts w:hint="eastAsia" w:ascii="宋体" w:hAnsi="宋体" w:cs="宋体"/>
                <w:kern w:val="0"/>
                <w:sz w:val="21"/>
                <w:szCs w:val="21"/>
                <w14:ligatures w14:val="none"/>
              </w:rPr>
              <w:t>年</w:t>
            </w:r>
          </w:p>
        </w:tc>
      </w:tr>
    </w:tbl>
    <w:p w14:paraId="74B41600">
      <w:pPr>
        <w:ind w:firstLine="420"/>
        <w:rPr>
          <w:rFonts w:hint="eastAsia" w:ascii="宋体" w:hAnsi="宋体"/>
          <w:sz w:val="21"/>
          <w:szCs w:val="21"/>
        </w:rPr>
      </w:pPr>
      <w:r>
        <w:rPr>
          <w:rFonts w:hint="eastAsia" w:ascii="宋体" w:hAnsi="宋体"/>
          <w:sz w:val="21"/>
          <w:szCs w:val="21"/>
        </w:rPr>
        <w:t>目前政策环境的三大关键变化能够对本项目形成直接利好：</w:t>
      </w:r>
    </w:p>
    <w:p w14:paraId="600E57FD">
      <w:pPr>
        <w:ind w:firstLine="420"/>
        <w:rPr>
          <w:rFonts w:hint="eastAsia" w:ascii="宋体" w:hAnsi="宋体"/>
          <w:sz w:val="21"/>
          <w:szCs w:val="21"/>
        </w:rPr>
      </w:pPr>
      <w:r>
        <w:rPr>
          <w:rFonts w:hint="eastAsia" w:ascii="宋体" w:hAnsi="宋体"/>
          <w:sz w:val="21"/>
          <w:szCs w:val="21"/>
        </w:rPr>
        <w:t>第一，</w:t>
      </w:r>
      <w:r>
        <w:rPr>
          <w:rFonts w:hint="eastAsia" w:ascii="宋体" w:hAnsi="宋体"/>
          <w:b/>
          <w:bCs/>
          <w:sz w:val="21"/>
          <w:szCs w:val="21"/>
        </w:rPr>
        <w:t>“十五五”规划窗口开启</w:t>
      </w:r>
      <w:r>
        <w:rPr>
          <w:rFonts w:hint="eastAsia" w:ascii="宋体" w:hAnsi="宋体"/>
          <w:sz w:val="21"/>
          <w:szCs w:val="21"/>
        </w:rPr>
        <w:t>。2025年是“十四五”收官和“十五五”预研之年，新一轮规划将乡村产业全链升级和绿色低碳发展列为重点方向。本项目“生态约束→价值转化”的模式与这一方向高度吻合，有望纳入“十五五”时期北京市乡村振兴重点项目库。</w:t>
      </w:r>
    </w:p>
    <w:p w14:paraId="04EC9067">
      <w:pPr>
        <w:ind w:firstLine="420"/>
        <w:rPr>
          <w:rFonts w:hint="eastAsia" w:ascii="宋体" w:hAnsi="宋体"/>
          <w:sz w:val="21"/>
          <w:szCs w:val="21"/>
        </w:rPr>
      </w:pPr>
      <w:r>
        <w:rPr>
          <w:rFonts w:hint="eastAsia" w:ascii="宋体" w:hAnsi="宋体"/>
          <w:sz w:val="21"/>
          <w:szCs w:val="21"/>
        </w:rPr>
        <w:t>第二，</w:t>
      </w:r>
      <w:r>
        <w:rPr>
          <w:rFonts w:hint="eastAsia" w:ascii="宋体" w:hAnsi="宋体"/>
          <w:b/>
          <w:bCs/>
          <w:sz w:val="21"/>
          <w:szCs w:val="21"/>
        </w:rPr>
        <w:t>“百千工程”能够在第二阶段启动</w:t>
      </w:r>
      <w:r>
        <w:rPr>
          <w:rFonts w:hint="eastAsia" w:ascii="宋体" w:hAnsi="宋体"/>
          <w:sz w:val="21"/>
          <w:szCs w:val="21"/>
        </w:rPr>
        <w:t>。北京市的“百村示范、千村振兴”工程进入提质增效阶段，单个示范村专项资金从首期的50-150万元提升至100-300万元。杨家东庄村如能纳入示范村名单，将获得实质性资金支持。</w:t>
      </w:r>
    </w:p>
    <w:p w14:paraId="4951004C">
      <w:pPr>
        <w:ind w:firstLine="420"/>
        <w:rPr>
          <w:rFonts w:hint="eastAsia" w:ascii="宋体" w:hAnsi="宋体"/>
          <w:sz w:val="21"/>
          <w:szCs w:val="21"/>
        </w:rPr>
      </w:pPr>
      <w:r>
        <w:rPr>
          <w:rFonts w:hint="eastAsia" w:ascii="宋体" w:hAnsi="宋体"/>
          <w:sz w:val="21"/>
          <w:szCs w:val="21"/>
        </w:rPr>
        <w:t>第三，</w:t>
      </w:r>
      <w:r>
        <w:rPr>
          <w:rFonts w:hint="eastAsia" w:ascii="宋体" w:hAnsi="宋体"/>
          <w:b/>
          <w:bCs/>
          <w:sz w:val="21"/>
          <w:szCs w:val="21"/>
        </w:rPr>
        <w:t>“乡村运营师”制度目前已成熟</w:t>
      </w:r>
      <w:r>
        <w:rPr>
          <w:rFonts w:hint="eastAsia" w:ascii="宋体" w:hAnsi="宋体"/>
          <w:sz w:val="21"/>
          <w:szCs w:val="21"/>
        </w:rPr>
        <w:t>。怀柔区第二批的“乡村运营师”招募规模扩大，已经能够提供运营补贴和创业扶持，这为解决“团队毕业后谁来运营”的问题提供了制度保障——团队能够可对接“乡村运营师”计划，引入专业运营人才承接日常运营。</w:t>
      </w:r>
    </w:p>
    <w:p w14:paraId="3AB582CE">
      <w:pPr>
        <w:pStyle w:val="4"/>
        <w:bidi w:val="0"/>
        <w:rPr>
          <w:rFonts w:hint="eastAsia"/>
        </w:rPr>
      </w:pPr>
      <w:bookmarkStart w:id="59" w:name="_Toc31530"/>
      <w:r>
        <w:rPr>
          <w:rFonts w:hint="eastAsia"/>
        </w:rPr>
        <w:t>3.7.5 竞品对标分析</w:t>
      </w:r>
      <w:bookmarkEnd w:id="59"/>
    </w:p>
    <w:p w14:paraId="4E8B7ADE">
      <w:pPr>
        <w:ind w:firstLine="420"/>
        <w:rPr>
          <w:rFonts w:hint="eastAsia" w:ascii="宋体" w:hAnsi="宋体"/>
          <w:sz w:val="21"/>
          <w:szCs w:val="21"/>
        </w:rPr>
      </w:pPr>
      <w:r>
        <w:rPr>
          <w:rFonts w:hint="eastAsia" w:ascii="宋体" w:hAnsi="宋体"/>
          <w:sz w:val="21"/>
          <w:szCs w:val="21"/>
        </w:rPr>
        <w:t>本项目</w:t>
      </w:r>
      <w:r>
        <w:rPr>
          <w:rFonts w:ascii="宋体" w:hAnsi="宋体"/>
          <w:sz w:val="21"/>
          <w:szCs w:val="21"/>
        </w:rPr>
        <w:t>为</w:t>
      </w:r>
      <w:r>
        <w:rPr>
          <w:rFonts w:hint="eastAsia" w:ascii="宋体" w:hAnsi="宋体"/>
          <w:sz w:val="21"/>
          <w:szCs w:val="21"/>
        </w:rPr>
        <w:t>了</w:t>
      </w:r>
      <w:r>
        <w:rPr>
          <w:rFonts w:ascii="宋体" w:hAnsi="宋体"/>
          <w:sz w:val="21"/>
          <w:szCs w:val="21"/>
        </w:rPr>
        <w:t>明确杨家东庄村的差异化定位，</w:t>
      </w:r>
      <w:r>
        <w:rPr>
          <w:rFonts w:hint="eastAsia" w:ascii="宋体" w:hAnsi="宋体"/>
          <w:sz w:val="21"/>
          <w:szCs w:val="21"/>
        </w:rPr>
        <w:t>将</w:t>
      </w:r>
      <w:r>
        <w:rPr>
          <w:rFonts w:ascii="宋体" w:hAnsi="宋体"/>
          <w:sz w:val="21"/>
          <w:szCs w:val="21"/>
        </w:rPr>
        <w:t>从“怀柔区同类农旅项目”和“京郊骑行路线”两个维度进行深度竞品对标。</w:t>
      </w:r>
    </w:p>
    <w:p w14:paraId="00B321F6">
      <w:pPr>
        <w:ind w:firstLine="420"/>
        <w:rPr>
          <w:rFonts w:hint="eastAsia" w:ascii="宋体" w:hAnsi="宋体"/>
          <w:sz w:val="21"/>
          <w:szCs w:val="21"/>
        </w:rPr>
      </w:pPr>
      <w:r>
        <w:rPr>
          <w:rFonts w:hint="eastAsia" w:ascii="宋体" w:hAnsi="宋体"/>
          <w:sz w:val="21"/>
          <w:szCs w:val="21"/>
        </w:rPr>
        <w:t>（1）</w:t>
      </w:r>
      <w:r>
        <w:rPr>
          <w:rFonts w:ascii="宋体" w:hAnsi="宋体"/>
          <w:sz w:val="21"/>
          <w:szCs w:val="21"/>
        </w:rPr>
        <w:t>维度一：怀柔区同类农旅项目</w:t>
      </w:r>
    </w:p>
    <w:p w14:paraId="65D0ACCC">
      <w:pPr>
        <w:ind w:firstLine="420"/>
        <w:jc w:val="center"/>
        <w:rPr>
          <w:rFonts w:hint="eastAsia" w:ascii="宋体" w:hAnsi="宋体"/>
          <w:sz w:val="21"/>
          <w:szCs w:val="21"/>
        </w:rPr>
      </w:pPr>
      <w:r>
        <w:rPr>
          <w:rFonts w:hint="eastAsia" w:ascii="宋体" w:hAnsi="宋体"/>
          <w:sz w:val="21"/>
          <w:szCs w:val="21"/>
        </w:rPr>
        <w:t xml:space="preserve">表 </w:t>
      </w:r>
      <w:r>
        <w:rPr>
          <w:rFonts w:ascii="宋体" w:hAnsi="宋体"/>
          <w:sz w:val="21"/>
          <w:szCs w:val="21"/>
        </w:rPr>
        <w:t>5</w:t>
      </w:r>
      <w:r>
        <w:rPr>
          <w:rFonts w:hint="eastAsia" w:ascii="宋体" w:hAnsi="宋体"/>
          <w:sz w:val="21"/>
          <w:szCs w:val="21"/>
        </w:rPr>
        <w:t xml:space="preserve"> 怀柔区同类农旅项目深度对标</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05"/>
        <w:gridCol w:w="1892"/>
        <w:gridCol w:w="1276"/>
        <w:gridCol w:w="1286"/>
        <w:gridCol w:w="1429"/>
        <w:gridCol w:w="1334"/>
      </w:tblGrid>
      <w:tr w14:paraId="21CAD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000000" w:themeColor="text1" w:sz="18" w:space="0"/>
              <w:bottom w:val="single" w:color="000000" w:themeColor="text1" w:sz="12" w:space="0"/>
            </w:tcBorders>
            <w:vAlign w:val="center"/>
          </w:tcPr>
          <w:p w14:paraId="5EA80043">
            <w:pPr>
              <w:spacing w:after="160" w:line="278" w:lineRule="auto"/>
              <w:ind w:firstLine="0" w:firstLineChars="0"/>
              <w:jc w:val="center"/>
              <w:rPr>
                <w:rFonts w:hint="eastAsia" w:ascii="宋体" w:hAnsi="宋体"/>
                <w:sz w:val="21"/>
                <w:szCs w:val="21"/>
              </w:rPr>
            </w:pPr>
            <w:r>
              <w:rPr>
                <w:rFonts w:ascii="宋体" w:hAnsi="宋体"/>
                <w:sz w:val="21"/>
                <w:szCs w:val="21"/>
              </w:rPr>
              <w:t>维度</w:t>
            </w:r>
          </w:p>
        </w:tc>
        <w:tc>
          <w:tcPr>
            <w:tcW w:w="0" w:type="auto"/>
            <w:tcBorders>
              <w:top w:val="single" w:color="000000" w:themeColor="text1" w:sz="18" w:space="0"/>
              <w:bottom w:val="single" w:color="000000" w:themeColor="text1" w:sz="12" w:space="0"/>
            </w:tcBorders>
            <w:vAlign w:val="center"/>
          </w:tcPr>
          <w:p w14:paraId="24997A82">
            <w:pPr>
              <w:spacing w:after="160" w:line="278" w:lineRule="auto"/>
              <w:ind w:firstLine="0" w:firstLineChars="0"/>
              <w:jc w:val="center"/>
              <w:rPr>
                <w:rFonts w:hint="eastAsia" w:ascii="宋体" w:hAnsi="宋体"/>
                <w:sz w:val="21"/>
                <w:szCs w:val="21"/>
              </w:rPr>
            </w:pPr>
            <w:r>
              <w:rPr>
                <w:rFonts w:ascii="宋体" w:hAnsi="宋体"/>
                <w:sz w:val="21"/>
                <w:szCs w:val="21"/>
              </w:rPr>
              <w:t>杨家东庄村（本项目）</w:t>
            </w:r>
          </w:p>
        </w:tc>
        <w:tc>
          <w:tcPr>
            <w:tcW w:w="0" w:type="auto"/>
            <w:tcBorders>
              <w:top w:val="single" w:color="000000" w:themeColor="text1" w:sz="18" w:space="0"/>
              <w:bottom w:val="single" w:color="000000" w:themeColor="text1" w:sz="12" w:space="0"/>
            </w:tcBorders>
            <w:vAlign w:val="center"/>
          </w:tcPr>
          <w:p w14:paraId="2B1EB291">
            <w:pPr>
              <w:spacing w:after="160" w:line="278" w:lineRule="auto"/>
              <w:ind w:firstLine="0" w:firstLineChars="0"/>
              <w:jc w:val="center"/>
              <w:rPr>
                <w:rFonts w:hint="eastAsia" w:ascii="宋体" w:hAnsi="宋体"/>
                <w:sz w:val="21"/>
                <w:szCs w:val="21"/>
              </w:rPr>
            </w:pPr>
            <w:r>
              <w:rPr>
                <w:rFonts w:ascii="宋体" w:hAnsi="宋体"/>
                <w:sz w:val="21"/>
                <w:szCs w:val="21"/>
              </w:rPr>
              <w:t>渤海镇六渡河村</w:t>
            </w:r>
          </w:p>
        </w:tc>
        <w:tc>
          <w:tcPr>
            <w:tcW w:w="0" w:type="auto"/>
            <w:tcBorders>
              <w:top w:val="single" w:color="000000" w:themeColor="text1" w:sz="18" w:space="0"/>
              <w:bottom w:val="single" w:color="000000" w:themeColor="text1" w:sz="12" w:space="0"/>
            </w:tcBorders>
            <w:vAlign w:val="center"/>
          </w:tcPr>
          <w:p w14:paraId="7036A866">
            <w:pPr>
              <w:spacing w:after="160" w:line="278" w:lineRule="auto"/>
              <w:ind w:firstLine="0" w:firstLineChars="0"/>
              <w:jc w:val="center"/>
              <w:rPr>
                <w:rFonts w:hint="eastAsia" w:ascii="宋体" w:hAnsi="宋体"/>
                <w:sz w:val="21"/>
                <w:szCs w:val="21"/>
              </w:rPr>
            </w:pPr>
            <w:r>
              <w:rPr>
                <w:rFonts w:ascii="宋体" w:hAnsi="宋体"/>
                <w:sz w:val="21"/>
                <w:szCs w:val="21"/>
              </w:rPr>
              <w:t>九渡河镇黄花城</w:t>
            </w:r>
          </w:p>
        </w:tc>
        <w:tc>
          <w:tcPr>
            <w:tcW w:w="0" w:type="auto"/>
            <w:tcBorders>
              <w:top w:val="single" w:color="000000" w:themeColor="text1" w:sz="18" w:space="0"/>
              <w:bottom w:val="single" w:color="000000" w:themeColor="text1" w:sz="12" w:space="0"/>
            </w:tcBorders>
            <w:vAlign w:val="center"/>
          </w:tcPr>
          <w:p w14:paraId="309190B5">
            <w:pPr>
              <w:spacing w:after="160" w:line="278" w:lineRule="auto"/>
              <w:ind w:firstLine="0" w:firstLineChars="0"/>
              <w:jc w:val="center"/>
              <w:rPr>
                <w:rFonts w:hint="eastAsia" w:ascii="宋体" w:hAnsi="宋体"/>
                <w:sz w:val="21"/>
                <w:szCs w:val="21"/>
              </w:rPr>
            </w:pPr>
            <w:r>
              <w:rPr>
                <w:rFonts w:ascii="宋体" w:hAnsi="宋体"/>
                <w:sz w:val="21"/>
                <w:szCs w:val="21"/>
              </w:rPr>
              <w:t>琉璃庙镇白河湾</w:t>
            </w:r>
          </w:p>
        </w:tc>
        <w:tc>
          <w:tcPr>
            <w:tcW w:w="0" w:type="auto"/>
            <w:tcBorders>
              <w:top w:val="single" w:color="000000" w:themeColor="text1" w:sz="18" w:space="0"/>
              <w:bottom w:val="single" w:color="000000" w:themeColor="text1" w:sz="12" w:space="0"/>
            </w:tcBorders>
            <w:vAlign w:val="center"/>
          </w:tcPr>
          <w:p w14:paraId="2E9A8475">
            <w:pPr>
              <w:spacing w:after="160" w:line="278" w:lineRule="auto"/>
              <w:ind w:firstLine="0" w:firstLineChars="0"/>
              <w:jc w:val="center"/>
              <w:rPr>
                <w:rFonts w:hint="eastAsia" w:ascii="宋体" w:hAnsi="宋体"/>
                <w:sz w:val="21"/>
                <w:szCs w:val="21"/>
              </w:rPr>
            </w:pPr>
            <w:r>
              <w:rPr>
                <w:rFonts w:ascii="宋体" w:hAnsi="宋体"/>
                <w:sz w:val="21"/>
                <w:szCs w:val="21"/>
              </w:rPr>
              <w:t>雁栖镇神堂峪</w:t>
            </w:r>
          </w:p>
        </w:tc>
      </w:tr>
      <w:tr w14:paraId="3F4B12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000000" w:themeColor="text1" w:sz="12" w:space="0"/>
            </w:tcBorders>
            <w:vAlign w:val="center"/>
          </w:tcPr>
          <w:p w14:paraId="41FEA8BA">
            <w:pPr>
              <w:spacing w:after="160" w:line="278" w:lineRule="auto"/>
              <w:ind w:firstLine="0" w:firstLineChars="0"/>
              <w:jc w:val="center"/>
              <w:rPr>
                <w:rFonts w:hint="eastAsia" w:ascii="宋体" w:hAnsi="宋体"/>
                <w:sz w:val="21"/>
                <w:szCs w:val="21"/>
              </w:rPr>
            </w:pPr>
            <w:r>
              <w:rPr>
                <w:rFonts w:ascii="宋体" w:hAnsi="宋体"/>
                <w:sz w:val="21"/>
                <w:szCs w:val="21"/>
              </w:rPr>
              <w:t>核心资源</w:t>
            </w:r>
          </w:p>
        </w:tc>
        <w:tc>
          <w:tcPr>
            <w:tcW w:w="0" w:type="auto"/>
            <w:tcBorders>
              <w:top w:val="single" w:color="000000" w:themeColor="text1" w:sz="12" w:space="0"/>
            </w:tcBorders>
            <w:vAlign w:val="center"/>
          </w:tcPr>
          <w:p w14:paraId="07A23A8A">
            <w:pPr>
              <w:ind w:firstLine="0" w:firstLineChars="0"/>
              <w:jc w:val="center"/>
            </w:pPr>
            <w:r>
              <w:rPr>
                <w:rFonts w:ascii="宋体" w:hAnsi="宋体"/>
                <w:sz w:val="20"/>
              </w:rPr>
              <w:t>一级水源保护区+樱桃+联盟路线</w:t>
            </w:r>
          </w:p>
        </w:tc>
        <w:tc>
          <w:tcPr>
            <w:tcW w:w="0" w:type="auto"/>
            <w:tcBorders>
              <w:top w:val="single" w:color="000000" w:themeColor="text1" w:sz="12" w:space="0"/>
            </w:tcBorders>
            <w:vAlign w:val="center"/>
          </w:tcPr>
          <w:p w14:paraId="570470C2">
            <w:pPr>
              <w:spacing w:after="160" w:line="278" w:lineRule="auto"/>
              <w:ind w:firstLine="0" w:firstLineChars="0"/>
              <w:jc w:val="center"/>
              <w:rPr>
                <w:rFonts w:hint="eastAsia" w:ascii="宋体" w:hAnsi="宋体"/>
                <w:sz w:val="21"/>
                <w:szCs w:val="21"/>
              </w:rPr>
            </w:pPr>
            <w:r>
              <w:rPr>
                <w:rFonts w:ascii="宋体" w:hAnsi="宋体"/>
                <w:sz w:val="21"/>
                <w:szCs w:val="21"/>
              </w:rPr>
              <w:t>板栗+长城遗址</w:t>
            </w:r>
          </w:p>
        </w:tc>
        <w:tc>
          <w:tcPr>
            <w:tcW w:w="0" w:type="auto"/>
            <w:tcBorders>
              <w:top w:val="single" w:color="000000" w:themeColor="text1" w:sz="12" w:space="0"/>
            </w:tcBorders>
            <w:vAlign w:val="center"/>
          </w:tcPr>
          <w:p w14:paraId="6767C242">
            <w:pPr>
              <w:spacing w:after="160" w:line="278" w:lineRule="auto"/>
              <w:ind w:firstLine="0" w:firstLineChars="0"/>
              <w:jc w:val="center"/>
              <w:rPr>
                <w:rFonts w:hint="eastAsia" w:ascii="宋体" w:hAnsi="宋体"/>
                <w:sz w:val="21"/>
                <w:szCs w:val="21"/>
              </w:rPr>
            </w:pPr>
            <w:r>
              <w:rPr>
                <w:rFonts w:ascii="宋体" w:hAnsi="宋体"/>
                <w:sz w:val="21"/>
                <w:szCs w:val="21"/>
              </w:rPr>
              <w:t>水长城景区</w:t>
            </w:r>
          </w:p>
        </w:tc>
        <w:tc>
          <w:tcPr>
            <w:tcW w:w="0" w:type="auto"/>
            <w:tcBorders>
              <w:top w:val="single" w:color="000000" w:themeColor="text1" w:sz="12" w:space="0"/>
            </w:tcBorders>
            <w:vAlign w:val="center"/>
          </w:tcPr>
          <w:p w14:paraId="623BB5B2">
            <w:pPr>
              <w:spacing w:after="160" w:line="278" w:lineRule="auto"/>
              <w:ind w:firstLine="0" w:firstLineChars="0"/>
              <w:jc w:val="center"/>
              <w:rPr>
                <w:rFonts w:hint="eastAsia" w:ascii="宋体" w:hAnsi="宋体"/>
                <w:sz w:val="21"/>
                <w:szCs w:val="21"/>
              </w:rPr>
            </w:pPr>
            <w:r>
              <w:rPr>
                <w:rFonts w:ascii="宋体" w:hAnsi="宋体"/>
                <w:sz w:val="21"/>
                <w:szCs w:val="21"/>
              </w:rPr>
              <w:t>白河漂流+民宿集群</w:t>
            </w:r>
          </w:p>
        </w:tc>
        <w:tc>
          <w:tcPr>
            <w:tcW w:w="0" w:type="auto"/>
            <w:tcBorders>
              <w:top w:val="single" w:color="000000" w:themeColor="text1" w:sz="12" w:space="0"/>
            </w:tcBorders>
            <w:vAlign w:val="center"/>
          </w:tcPr>
          <w:p w14:paraId="746ADC75">
            <w:pPr>
              <w:spacing w:after="160" w:line="278" w:lineRule="auto"/>
              <w:ind w:firstLine="0" w:firstLineChars="0"/>
              <w:jc w:val="center"/>
              <w:rPr>
                <w:rFonts w:hint="eastAsia" w:ascii="宋体" w:hAnsi="宋体"/>
                <w:sz w:val="21"/>
                <w:szCs w:val="21"/>
              </w:rPr>
            </w:pPr>
            <w:r>
              <w:rPr>
                <w:rFonts w:ascii="宋体" w:hAnsi="宋体"/>
                <w:sz w:val="21"/>
                <w:szCs w:val="21"/>
              </w:rPr>
              <w:t>神堂峪栈道+民宿</w:t>
            </w:r>
          </w:p>
        </w:tc>
      </w:tr>
      <w:tr w14:paraId="5F19F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4220CE78">
            <w:pPr>
              <w:spacing w:after="160" w:line="278" w:lineRule="auto"/>
              <w:ind w:firstLine="0" w:firstLineChars="0"/>
              <w:jc w:val="center"/>
              <w:rPr>
                <w:rFonts w:hint="eastAsia" w:ascii="宋体" w:hAnsi="宋体"/>
                <w:sz w:val="21"/>
                <w:szCs w:val="21"/>
              </w:rPr>
            </w:pPr>
            <w:r>
              <w:rPr>
                <w:rFonts w:ascii="宋体" w:hAnsi="宋体"/>
                <w:sz w:val="21"/>
                <w:szCs w:val="21"/>
              </w:rPr>
              <w:t>主打产品</w:t>
            </w:r>
          </w:p>
        </w:tc>
        <w:tc>
          <w:tcPr>
            <w:tcW w:w="0" w:type="auto"/>
            <w:vAlign w:val="center"/>
          </w:tcPr>
          <w:p w14:paraId="3A1E388C">
            <w:pPr>
              <w:spacing w:after="160" w:line="278" w:lineRule="auto"/>
              <w:ind w:firstLine="0" w:firstLineChars="0"/>
              <w:jc w:val="center"/>
              <w:rPr>
                <w:rFonts w:hint="eastAsia" w:ascii="宋体" w:hAnsi="宋体"/>
                <w:sz w:val="21"/>
                <w:szCs w:val="21"/>
              </w:rPr>
            </w:pPr>
            <w:r>
              <w:rPr>
                <w:rFonts w:ascii="宋体" w:hAnsi="宋体"/>
                <w:sz w:val="21"/>
                <w:szCs w:val="21"/>
              </w:rPr>
              <w:t>骑行+采摘+科普研学+露营</w:t>
            </w:r>
          </w:p>
        </w:tc>
        <w:tc>
          <w:tcPr>
            <w:tcW w:w="0" w:type="auto"/>
            <w:vAlign w:val="center"/>
          </w:tcPr>
          <w:p w14:paraId="5BD72DC9">
            <w:pPr>
              <w:spacing w:after="160" w:line="278" w:lineRule="auto"/>
              <w:ind w:firstLine="0" w:firstLineChars="0"/>
              <w:jc w:val="center"/>
              <w:rPr>
                <w:rFonts w:hint="eastAsia" w:ascii="宋体" w:hAnsi="宋体"/>
                <w:sz w:val="21"/>
                <w:szCs w:val="21"/>
              </w:rPr>
            </w:pPr>
            <w:r>
              <w:rPr>
                <w:rFonts w:ascii="宋体" w:hAnsi="宋体"/>
                <w:sz w:val="21"/>
                <w:szCs w:val="21"/>
              </w:rPr>
              <w:t>板栗采摘+农家乐</w:t>
            </w:r>
          </w:p>
        </w:tc>
        <w:tc>
          <w:tcPr>
            <w:tcW w:w="0" w:type="auto"/>
            <w:vAlign w:val="center"/>
          </w:tcPr>
          <w:p w14:paraId="4180A071">
            <w:pPr>
              <w:spacing w:after="160" w:line="278" w:lineRule="auto"/>
              <w:ind w:firstLine="0" w:firstLineChars="0"/>
              <w:jc w:val="center"/>
              <w:rPr>
                <w:rFonts w:hint="eastAsia" w:ascii="宋体" w:hAnsi="宋体"/>
                <w:sz w:val="21"/>
                <w:szCs w:val="21"/>
              </w:rPr>
            </w:pPr>
            <w:r>
              <w:rPr>
                <w:rFonts w:ascii="宋体" w:hAnsi="宋体"/>
                <w:sz w:val="21"/>
                <w:szCs w:val="21"/>
              </w:rPr>
              <w:t>景区观光+登山</w:t>
            </w:r>
          </w:p>
        </w:tc>
        <w:tc>
          <w:tcPr>
            <w:tcW w:w="0" w:type="auto"/>
            <w:vAlign w:val="center"/>
          </w:tcPr>
          <w:p w14:paraId="5769D9BF">
            <w:pPr>
              <w:spacing w:after="160" w:line="278" w:lineRule="auto"/>
              <w:ind w:firstLine="0" w:firstLineChars="0"/>
              <w:jc w:val="center"/>
              <w:rPr>
                <w:rFonts w:hint="eastAsia" w:ascii="宋体" w:hAnsi="宋体"/>
                <w:sz w:val="21"/>
                <w:szCs w:val="21"/>
              </w:rPr>
            </w:pPr>
            <w:r>
              <w:rPr>
                <w:rFonts w:ascii="宋体" w:hAnsi="宋体"/>
                <w:sz w:val="21"/>
                <w:szCs w:val="21"/>
              </w:rPr>
              <w:t>漂流+精品民宿</w:t>
            </w:r>
          </w:p>
        </w:tc>
        <w:tc>
          <w:tcPr>
            <w:tcW w:w="0" w:type="auto"/>
            <w:vAlign w:val="center"/>
          </w:tcPr>
          <w:p w14:paraId="34105DB8">
            <w:pPr>
              <w:spacing w:after="160" w:line="278" w:lineRule="auto"/>
              <w:ind w:firstLine="0" w:firstLineChars="0"/>
              <w:jc w:val="center"/>
              <w:rPr>
                <w:rFonts w:hint="eastAsia" w:ascii="宋体" w:hAnsi="宋体"/>
                <w:sz w:val="21"/>
                <w:szCs w:val="21"/>
              </w:rPr>
            </w:pPr>
            <w:r>
              <w:rPr>
                <w:rFonts w:ascii="宋体" w:hAnsi="宋体"/>
                <w:sz w:val="21"/>
                <w:szCs w:val="21"/>
              </w:rPr>
              <w:t>栈道徒步+民宿</w:t>
            </w:r>
          </w:p>
        </w:tc>
      </w:tr>
      <w:tr w14:paraId="1E7211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307DE227">
            <w:pPr>
              <w:spacing w:after="160" w:line="278" w:lineRule="auto"/>
              <w:ind w:firstLine="0" w:firstLineChars="0"/>
              <w:jc w:val="center"/>
              <w:rPr>
                <w:rFonts w:hint="eastAsia" w:ascii="宋体" w:hAnsi="宋体"/>
                <w:sz w:val="21"/>
                <w:szCs w:val="21"/>
              </w:rPr>
            </w:pPr>
            <w:r>
              <w:rPr>
                <w:rFonts w:ascii="宋体" w:hAnsi="宋体"/>
                <w:sz w:val="21"/>
                <w:szCs w:val="21"/>
              </w:rPr>
              <w:t>品牌化程度</w:t>
            </w:r>
          </w:p>
        </w:tc>
        <w:tc>
          <w:tcPr>
            <w:tcW w:w="0" w:type="auto"/>
            <w:vAlign w:val="center"/>
          </w:tcPr>
          <w:p w14:paraId="69E6AEAD">
            <w:pPr>
              <w:spacing w:after="160" w:line="278" w:lineRule="auto"/>
              <w:ind w:firstLine="0" w:firstLineChars="0"/>
              <w:jc w:val="center"/>
              <w:rPr>
                <w:rFonts w:hint="eastAsia" w:ascii="宋体" w:hAnsi="宋体"/>
                <w:sz w:val="21"/>
                <w:szCs w:val="21"/>
              </w:rPr>
            </w:pPr>
            <w:r>
              <w:rPr>
                <w:rFonts w:ascii="宋体" w:hAnsi="宋体"/>
                <w:sz w:val="21"/>
                <w:szCs w:val="21"/>
              </w:rPr>
              <w:t>有基础，本项目升级</w:t>
            </w:r>
          </w:p>
        </w:tc>
        <w:tc>
          <w:tcPr>
            <w:tcW w:w="0" w:type="auto"/>
            <w:vAlign w:val="center"/>
          </w:tcPr>
          <w:p w14:paraId="7DE04B72">
            <w:pPr>
              <w:spacing w:after="160" w:line="278" w:lineRule="auto"/>
              <w:ind w:firstLine="0" w:firstLineChars="0"/>
              <w:jc w:val="center"/>
              <w:rPr>
                <w:rFonts w:hint="eastAsia" w:ascii="宋体" w:hAnsi="宋体"/>
                <w:sz w:val="21"/>
                <w:szCs w:val="21"/>
              </w:rPr>
            </w:pPr>
            <w:r>
              <w:rPr>
                <w:rFonts w:ascii="宋体" w:hAnsi="宋体"/>
                <w:sz w:val="21"/>
                <w:szCs w:val="21"/>
              </w:rPr>
              <w:t>低，散户为主</w:t>
            </w:r>
          </w:p>
        </w:tc>
        <w:tc>
          <w:tcPr>
            <w:tcW w:w="0" w:type="auto"/>
            <w:vAlign w:val="center"/>
          </w:tcPr>
          <w:p w14:paraId="081C2A71">
            <w:pPr>
              <w:spacing w:after="160" w:line="278" w:lineRule="auto"/>
              <w:ind w:firstLine="0" w:firstLineChars="0"/>
              <w:jc w:val="center"/>
              <w:rPr>
                <w:rFonts w:hint="eastAsia" w:ascii="宋体" w:hAnsi="宋体"/>
                <w:sz w:val="21"/>
                <w:szCs w:val="21"/>
              </w:rPr>
            </w:pPr>
            <w:r>
              <w:rPr>
                <w:rFonts w:ascii="宋体" w:hAnsi="宋体"/>
                <w:sz w:val="21"/>
                <w:szCs w:val="21"/>
              </w:rPr>
              <w:t>中，景区品牌</w:t>
            </w:r>
          </w:p>
        </w:tc>
        <w:tc>
          <w:tcPr>
            <w:tcW w:w="0" w:type="auto"/>
            <w:vAlign w:val="center"/>
          </w:tcPr>
          <w:p w14:paraId="52DA117D">
            <w:pPr>
              <w:spacing w:after="160" w:line="278" w:lineRule="auto"/>
              <w:ind w:firstLine="0" w:firstLineChars="0"/>
              <w:jc w:val="center"/>
              <w:rPr>
                <w:rFonts w:hint="eastAsia" w:ascii="宋体" w:hAnsi="宋体"/>
                <w:sz w:val="21"/>
                <w:szCs w:val="21"/>
              </w:rPr>
            </w:pPr>
            <w:r>
              <w:rPr>
                <w:rFonts w:ascii="宋体" w:hAnsi="宋体"/>
                <w:sz w:val="21"/>
                <w:szCs w:val="21"/>
              </w:rPr>
              <w:t>中高，民宿品牌</w:t>
            </w:r>
          </w:p>
        </w:tc>
        <w:tc>
          <w:tcPr>
            <w:tcW w:w="0" w:type="auto"/>
            <w:vAlign w:val="center"/>
          </w:tcPr>
          <w:p w14:paraId="54694AB1">
            <w:pPr>
              <w:spacing w:after="160" w:line="278" w:lineRule="auto"/>
              <w:ind w:firstLine="0" w:firstLineChars="0"/>
              <w:jc w:val="center"/>
              <w:rPr>
                <w:rFonts w:hint="eastAsia" w:ascii="宋体" w:hAnsi="宋体"/>
                <w:sz w:val="21"/>
                <w:szCs w:val="21"/>
              </w:rPr>
            </w:pPr>
            <w:r>
              <w:rPr>
                <w:rFonts w:ascii="宋体" w:hAnsi="宋体"/>
                <w:sz w:val="21"/>
                <w:szCs w:val="21"/>
              </w:rPr>
              <w:t>中，栈道品牌</w:t>
            </w:r>
          </w:p>
        </w:tc>
      </w:tr>
      <w:tr w14:paraId="4BFBE3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6AABA987">
            <w:pPr>
              <w:spacing w:after="160" w:line="278" w:lineRule="auto"/>
              <w:ind w:firstLine="0" w:firstLineChars="0"/>
              <w:jc w:val="center"/>
              <w:rPr>
                <w:rFonts w:hint="eastAsia" w:ascii="宋体" w:hAnsi="宋体"/>
                <w:sz w:val="21"/>
                <w:szCs w:val="21"/>
              </w:rPr>
            </w:pPr>
            <w:r>
              <w:rPr>
                <w:rFonts w:ascii="宋体" w:hAnsi="宋体"/>
                <w:sz w:val="21"/>
                <w:szCs w:val="21"/>
              </w:rPr>
              <w:t>数字化水平</w:t>
            </w:r>
          </w:p>
        </w:tc>
        <w:tc>
          <w:tcPr>
            <w:tcW w:w="0" w:type="auto"/>
            <w:vAlign w:val="center"/>
          </w:tcPr>
          <w:p w14:paraId="1B6126FD">
            <w:pPr>
              <w:spacing w:after="160" w:line="278" w:lineRule="auto"/>
              <w:ind w:firstLine="0" w:firstLineChars="0"/>
              <w:jc w:val="center"/>
              <w:rPr>
                <w:rFonts w:hint="eastAsia" w:ascii="宋体" w:hAnsi="宋体"/>
                <w:sz w:val="21"/>
                <w:szCs w:val="21"/>
              </w:rPr>
            </w:pPr>
            <w:r>
              <w:rPr>
                <w:rFonts w:ascii="宋体" w:hAnsi="宋体"/>
                <w:sz w:val="21"/>
                <w:szCs w:val="21"/>
              </w:rPr>
              <w:t>小程序全栈平台（自建）</w:t>
            </w:r>
          </w:p>
        </w:tc>
        <w:tc>
          <w:tcPr>
            <w:tcW w:w="0" w:type="auto"/>
            <w:vAlign w:val="center"/>
          </w:tcPr>
          <w:p w14:paraId="0BDC25BC">
            <w:pPr>
              <w:spacing w:after="160" w:line="278" w:lineRule="auto"/>
              <w:ind w:firstLine="0" w:firstLineChars="0"/>
              <w:jc w:val="center"/>
              <w:rPr>
                <w:rFonts w:hint="eastAsia" w:ascii="宋体" w:hAnsi="宋体"/>
                <w:sz w:val="21"/>
                <w:szCs w:val="21"/>
              </w:rPr>
            </w:pPr>
            <w:r>
              <w:rPr>
                <w:rFonts w:ascii="宋体" w:hAnsi="宋体"/>
                <w:sz w:val="21"/>
                <w:szCs w:val="21"/>
              </w:rPr>
              <w:t>无</w:t>
            </w:r>
          </w:p>
        </w:tc>
        <w:tc>
          <w:tcPr>
            <w:tcW w:w="0" w:type="auto"/>
            <w:vAlign w:val="center"/>
          </w:tcPr>
          <w:p w14:paraId="30EFD1CA">
            <w:pPr>
              <w:spacing w:after="160" w:line="278" w:lineRule="auto"/>
              <w:ind w:firstLine="0" w:firstLineChars="0"/>
              <w:jc w:val="center"/>
              <w:rPr>
                <w:rFonts w:hint="eastAsia" w:ascii="宋体" w:hAnsi="宋体"/>
                <w:sz w:val="21"/>
                <w:szCs w:val="21"/>
              </w:rPr>
            </w:pPr>
            <w:r>
              <w:rPr>
                <w:rFonts w:ascii="宋体" w:hAnsi="宋体"/>
                <w:sz w:val="21"/>
                <w:szCs w:val="21"/>
              </w:rPr>
              <w:t>美团/携程入驻</w:t>
            </w:r>
          </w:p>
        </w:tc>
        <w:tc>
          <w:tcPr>
            <w:tcW w:w="0" w:type="auto"/>
            <w:vAlign w:val="center"/>
          </w:tcPr>
          <w:p w14:paraId="4DF99DAF">
            <w:pPr>
              <w:spacing w:after="160" w:line="278" w:lineRule="auto"/>
              <w:ind w:firstLine="0" w:firstLineChars="0"/>
              <w:jc w:val="center"/>
              <w:rPr>
                <w:rFonts w:hint="eastAsia" w:ascii="宋体" w:hAnsi="宋体"/>
                <w:sz w:val="21"/>
                <w:szCs w:val="21"/>
              </w:rPr>
            </w:pPr>
            <w:r>
              <w:rPr>
                <w:rFonts w:ascii="宋体" w:hAnsi="宋体"/>
                <w:sz w:val="21"/>
                <w:szCs w:val="21"/>
              </w:rPr>
              <w:t>部分民宿有小程序</w:t>
            </w:r>
          </w:p>
        </w:tc>
        <w:tc>
          <w:tcPr>
            <w:tcW w:w="0" w:type="auto"/>
            <w:vAlign w:val="center"/>
          </w:tcPr>
          <w:p w14:paraId="6BBF8C41">
            <w:pPr>
              <w:spacing w:after="160" w:line="278" w:lineRule="auto"/>
              <w:ind w:firstLine="0" w:firstLineChars="0"/>
              <w:jc w:val="center"/>
              <w:rPr>
                <w:rFonts w:hint="eastAsia" w:ascii="宋体" w:hAnsi="宋体"/>
                <w:sz w:val="21"/>
                <w:szCs w:val="21"/>
              </w:rPr>
            </w:pPr>
            <w:r>
              <w:rPr>
                <w:rFonts w:ascii="宋体" w:hAnsi="宋体"/>
                <w:sz w:val="21"/>
                <w:szCs w:val="21"/>
              </w:rPr>
              <w:t>公众号+OTA</w:t>
            </w:r>
          </w:p>
        </w:tc>
      </w:tr>
      <w:tr w14:paraId="07E8F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26E95FE6">
            <w:pPr>
              <w:spacing w:after="160" w:line="278" w:lineRule="auto"/>
              <w:ind w:firstLine="0" w:firstLineChars="0"/>
              <w:jc w:val="center"/>
              <w:rPr>
                <w:rFonts w:hint="eastAsia" w:ascii="宋体" w:hAnsi="宋体"/>
                <w:sz w:val="21"/>
                <w:szCs w:val="21"/>
              </w:rPr>
            </w:pPr>
            <w:r>
              <w:rPr>
                <w:rFonts w:ascii="宋体" w:hAnsi="宋体"/>
                <w:sz w:val="21"/>
                <w:szCs w:val="21"/>
              </w:rPr>
              <w:t>不可复制壁垒</w:t>
            </w:r>
          </w:p>
        </w:tc>
        <w:tc>
          <w:tcPr>
            <w:tcW w:w="0" w:type="auto"/>
            <w:vAlign w:val="center"/>
          </w:tcPr>
          <w:p w14:paraId="4C895F54">
            <w:pPr>
              <w:ind w:firstLine="0" w:firstLineChars="0"/>
              <w:jc w:val="center"/>
            </w:pPr>
            <w:r>
              <w:rPr>
                <w:rFonts w:ascii="宋体" w:hAnsi="宋体"/>
                <w:sz w:val="20"/>
              </w:rPr>
              <w:t>水源地唯一性+</w:t>
            </w:r>
          </w:p>
        </w:tc>
        <w:tc>
          <w:tcPr>
            <w:tcW w:w="0" w:type="auto"/>
            <w:vAlign w:val="center"/>
          </w:tcPr>
          <w:p w14:paraId="41CA51C1">
            <w:pPr>
              <w:spacing w:after="160" w:line="278" w:lineRule="auto"/>
              <w:ind w:firstLine="0" w:firstLineChars="0"/>
              <w:jc w:val="center"/>
              <w:rPr>
                <w:rFonts w:hint="eastAsia" w:ascii="宋体" w:hAnsi="宋体"/>
                <w:sz w:val="21"/>
                <w:szCs w:val="21"/>
              </w:rPr>
            </w:pPr>
            <w:r>
              <w:rPr>
                <w:rFonts w:ascii="宋体" w:hAnsi="宋体"/>
                <w:sz w:val="21"/>
                <w:szCs w:val="21"/>
              </w:rPr>
              <w:t>无明显壁垒</w:t>
            </w:r>
          </w:p>
        </w:tc>
        <w:tc>
          <w:tcPr>
            <w:tcW w:w="0" w:type="auto"/>
            <w:vAlign w:val="center"/>
          </w:tcPr>
          <w:p w14:paraId="020B6457">
            <w:pPr>
              <w:spacing w:after="160" w:line="278" w:lineRule="auto"/>
              <w:ind w:firstLine="0" w:firstLineChars="0"/>
              <w:jc w:val="center"/>
              <w:rPr>
                <w:rFonts w:hint="eastAsia" w:ascii="宋体" w:hAnsi="宋体"/>
                <w:sz w:val="21"/>
                <w:szCs w:val="21"/>
              </w:rPr>
            </w:pPr>
            <w:r>
              <w:rPr>
                <w:rFonts w:ascii="宋体" w:hAnsi="宋体"/>
                <w:sz w:val="21"/>
                <w:szCs w:val="21"/>
              </w:rPr>
              <w:t>水长城IP</w:t>
            </w:r>
          </w:p>
        </w:tc>
        <w:tc>
          <w:tcPr>
            <w:tcW w:w="0" w:type="auto"/>
            <w:vAlign w:val="center"/>
          </w:tcPr>
          <w:p w14:paraId="1D404F47">
            <w:pPr>
              <w:spacing w:after="160" w:line="278" w:lineRule="auto"/>
              <w:ind w:firstLine="0" w:firstLineChars="0"/>
              <w:jc w:val="center"/>
              <w:rPr>
                <w:rFonts w:hint="eastAsia" w:ascii="宋体" w:hAnsi="宋体"/>
                <w:sz w:val="21"/>
                <w:szCs w:val="21"/>
              </w:rPr>
            </w:pPr>
            <w:r>
              <w:rPr>
                <w:rFonts w:ascii="宋体" w:hAnsi="宋体"/>
                <w:sz w:val="21"/>
                <w:szCs w:val="21"/>
              </w:rPr>
              <w:t>白河水域资源</w:t>
            </w:r>
          </w:p>
        </w:tc>
        <w:tc>
          <w:tcPr>
            <w:tcW w:w="0" w:type="auto"/>
            <w:vAlign w:val="center"/>
          </w:tcPr>
          <w:p w14:paraId="4AD563BD">
            <w:pPr>
              <w:spacing w:after="160" w:line="278" w:lineRule="auto"/>
              <w:ind w:firstLine="0" w:firstLineChars="0"/>
              <w:jc w:val="center"/>
              <w:rPr>
                <w:rFonts w:hint="eastAsia" w:ascii="宋体" w:hAnsi="宋体"/>
                <w:sz w:val="21"/>
                <w:szCs w:val="21"/>
              </w:rPr>
            </w:pPr>
            <w:r>
              <w:rPr>
                <w:rFonts w:ascii="宋体" w:hAnsi="宋体"/>
                <w:sz w:val="21"/>
                <w:szCs w:val="21"/>
              </w:rPr>
              <w:t>栈道品牌认知</w:t>
            </w:r>
          </w:p>
        </w:tc>
      </w:tr>
      <w:tr w14:paraId="741A5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268F741D">
            <w:pPr>
              <w:spacing w:after="160" w:line="278" w:lineRule="auto"/>
              <w:ind w:firstLine="0" w:firstLineChars="0"/>
              <w:jc w:val="center"/>
              <w:rPr>
                <w:rFonts w:hint="eastAsia" w:ascii="宋体" w:hAnsi="宋体"/>
                <w:sz w:val="21"/>
                <w:szCs w:val="21"/>
              </w:rPr>
            </w:pPr>
            <w:r>
              <w:rPr>
                <w:rFonts w:ascii="宋体" w:hAnsi="宋体"/>
                <w:sz w:val="21"/>
                <w:szCs w:val="21"/>
              </w:rPr>
              <w:t>四季覆盖</w:t>
            </w:r>
          </w:p>
        </w:tc>
        <w:tc>
          <w:tcPr>
            <w:tcW w:w="0" w:type="auto"/>
            <w:vAlign w:val="center"/>
          </w:tcPr>
          <w:p w14:paraId="37CC8886">
            <w:pPr>
              <w:spacing w:after="160" w:line="278" w:lineRule="auto"/>
              <w:ind w:firstLine="0" w:firstLineChars="0"/>
              <w:jc w:val="center"/>
              <w:rPr>
                <w:rFonts w:hint="eastAsia" w:ascii="宋体" w:hAnsi="宋体"/>
                <w:sz w:val="21"/>
                <w:szCs w:val="21"/>
              </w:rPr>
            </w:pPr>
            <w:r>
              <w:rPr>
                <w:rFonts w:ascii="宋体" w:hAnsi="宋体"/>
                <w:sz w:val="21"/>
                <w:szCs w:val="21"/>
              </w:rPr>
              <w:t>四季产品矩阵（设计）</w:t>
            </w:r>
          </w:p>
        </w:tc>
        <w:tc>
          <w:tcPr>
            <w:tcW w:w="0" w:type="auto"/>
            <w:vAlign w:val="center"/>
          </w:tcPr>
          <w:p w14:paraId="335B906D">
            <w:pPr>
              <w:spacing w:after="160" w:line="278" w:lineRule="auto"/>
              <w:ind w:firstLine="0" w:firstLineChars="0"/>
              <w:jc w:val="center"/>
              <w:rPr>
                <w:rFonts w:hint="eastAsia" w:ascii="宋体" w:hAnsi="宋体"/>
                <w:sz w:val="21"/>
                <w:szCs w:val="21"/>
              </w:rPr>
            </w:pPr>
            <w:r>
              <w:rPr>
                <w:rFonts w:ascii="宋体" w:hAnsi="宋体"/>
                <w:sz w:val="21"/>
                <w:szCs w:val="21"/>
              </w:rPr>
              <w:t>板栗季为主</w:t>
            </w:r>
          </w:p>
        </w:tc>
        <w:tc>
          <w:tcPr>
            <w:tcW w:w="0" w:type="auto"/>
            <w:vAlign w:val="center"/>
          </w:tcPr>
          <w:p w14:paraId="566E033B">
            <w:pPr>
              <w:spacing w:after="160" w:line="278" w:lineRule="auto"/>
              <w:ind w:firstLine="0" w:firstLineChars="0"/>
              <w:jc w:val="center"/>
              <w:rPr>
                <w:rFonts w:hint="eastAsia" w:ascii="宋体" w:hAnsi="宋体"/>
                <w:sz w:val="21"/>
                <w:szCs w:val="21"/>
              </w:rPr>
            </w:pPr>
            <w:r>
              <w:rPr>
                <w:rFonts w:ascii="宋体" w:hAnsi="宋体"/>
                <w:sz w:val="21"/>
                <w:szCs w:val="21"/>
              </w:rPr>
              <w:t>春秋旺季</w:t>
            </w:r>
          </w:p>
        </w:tc>
        <w:tc>
          <w:tcPr>
            <w:tcW w:w="0" w:type="auto"/>
            <w:vAlign w:val="center"/>
          </w:tcPr>
          <w:p w14:paraId="47493D25">
            <w:pPr>
              <w:spacing w:after="160" w:line="278" w:lineRule="auto"/>
              <w:ind w:firstLine="0" w:firstLineChars="0"/>
              <w:jc w:val="center"/>
              <w:rPr>
                <w:rFonts w:hint="eastAsia" w:ascii="宋体" w:hAnsi="宋体"/>
                <w:sz w:val="21"/>
                <w:szCs w:val="21"/>
              </w:rPr>
            </w:pPr>
            <w:r>
              <w:rPr>
                <w:rFonts w:ascii="宋体" w:hAnsi="宋体"/>
                <w:sz w:val="21"/>
                <w:szCs w:val="21"/>
              </w:rPr>
              <w:t>夏季漂流为主</w:t>
            </w:r>
          </w:p>
        </w:tc>
        <w:tc>
          <w:tcPr>
            <w:tcW w:w="0" w:type="auto"/>
            <w:vAlign w:val="center"/>
          </w:tcPr>
          <w:p w14:paraId="24C11224">
            <w:pPr>
              <w:spacing w:after="160" w:line="278" w:lineRule="auto"/>
              <w:ind w:firstLine="0" w:firstLineChars="0"/>
              <w:jc w:val="center"/>
              <w:rPr>
                <w:rFonts w:hint="eastAsia" w:ascii="宋体" w:hAnsi="宋体"/>
                <w:sz w:val="21"/>
                <w:szCs w:val="21"/>
              </w:rPr>
            </w:pPr>
            <w:r>
              <w:rPr>
                <w:rFonts w:ascii="宋体" w:hAnsi="宋体"/>
                <w:sz w:val="21"/>
                <w:szCs w:val="21"/>
              </w:rPr>
              <w:t>春秋徒步为主</w:t>
            </w:r>
          </w:p>
        </w:tc>
      </w:tr>
      <w:tr w14:paraId="26A6D2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04BCDE9F">
            <w:pPr>
              <w:spacing w:after="160" w:line="278" w:lineRule="auto"/>
              <w:ind w:firstLine="0" w:firstLineChars="0"/>
              <w:jc w:val="center"/>
              <w:rPr>
                <w:rFonts w:hint="eastAsia" w:ascii="宋体" w:hAnsi="宋体"/>
                <w:sz w:val="21"/>
                <w:szCs w:val="21"/>
              </w:rPr>
            </w:pPr>
            <w:r>
              <w:rPr>
                <w:rFonts w:ascii="宋体" w:hAnsi="宋体"/>
                <w:sz w:val="21"/>
                <w:szCs w:val="21"/>
              </w:rPr>
              <w:t>客单价（元/人）</w:t>
            </w:r>
          </w:p>
        </w:tc>
        <w:tc>
          <w:tcPr>
            <w:tcW w:w="0" w:type="auto"/>
            <w:vAlign w:val="center"/>
          </w:tcPr>
          <w:p w14:paraId="5D215DF3">
            <w:pPr>
              <w:spacing w:after="160" w:line="278" w:lineRule="auto"/>
              <w:ind w:firstLine="0" w:firstLineChars="0"/>
              <w:jc w:val="center"/>
              <w:rPr>
                <w:rFonts w:hint="eastAsia" w:ascii="宋体" w:hAnsi="宋体"/>
                <w:sz w:val="21"/>
                <w:szCs w:val="21"/>
              </w:rPr>
            </w:pPr>
            <w:r>
              <w:rPr>
                <w:rFonts w:ascii="宋体" w:hAnsi="宋体"/>
                <w:sz w:val="21"/>
                <w:szCs w:val="21"/>
              </w:rPr>
              <w:t>目标300-500</w:t>
            </w:r>
          </w:p>
        </w:tc>
        <w:tc>
          <w:tcPr>
            <w:tcW w:w="0" w:type="auto"/>
            <w:vAlign w:val="center"/>
          </w:tcPr>
          <w:p w14:paraId="26FE4064">
            <w:pPr>
              <w:spacing w:after="160" w:line="278" w:lineRule="auto"/>
              <w:ind w:firstLine="0" w:firstLineChars="0"/>
              <w:jc w:val="center"/>
              <w:rPr>
                <w:rFonts w:hint="eastAsia" w:ascii="宋体" w:hAnsi="宋体"/>
                <w:sz w:val="21"/>
                <w:szCs w:val="21"/>
              </w:rPr>
            </w:pPr>
            <w:r>
              <w:rPr>
                <w:rFonts w:ascii="宋体" w:hAnsi="宋体"/>
                <w:sz w:val="21"/>
                <w:szCs w:val="21"/>
              </w:rPr>
              <w:t>80-150</w:t>
            </w:r>
          </w:p>
        </w:tc>
        <w:tc>
          <w:tcPr>
            <w:tcW w:w="0" w:type="auto"/>
            <w:vAlign w:val="center"/>
          </w:tcPr>
          <w:p w14:paraId="33C95E91">
            <w:pPr>
              <w:spacing w:after="160" w:line="278" w:lineRule="auto"/>
              <w:ind w:firstLine="0" w:firstLineChars="0"/>
              <w:jc w:val="center"/>
              <w:rPr>
                <w:rFonts w:hint="eastAsia" w:ascii="宋体" w:hAnsi="宋体"/>
                <w:sz w:val="21"/>
                <w:szCs w:val="21"/>
              </w:rPr>
            </w:pPr>
            <w:r>
              <w:rPr>
                <w:rFonts w:ascii="宋体" w:hAnsi="宋体"/>
                <w:sz w:val="21"/>
                <w:szCs w:val="21"/>
              </w:rPr>
              <w:t>150-300</w:t>
            </w:r>
          </w:p>
        </w:tc>
        <w:tc>
          <w:tcPr>
            <w:tcW w:w="0" w:type="auto"/>
            <w:vAlign w:val="center"/>
          </w:tcPr>
          <w:p w14:paraId="68954742">
            <w:pPr>
              <w:spacing w:after="160" w:line="278" w:lineRule="auto"/>
              <w:ind w:firstLine="0" w:firstLineChars="0"/>
              <w:jc w:val="center"/>
              <w:rPr>
                <w:rFonts w:hint="eastAsia" w:ascii="宋体" w:hAnsi="宋体"/>
                <w:sz w:val="21"/>
                <w:szCs w:val="21"/>
              </w:rPr>
            </w:pPr>
            <w:r>
              <w:rPr>
                <w:rFonts w:ascii="宋体" w:hAnsi="宋体"/>
                <w:sz w:val="21"/>
                <w:szCs w:val="21"/>
              </w:rPr>
              <w:t>200-800</w:t>
            </w:r>
          </w:p>
        </w:tc>
        <w:tc>
          <w:tcPr>
            <w:tcW w:w="0" w:type="auto"/>
            <w:vAlign w:val="center"/>
          </w:tcPr>
          <w:p w14:paraId="4ABE8E5B">
            <w:pPr>
              <w:spacing w:after="160" w:line="278" w:lineRule="auto"/>
              <w:ind w:firstLine="0" w:firstLineChars="0"/>
              <w:jc w:val="center"/>
              <w:rPr>
                <w:rFonts w:hint="eastAsia" w:ascii="宋体" w:hAnsi="宋体"/>
                <w:sz w:val="21"/>
                <w:szCs w:val="21"/>
              </w:rPr>
            </w:pPr>
            <w:r>
              <w:rPr>
                <w:rFonts w:ascii="宋体" w:hAnsi="宋体"/>
                <w:sz w:val="21"/>
                <w:szCs w:val="21"/>
              </w:rPr>
              <w:t>200-500</w:t>
            </w:r>
          </w:p>
        </w:tc>
      </w:tr>
      <w:tr w14:paraId="0E93F5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2FA68C33">
            <w:pPr>
              <w:spacing w:after="160" w:line="278" w:lineRule="auto"/>
              <w:ind w:firstLine="0" w:firstLineChars="0"/>
              <w:jc w:val="center"/>
              <w:rPr>
                <w:rFonts w:hint="eastAsia" w:ascii="宋体" w:hAnsi="宋体"/>
                <w:sz w:val="21"/>
                <w:szCs w:val="21"/>
              </w:rPr>
            </w:pPr>
            <w:r>
              <w:rPr>
                <w:rFonts w:ascii="宋体" w:hAnsi="宋体"/>
                <w:sz w:val="21"/>
                <w:szCs w:val="21"/>
              </w:rPr>
              <w:t>年游客量（万人次）</w:t>
            </w:r>
          </w:p>
        </w:tc>
        <w:tc>
          <w:tcPr>
            <w:tcW w:w="0" w:type="auto"/>
            <w:vAlign w:val="center"/>
          </w:tcPr>
          <w:p w14:paraId="76AB70F4">
            <w:pPr>
              <w:spacing w:after="160" w:line="278" w:lineRule="auto"/>
              <w:ind w:firstLine="0" w:firstLineChars="0"/>
              <w:jc w:val="center"/>
              <w:rPr>
                <w:rFonts w:hint="eastAsia" w:ascii="宋体" w:hAnsi="宋体"/>
                <w:sz w:val="21"/>
                <w:szCs w:val="21"/>
              </w:rPr>
            </w:pPr>
            <w:r>
              <w:rPr>
                <w:rFonts w:ascii="宋体" w:hAnsi="宋体"/>
                <w:sz w:val="21"/>
                <w:szCs w:val="21"/>
              </w:rPr>
              <w:t>目标3万+（Y3）</w:t>
            </w:r>
          </w:p>
        </w:tc>
        <w:tc>
          <w:tcPr>
            <w:tcW w:w="0" w:type="auto"/>
            <w:vAlign w:val="center"/>
          </w:tcPr>
          <w:p w14:paraId="0C1AB458">
            <w:pPr>
              <w:spacing w:after="160" w:line="278" w:lineRule="auto"/>
              <w:ind w:firstLine="0" w:firstLineChars="0"/>
              <w:jc w:val="center"/>
              <w:rPr>
                <w:rFonts w:hint="eastAsia" w:ascii="宋体" w:hAnsi="宋体"/>
                <w:sz w:val="21"/>
                <w:szCs w:val="21"/>
              </w:rPr>
            </w:pPr>
            <w:r>
              <w:rPr>
                <w:rFonts w:ascii="宋体" w:hAnsi="宋体"/>
                <w:sz w:val="21"/>
                <w:szCs w:val="21"/>
              </w:rPr>
              <w:t>约2.5万</w:t>
            </w:r>
          </w:p>
        </w:tc>
        <w:tc>
          <w:tcPr>
            <w:tcW w:w="0" w:type="auto"/>
            <w:vAlign w:val="center"/>
          </w:tcPr>
          <w:p w14:paraId="61E4BDF9">
            <w:pPr>
              <w:spacing w:after="160" w:line="278" w:lineRule="auto"/>
              <w:ind w:firstLine="0" w:firstLineChars="0"/>
              <w:jc w:val="center"/>
              <w:rPr>
                <w:rFonts w:hint="eastAsia" w:ascii="宋体" w:hAnsi="宋体"/>
                <w:sz w:val="21"/>
                <w:szCs w:val="21"/>
              </w:rPr>
            </w:pPr>
            <w:r>
              <w:rPr>
                <w:rFonts w:ascii="宋体" w:hAnsi="宋体"/>
                <w:sz w:val="21"/>
                <w:szCs w:val="21"/>
              </w:rPr>
              <w:t>约18万</w:t>
            </w:r>
          </w:p>
        </w:tc>
        <w:tc>
          <w:tcPr>
            <w:tcW w:w="0" w:type="auto"/>
            <w:vAlign w:val="center"/>
          </w:tcPr>
          <w:p w14:paraId="7A04820D">
            <w:pPr>
              <w:spacing w:after="160" w:line="278" w:lineRule="auto"/>
              <w:ind w:firstLine="0" w:firstLineChars="0"/>
              <w:jc w:val="center"/>
              <w:rPr>
                <w:rFonts w:hint="eastAsia" w:ascii="宋体" w:hAnsi="宋体"/>
                <w:sz w:val="21"/>
                <w:szCs w:val="21"/>
              </w:rPr>
            </w:pPr>
            <w:r>
              <w:rPr>
                <w:rFonts w:ascii="宋体" w:hAnsi="宋体"/>
                <w:sz w:val="21"/>
                <w:szCs w:val="21"/>
              </w:rPr>
              <w:t>约10万</w:t>
            </w:r>
          </w:p>
        </w:tc>
        <w:tc>
          <w:tcPr>
            <w:tcW w:w="0" w:type="auto"/>
            <w:vAlign w:val="center"/>
          </w:tcPr>
          <w:p w14:paraId="0BB3D48D">
            <w:pPr>
              <w:spacing w:after="160" w:line="278" w:lineRule="auto"/>
              <w:ind w:firstLine="0" w:firstLineChars="0"/>
              <w:jc w:val="center"/>
              <w:rPr>
                <w:rFonts w:hint="eastAsia" w:ascii="宋体" w:hAnsi="宋体"/>
                <w:sz w:val="21"/>
                <w:szCs w:val="21"/>
              </w:rPr>
            </w:pPr>
            <w:r>
              <w:rPr>
                <w:rFonts w:ascii="宋体" w:hAnsi="宋体"/>
                <w:sz w:val="21"/>
                <w:szCs w:val="21"/>
              </w:rPr>
              <w:t>约12万</w:t>
            </w:r>
          </w:p>
        </w:tc>
      </w:tr>
      <w:tr w14:paraId="663E8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2AC28C87">
            <w:pPr>
              <w:spacing w:after="160" w:line="278" w:lineRule="auto"/>
              <w:ind w:firstLine="0" w:firstLineChars="0"/>
              <w:jc w:val="center"/>
              <w:rPr>
                <w:rFonts w:hint="eastAsia" w:ascii="宋体" w:hAnsi="宋体"/>
                <w:sz w:val="21"/>
                <w:szCs w:val="21"/>
              </w:rPr>
            </w:pPr>
            <w:r>
              <w:rPr>
                <w:rFonts w:ascii="宋体" w:hAnsi="宋体"/>
                <w:sz w:val="21"/>
                <w:szCs w:val="21"/>
              </w:rPr>
              <w:t>游客停留时长</w:t>
            </w:r>
          </w:p>
        </w:tc>
        <w:tc>
          <w:tcPr>
            <w:tcW w:w="0" w:type="auto"/>
            <w:vAlign w:val="center"/>
          </w:tcPr>
          <w:p w14:paraId="5D3C8243">
            <w:pPr>
              <w:spacing w:after="160" w:line="278" w:lineRule="auto"/>
              <w:ind w:firstLine="0" w:firstLineChars="0"/>
              <w:jc w:val="center"/>
              <w:rPr>
                <w:rFonts w:hint="eastAsia" w:ascii="宋体" w:hAnsi="宋体"/>
                <w:sz w:val="21"/>
                <w:szCs w:val="21"/>
              </w:rPr>
            </w:pPr>
            <w:r>
              <w:rPr>
                <w:rFonts w:ascii="宋体" w:hAnsi="宋体"/>
                <w:sz w:val="21"/>
                <w:szCs w:val="21"/>
              </w:rPr>
              <w:t>目标4-8小时</w:t>
            </w:r>
          </w:p>
        </w:tc>
        <w:tc>
          <w:tcPr>
            <w:tcW w:w="0" w:type="auto"/>
            <w:vAlign w:val="center"/>
          </w:tcPr>
          <w:p w14:paraId="3213C1FA">
            <w:pPr>
              <w:spacing w:after="160" w:line="278" w:lineRule="auto"/>
              <w:ind w:firstLine="0" w:firstLineChars="0"/>
              <w:jc w:val="center"/>
              <w:rPr>
                <w:rFonts w:hint="eastAsia" w:ascii="宋体" w:hAnsi="宋体"/>
                <w:sz w:val="21"/>
                <w:szCs w:val="21"/>
              </w:rPr>
            </w:pPr>
            <w:r>
              <w:rPr>
                <w:rFonts w:ascii="宋体" w:hAnsi="宋体"/>
                <w:sz w:val="21"/>
                <w:szCs w:val="21"/>
              </w:rPr>
              <w:t>2-3小时</w:t>
            </w:r>
          </w:p>
        </w:tc>
        <w:tc>
          <w:tcPr>
            <w:tcW w:w="0" w:type="auto"/>
            <w:vAlign w:val="center"/>
          </w:tcPr>
          <w:p w14:paraId="5B9EC17F">
            <w:pPr>
              <w:spacing w:after="160" w:line="278" w:lineRule="auto"/>
              <w:ind w:firstLine="0" w:firstLineChars="0"/>
              <w:jc w:val="center"/>
              <w:rPr>
                <w:rFonts w:hint="eastAsia" w:ascii="宋体" w:hAnsi="宋体"/>
                <w:sz w:val="21"/>
                <w:szCs w:val="21"/>
              </w:rPr>
            </w:pPr>
            <w:r>
              <w:rPr>
                <w:rFonts w:ascii="宋体" w:hAnsi="宋体"/>
                <w:sz w:val="21"/>
                <w:szCs w:val="21"/>
              </w:rPr>
              <w:t>3-5小时</w:t>
            </w:r>
          </w:p>
        </w:tc>
        <w:tc>
          <w:tcPr>
            <w:tcW w:w="0" w:type="auto"/>
            <w:vAlign w:val="center"/>
          </w:tcPr>
          <w:p w14:paraId="557DE19E">
            <w:pPr>
              <w:spacing w:after="160" w:line="278" w:lineRule="auto"/>
              <w:ind w:firstLine="0" w:firstLineChars="0"/>
              <w:jc w:val="center"/>
              <w:rPr>
                <w:rFonts w:hint="eastAsia" w:ascii="宋体" w:hAnsi="宋体"/>
                <w:sz w:val="21"/>
                <w:szCs w:val="21"/>
              </w:rPr>
            </w:pPr>
            <w:r>
              <w:rPr>
                <w:rFonts w:ascii="宋体" w:hAnsi="宋体"/>
                <w:sz w:val="21"/>
                <w:szCs w:val="21"/>
              </w:rPr>
              <w:t>4-24小时</w:t>
            </w:r>
          </w:p>
        </w:tc>
        <w:tc>
          <w:tcPr>
            <w:tcW w:w="0" w:type="auto"/>
            <w:vAlign w:val="center"/>
          </w:tcPr>
          <w:p w14:paraId="4658654C">
            <w:pPr>
              <w:spacing w:after="160" w:line="278" w:lineRule="auto"/>
              <w:ind w:firstLine="0" w:firstLineChars="0"/>
              <w:jc w:val="center"/>
              <w:rPr>
                <w:rFonts w:hint="eastAsia" w:ascii="宋体" w:hAnsi="宋体"/>
                <w:sz w:val="21"/>
                <w:szCs w:val="21"/>
              </w:rPr>
            </w:pPr>
            <w:r>
              <w:rPr>
                <w:rFonts w:ascii="宋体" w:hAnsi="宋体"/>
                <w:sz w:val="21"/>
                <w:szCs w:val="21"/>
              </w:rPr>
              <w:t>3-6小时</w:t>
            </w:r>
          </w:p>
        </w:tc>
      </w:tr>
      <w:tr w14:paraId="46E0F2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bottom w:val="single" w:color="000000" w:themeColor="text1" w:sz="18" w:space="0"/>
            </w:tcBorders>
            <w:vAlign w:val="center"/>
          </w:tcPr>
          <w:p w14:paraId="57D30CFD">
            <w:pPr>
              <w:spacing w:after="160" w:line="278" w:lineRule="auto"/>
              <w:ind w:firstLine="0" w:firstLineChars="0"/>
              <w:jc w:val="center"/>
              <w:rPr>
                <w:rFonts w:hint="eastAsia" w:ascii="宋体" w:hAnsi="宋体"/>
                <w:sz w:val="21"/>
                <w:szCs w:val="21"/>
              </w:rPr>
            </w:pPr>
            <w:r>
              <w:rPr>
                <w:rFonts w:ascii="宋体" w:hAnsi="宋体"/>
                <w:sz w:val="21"/>
                <w:szCs w:val="21"/>
              </w:rPr>
              <w:t>复购率</w:t>
            </w:r>
          </w:p>
        </w:tc>
        <w:tc>
          <w:tcPr>
            <w:tcW w:w="0" w:type="auto"/>
            <w:tcBorders>
              <w:bottom w:val="single" w:color="000000" w:themeColor="text1" w:sz="18" w:space="0"/>
            </w:tcBorders>
            <w:vAlign w:val="center"/>
          </w:tcPr>
          <w:p w14:paraId="66A4EE94">
            <w:pPr>
              <w:spacing w:after="160" w:line="278" w:lineRule="auto"/>
              <w:ind w:firstLine="0" w:firstLineChars="0"/>
              <w:jc w:val="center"/>
              <w:rPr>
                <w:rFonts w:hint="eastAsia" w:ascii="宋体" w:hAnsi="宋体"/>
                <w:sz w:val="21"/>
                <w:szCs w:val="21"/>
              </w:rPr>
            </w:pPr>
            <w:r>
              <w:rPr>
                <w:rFonts w:ascii="宋体" w:hAnsi="宋体"/>
                <w:sz w:val="21"/>
                <w:szCs w:val="21"/>
              </w:rPr>
              <w:t>目标35%+</w:t>
            </w:r>
          </w:p>
        </w:tc>
        <w:tc>
          <w:tcPr>
            <w:tcW w:w="0" w:type="auto"/>
            <w:tcBorders>
              <w:bottom w:val="single" w:color="000000" w:themeColor="text1" w:sz="18" w:space="0"/>
            </w:tcBorders>
            <w:vAlign w:val="center"/>
          </w:tcPr>
          <w:p w14:paraId="49BDCB27">
            <w:pPr>
              <w:spacing w:after="160" w:line="278" w:lineRule="auto"/>
              <w:ind w:firstLine="0" w:firstLineChars="0"/>
              <w:jc w:val="center"/>
              <w:rPr>
                <w:rFonts w:hint="eastAsia" w:ascii="宋体" w:hAnsi="宋体"/>
                <w:sz w:val="21"/>
                <w:szCs w:val="21"/>
              </w:rPr>
            </w:pPr>
            <w:r>
              <w:rPr>
                <w:rFonts w:ascii="宋体" w:hAnsi="宋体"/>
                <w:sz w:val="21"/>
                <w:szCs w:val="21"/>
              </w:rPr>
              <w:t>&lt;15%</w:t>
            </w:r>
          </w:p>
        </w:tc>
        <w:tc>
          <w:tcPr>
            <w:tcW w:w="0" w:type="auto"/>
            <w:tcBorders>
              <w:bottom w:val="single" w:color="000000" w:themeColor="text1" w:sz="18" w:space="0"/>
            </w:tcBorders>
            <w:vAlign w:val="center"/>
          </w:tcPr>
          <w:p w14:paraId="48CAE96F">
            <w:pPr>
              <w:spacing w:after="160" w:line="278" w:lineRule="auto"/>
              <w:ind w:firstLine="0" w:firstLineChars="0"/>
              <w:jc w:val="center"/>
              <w:rPr>
                <w:rFonts w:hint="eastAsia" w:ascii="宋体" w:hAnsi="宋体"/>
                <w:sz w:val="21"/>
                <w:szCs w:val="21"/>
              </w:rPr>
            </w:pPr>
            <w:r>
              <w:rPr>
                <w:rFonts w:ascii="宋体" w:hAnsi="宋体"/>
                <w:sz w:val="21"/>
                <w:szCs w:val="21"/>
              </w:rPr>
              <w:t>约20%</w:t>
            </w:r>
          </w:p>
        </w:tc>
        <w:tc>
          <w:tcPr>
            <w:tcW w:w="0" w:type="auto"/>
            <w:tcBorders>
              <w:bottom w:val="single" w:color="000000" w:themeColor="text1" w:sz="18" w:space="0"/>
            </w:tcBorders>
            <w:vAlign w:val="center"/>
          </w:tcPr>
          <w:p w14:paraId="7307BD8D">
            <w:pPr>
              <w:spacing w:after="160" w:line="278" w:lineRule="auto"/>
              <w:ind w:firstLine="0" w:firstLineChars="0"/>
              <w:jc w:val="center"/>
              <w:rPr>
                <w:rFonts w:hint="eastAsia" w:ascii="宋体" w:hAnsi="宋体"/>
                <w:sz w:val="21"/>
                <w:szCs w:val="21"/>
              </w:rPr>
            </w:pPr>
            <w:r>
              <w:rPr>
                <w:rFonts w:ascii="宋体" w:hAnsi="宋体"/>
                <w:sz w:val="21"/>
                <w:szCs w:val="21"/>
              </w:rPr>
              <w:t>约25%</w:t>
            </w:r>
          </w:p>
        </w:tc>
        <w:tc>
          <w:tcPr>
            <w:tcW w:w="0" w:type="auto"/>
            <w:tcBorders>
              <w:bottom w:val="single" w:color="000000" w:themeColor="text1" w:sz="18" w:space="0"/>
            </w:tcBorders>
            <w:vAlign w:val="center"/>
          </w:tcPr>
          <w:p w14:paraId="0B1118FE">
            <w:pPr>
              <w:spacing w:after="160" w:line="278" w:lineRule="auto"/>
              <w:ind w:firstLine="0" w:firstLineChars="0"/>
              <w:jc w:val="center"/>
              <w:rPr>
                <w:rFonts w:hint="eastAsia" w:ascii="宋体" w:hAnsi="宋体"/>
                <w:sz w:val="21"/>
                <w:szCs w:val="21"/>
              </w:rPr>
            </w:pPr>
            <w:r>
              <w:rPr>
                <w:rFonts w:ascii="宋体" w:hAnsi="宋体"/>
                <w:sz w:val="21"/>
                <w:szCs w:val="21"/>
              </w:rPr>
              <w:t>约20%</w:t>
            </w:r>
          </w:p>
        </w:tc>
      </w:tr>
    </w:tbl>
    <w:p w14:paraId="23BF461D">
      <w:pPr>
        <w:ind w:firstLine="420"/>
        <w:rPr>
          <w:rFonts w:hint="eastAsia" w:ascii="宋体" w:hAnsi="宋体"/>
          <w:sz w:val="21"/>
          <w:szCs w:val="21"/>
        </w:rPr>
      </w:pPr>
      <w:r>
        <w:rPr>
          <w:rFonts w:hint="eastAsia" w:ascii="宋体" w:hAnsi="宋体"/>
          <w:sz w:val="21"/>
          <w:szCs w:val="21"/>
        </w:rPr>
        <w:t>数</w:t>
      </w:r>
      <w:r>
        <w:rPr>
          <w:rFonts w:ascii="宋体" w:hAnsi="宋体"/>
          <w:sz w:val="21"/>
          <w:szCs w:val="21"/>
        </w:rPr>
        <w:t>据来源：各项目实地调研、OTA平台评价数据分析。杨家东庄村为预测目标值。</w:t>
      </w:r>
    </w:p>
    <w:p w14:paraId="0685B41B">
      <w:pPr>
        <w:ind w:firstLine="420"/>
        <w:rPr>
          <w:rFonts w:hint="eastAsia" w:ascii="宋体" w:hAnsi="宋体"/>
          <w:sz w:val="21"/>
          <w:szCs w:val="21"/>
        </w:rPr>
      </w:pPr>
      <w:r>
        <w:rPr>
          <w:rFonts w:hint="eastAsia" w:ascii="宋体" w:hAnsi="宋体"/>
          <w:sz w:val="21"/>
          <w:szCs w:val="21"/>
        </w:rPr>
        <w:t>团队通过深度对标能够揭示杨家东庄村在竞争格局中的三重定位优势：首先是</w:t>
      </w:r>
      <w:r>
        <w:rPr>
          <w:rFonts w:hint="eastAsia" w:ascii="宋体" w:hAnsi="宋体"/>
          <w:b/>
          <w:bCs/>
          <w:sz w:val="21"/>
          <w:szCs w:val="21"/>
        </w:rPr>
        <w:t>生态壁垒不可复制</w:t>
      </w:r>
      <w:r>
        <w:rPr>
          <w:rFonts w:hint="eastAsia" w:ascii="宋体" w:hAnsi="宋体"/>
          <w:sz w:val="21"/>
          <w:szCs w:val="21"/>
        </w:rPr>
        <w:t>。在竞品项目中，白河湾有水域资源、黄花城有长城IP、神堂峪有栈道品牌，但没有一个项目同时拥有“一级水源保护区”的生态认证，这是杨家东庄村最根本的护城河——</w:t>
      </w:r>
      <w:r>
        <w:rPr>
          <w:rFonts w:hint="eastAsia" w:ascii="宋体" w:hAnsi="宋体"/>
          <w:b/>
          <w:bCs/>
          <w:sz w:val="21"/>
          <w:szCs w:val="21"/>
        </w:rPr>
        <w:t>“全北京唯一”的定位具有真实排他性</w:t>
      </w:r>
      <w:r>
        <w:rPr>
          <w:rFonts w:hint="eastAsia" w:ascii="宋体" w:hAnsi="宋体"/>
          <w:sz w:val="21"/>
          <w:szCs w:val="21"/>
        </w:rPr>
        <w:t>；其次，本项目的产品组合的具有独特性。</w:t>
      </w:r>
      <w:r>
        <w:rPr>
          <w:rFonts w:hint="eastAsia" w:ascii="宋体" w:hAnsi="宋体"/>
          <w:b/>
          <w:bCs/>
          <w:sz w:val="21"/>
          <w:szCs w:val="21"/>
        </w:rPr>
        <w:t>骑行+樱桃+天文的组合</w:t>
      </w:r>
      <w:r>
        <w:rPr>
          <w:rFonts w:hint="eastAsia" w:ascii="宋体" w:hAnsi="宋体"/>
          <w:sz w:val="21"/>
          <w:szCs w:val="21"/>
        </w:rPr>
        <w:t>在京郊独一无二，而竞品要么以农产品为主（六渡河板栗），要么以景区观光为主（黄花城），要么以住宿体验为主（白河湾），而本项目是“</w:t>
      </w:r>
      <w:r>
        <w:rPr>
          <w:rFonts w:hint="eastAsia" w:ascii="宋体" w:hAnsi="宋体"/>
          <w:b/>
          <w:bCs/>
          <w:sz w:val="21"/>
          <w:szCs w:val="21"/>
        </w:rPr>
        <w:t>运动+采摘+科普”三位一体</w:t>
      </w:r>
      <w:r>
        <w:rPr>
          <w:rFonts w:hint="eastAsia" w:ascii="宋体" w:hAnsi="宋体"/>
          <w:sz w:val="21"/>
          <w:szCs w:val="21"/>
        </w:rPr>
        <w:t>，客群的交叉覆盖面更广。最后是本项目的数字化代差优势，竞品的数字化水平普遍停留在“OTA入驻+公众号”，没有一家拥有自主开发的全栈运营平台，而本项目的GPS打卡、数字孪生、AR导览、AI行程推荐等功能，与竞品形成</w:t>
      </w:r>
      <w:r>
        <w:rPr>
          <w:rFonts w:hint="eastAsia" w:ascii="宋体" w:hAnsi="宋体"/>
          <w:b/>
          <w:bCs/>
          <w:sz w:val="21"/>
          <w:szCs w:val="21"/>
        </w:rPr>
        <w:t>明显的“数字化代差”</w:t>
      </w:r>
      <w:r>
        <w:rPr>
          <w:rFonts w:hint="eastAsia" w:ascii="宋体" w:hAnsi="宋体"/>
          <w:sz w:val="21"/>
          <w:szCs w:val="21"/>
        </w:rPr>
        <w:t>——这是体验差异化的关键来源。</w:t>
      </w:r>
    </w:p>
    <w:p w14:paraId="4C76362B">
      <w:pPr>
        <w:ind w:firstLine="420"/>
        <w:rPr>
          <w:rFonts w:hint="eastAsia" w:ascii="宋体" w:hAnsi="宋体"/>
          <w:sz w:val="21"/>
          <w:szCs w:val="21"/>
        </w:rPr>
      </w:pPr>
      <w:r>
        <w:rPr>
          <w:rFonts w:hint="eastAsia" w:ascii="宋体" w:hAnsi="宋体"/>
          <w:sz w:val="21"/>
          <w:szCs w:val="21"/>
        </w:rPr>
        <w:t>（2）</w:t>
      </w:r>
      <w:r>
        <w:rPr>
          <w:rFonts w:ascii="宋体" w:hAnsi="宋体"/>
          <w:sz w:val="21"/>
          <w:szCs w:val="21"/>
        </w:rPr>
        <w:t>维度二：京郊骑行路线</w:t>
      </w:r>
    </w:p>
    <w:tbl>
      <w:tblPr>
        <w:tblStyle w:val="15"/>
        <w:tblW w:w="8931" w:type="dxa"/>
        <w:tblInd w:w="-31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8"/>
        <w:gridCol w:w="2006"/>
        <w:gridCol w:w="1266"/>
        <w:gridCol w:w="1453"/>
        <w:gridCol w:w="1342"/>
        <w:gridCol w:w="1446"/>
      </w:tblGrid>
      <w:tr w14:paraId="2A95AC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tcBorders>
              <w:top w:val="single" w:color="000000" w:themeColor="text1" w:sz="18" w:space="0"/>
              <w:bottom w:val="single" w:color="000000" w:themeColor="text1" w:sz="12" w:space="0"/>
            </w:tcBorders>
            <w:vAlign w:val="center"/>
          </w:tcPr>
          <w:p w14:paraId="343375ED">
            <w:pPr>
              <w:spacing w:after="160" w:line="278" w:lineRule="auto"/>
              <w:ind w:firstLine="0" w:firstLineChars="0"/>
              <w:jc w:val="center"/>
              <w:rPr>
                <w:rFonts w:hint="eastAsia" w:ascii="宋体" w:hAnsi="宋体"/>
                <w:sz w:val="21"/>
                <w:szCs w:val="21"/>
              </w:rPr>
            </w:pPr>
            <w:r>
              <w:rPr>
                <w:rFonts w:ascii="宋体" w:hAnsi="宋体"/>
                <w:sz w:val="21"/>
                <w:szCs w:val="21"/>
              </w:rPr>
              <w:t>维度</w:t>
            </w:r>
          </w:p>
        </w:tc>
        <w:tc>
          <w:tcPr>
            <w:tcW w:w="2006" w:type="dxa"/>
            <w:tcBorders>
              <w:top w:val="single" w:color="000000" w:themeColor="text1" w:sz="18" w:space="0"/>
              <w:bottom w:val="single" w:color="000000" w:themeColor="text1" w:sz="12" w:space="0"/>
            </w:tcBorders>
            <w:vAlign w:val="center"/>
          </w:tcPr>
          <w:p w14:paraId="788FA39E">
            <w:pPr>
              <w:spacing w:after="160" w:line="278" w:lineRule="auto"/>
              <w:ind w:firstLine="0" w:firstLineChars="0"/>
              <w:jc w:val="center"/>
              <w:rPr>
                <w:rFonts w:hint="eastAsia" w:ascii="宋体" w:hAnsi="宋体"/>
                <w:sz w:val="21"/>
                <w:szCs w:val="21"/>
              </w:rPr>
            </w:pPr>
            <w:r>
              <w:rPr>
                <w:rFonts w:ascii="宋体" w:hAnsi="宋体"/>
                <w:sz w:val="21"/>
                <w:szCs w:val="21"/>
              </w:rPr>
              <w:t>怀柔水库西岸（本项目）</w:t>
            </w:r>
          </w:p>
        </w:tc>
        <w:tc>
          <w:tcPr>
            <w:tcW w:w="1255" w:type="dxa"/>
            <w:tcBorders>
              <w:top w:val="single" w:color="000000" w:themeColor="text1" w:sz="18" w:space="0"/>
              <w:bottom w:val="single" w:color="000000" w:themeColor="text1" w:sz="12" w:space="0"/>
            </w:tcBorders>
            <w:vAlign w:val="center"/>
          </w:tcPr>
          <w:p w14:paraId="3DCF1E51">
            <w:pPr>
              <w:spacing w:after="160" w:line="278" w:lineRule="auto"/>
              <w:ind w:firstLine="0" w:firstLineChars="0"/>
              <w:jc w:val="center"/>
              <w:rPr>
                <w:rFonts w:hint="eastAsia" w:ascii="宋体" w:hAnsi="宋体"/>
                <w:sz w:val="21"/>
                <w:szCs w:val="21"/>
              </w:rPr>
            </w:pPr>
            <w:r>
              <w:rPr>
                <w:rFonts w:ascii="宋体" w:hAnsi="宋体"/>
                <w:sz w:val="21"/>
                <w:szCs w:val="21"/>
              </w:rPr>
              <w:t>妙峰山</w:t>
            </w:r>
          </w:p>
        </w:tc>
        <w:tc>
          <w:tcPr>
            <w:tcW w:w="1453" w:type="dxa"/>
            <w:tcBorders>
              <w:top w:val="single" w:color="000000" w:themeColor="text1" w:sz="18" w:space="0"/>
              <w:bottom w:val="single" w:color="000000" w:themeColor="text1" w:sz="12" w:space="0"/>
            </w:tcBorders>
            <w:vAlign w:val="center"/>
          </w:tcPr>
          <w:p w14:paraId="69425F2A">
            <w:pPr>
              <w:spacing w:after="160" w:line="278" w:lineRule="auto"/>
              <w:ind w:firstLine="0" w:firstLineChars="0"/>
              <w:jc w:val="center"/>
              <w:rPr>
                <w:rFonts w:hint="eastAsia" w:ascii="宋体" w:hAnsi="宋体"/>
                <w:sz w:val="21"/>
                <w:szCs w:val="21"/>
              </w:rPr>
            </w:pPr>
            <w:r>
              <w:rPr>
                <w:rFonts w:ascii="宋体" w:hAnsi="宋体"/>
                <w:sz w:val="21"/>
                <w:szCs w:val="21"/>
              </w:rPr>
              <w:t>十三陵水库</w:t>
            </w:r>
          </w:p>
        </w:tc>
        <w:tc>
          <w:tcPr>
            <w:tcW w:w="0" w:type="auto"/>
            <w:tcBorders>
              <w:top w:val="single" w:color="000000" w:themeColor="text1" w:sz="18" w:space="0"/>
              <w:bottom w:val="single" w:color="000000" w:themeColor="text1" w:sz="12" w:space="0"/>
            </w:tcBorders>
            <w:vAlign w:val="center"/>
          </w:tcPr>
          <w:p w14:paraId="255CB1E8">
            <w:pPr>
              <w:spacing w:after="160" w:line="278" w:lineRule="auto"/>
              <w:ind w:firstLine="0" w:firstLineChars="0"/>
              <w:jc w:val="center"/>
              <w:rPr>
                <w:rFonts w:hint="eastAsia" w:ascii="宋体" w:hAnsi="宋体"/>
                <w:sz w:val="21"/>
                <w:szCs w:val="21"/>
              </w:rPr>
            </w:pPr>
            <w:r>
              <w:rPr>
                <w:rFonts w:ascii="宋体" w:hAnsi="宋体"/>
                <w:sz w:val="21"/>
                <w:szCs w:val="21"/>
              </w:rPr>
              <w:t>雁栖湖</w:t>
            </w:r>
          </w:p>
          <w:p w14:paraId="394E6EDE">
            <w:pPr>
              <w:spacing w:after="160" w:line="278" w:lineRule="auto"/>
              <w:ind w:firstLine="0" w:firstLineChars="0"/>
              <w:jc w:val="center"/>
              <w:rPr>
                <w:rFonts w:hint="eastAsia" w:ascii="宋体" w:hAnsi="宋体"/>
                <w:sz w:val="21"/>
                <w:szCs w:val="21"/>
              </w:rPr>
            </w:pPr>
            <w:r>
              <w:rPr>
                <w:rFonts w:ascii="宋体" w:hAnsi="宋体"/>
                <w:sz w:val="21"/>
                <w:szCs w:val="21"/>
              </w:rPr>
              <w:t>环线</w:t>
            </w:r>
          </w:p>
        </w:tc>
        <w:tc>
          <w:tcPr>
            <w:tcW w:w="1446" w:type="dxa"/>
            <w:tcBorders>
              <w:top w:val="single" w:color="000000" w:themeColor="text1" w:sz="18" w:space="0"/>
              <w:bottom w:val="single" w:color="000000" w:themeColor="text1" w:sz="12" w:space="0"/>
            </w:tcBorders>
            <w:vAlign w:val="center"/>
          </w:tcPr>
          <w:p w14:paraId="7E4A2DD5">
            <w:pPr>
              <w:spacing w:after="160" w:line="278" w:lineRule="auto"/>
              <w:ind w:firstLine="0" w:firstLineChars="0"/>
              <w:jc w:val="center"/>
              <w:rPr>
                <w:rFonts w:hint="eastAsia" w:ascii="宋体" w:hAnsi="宋体"/>
                <w:sz w:val="21"/>
                <w:szCs w:val="21"/>
              </w:rPr>
            </w:pPr>
            <w:r>
              <w:rPr>
                <w:rFonts w:ascii="宋体" w:hAnsi="宋体"/>
                <w:sz w:val="21"/>
                <w:szCs w:val="21"/>
              </w:rPr>
              <w:t>妫河</w:t>
            </w:r>
          </w:p>
          <w:p w14:paraId="6EE29107">
            <w:pPr>
              <w:spacing w:after="160" w:line="278" w:lineRule="auto"/>
              <w:ind w:firstLine="0" w:firstLineChars="0"/>
              <w:jc w:val="center"/>
              <w:rPr>
                <w:rFonts w:hint="eastAsia" w:ascii="宋体" w:hAnsi="宋体"/>
                <w:sz w:val="21"/>
                <w:szCs w:val="21"/>
              </w:rPr>
            </w:pPr>
            <w:r>
              <w:rPr>
                <w:rFonts w:ascii="宋体" w:hAnsi="宋体"/>
                <w:sz w:val="21"/>
                <w:szCs w:val="21"/>
              </w:rPr>
              <w:t>生态走廊</w:t>
            </w:r>
          </w:p>
        </w:tc>
      </w:tr>
      <w:tr w14:paraId="4D8441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tcBorders>
              <w:top w:val="single" w:color="000000" w:themeColor="text1" w:sz="12" w:space="0"/>
            </w:tcBorders>
            <w:vAlign w:val="center"/>
          </w:tcPr>
          <w:p w14:paraId="4B115595">
            <w:pPr>
              <w:spacing w:after="160" w:line="278" w:lineRule="auto"/>
              <w:ind w:firstLine="0" w:firstLineChars="0"/>
              <w:jc w:val="center"/>
              <w:rPr>
                <w:rFonts w:hint="eastAsia" w:ascii="宋体" w:hAnsi="宋体"/>
                <w:sz w:val="21"/>
                <w:szCs w:val="21"/>
              </w:rPr>
            </w:pPr>
            <w:r>
              <w:rPr>
                <w:rFonts w:ascii="宋体" w:hAnsi="宋体"/>
                <w:sz w:val="21"/>
                <w:szCs w:val="21"/>
              </w:rPr>
              <w:t>里程</w:t>
            </w:r>
          </w:p>
        </w:tc>
        <w:tc>
          <w:tcPr>
            <w:tcW w:w="2006" w:type="dxa"/>
            <w:tcBorders>
              <w:top w:val="single" w:color="000000" w:themeColor="text1" w:sz="12" w:space="0"/>
            </w:tcBorders>
            <w:vAlign w:val="center"/>
          </w:tcPr>
          <w:p w14:paraId="60AF46FB">
            <w:pPr>
              <w:spacing w:after="160" w:line="278" w:lineRule="auto"/>
              <w:ind w:firstLine="0" w:firstLineChars="0"/>
              <w:jc w:val="center"/>
              <w:rPr>
                <w:rFonts w:hint="eastAsia" w:ascii="宋体" w:hAnsi="宋体"/>
                <w:sz w:val="21"/>
                <w:szCs w:val="21"/>
              </w:rPr>
            </w:pPr>
            <w:r>
              <w:rPr>
                <w:rFonts w:ascii="宋体" w:hAnsi="宋体"/>
                <w:sz w:val="21"/>
                <w:szCs w:val="21"/>
              </w:rPr>
              <w:t>5-15km（三级分层）</w:t>
            </w:r>
          </w:p>
        </w:tc>
        <w:tc>
          <w:tcPr>
            <w:tcW w:w="1255" w:type="dxa"/>
            <w:tcBorders>
              <w:top w:val="single" w:color="000000" w:themeColor="text1" w:sz="12" w:space="0"/>
            </w:tcBorders>
            <w:vAlign w:val="center"/>
          </w:tcPr>
          <w:p w14:paraId="14C83C61">
            <w:pPr>
              <w:spacing w:after="160" w:line="278" w:lineRule="auto"/>
              <w:ind w:firstLine="0" w:firstLineChars="0"/>
              <w:jc w:val="center"/>
              <w:rPr>
                <w:rFonts w:hint="eastAsia" w:ascii="宋体" w:hAnsi="宋体"/>
                <w:sz w:val="21"/>
                <w:szCs w:val="21"/>
              </w:rPr>
            </w:pPr>
            <w:r>
              <w:rPr>
                <w:rFonts w:ascii="宋体" w:hAnsi="宋体"/>
                <w:sz w:val="21"/>
                <w:szCs w:val="21"/>
              </w:rPr>
              <w:t>约20km</w:t>
            </w:r>
          </w:p>
        </w:tc>
        <w:tc>
          <w:tcPr>
            <w:tcW w:w="1453" w:type="dxa"/>
            <w:tcBorders>
              <w:top w:val="single" w:color="000000" w:themeColor="text1" w:sz="12" w:space="0"/>
            </w:tcBorders>
            <w:vAlign w:val="center"/>
          </w:tcPr>
          <w:p w14:paraId="33EF78B2">
            <w:pPr>
              <w:spacing w:after="160" w:line="278" w:lineRule="auto"/>
              <w:ind w:firstLine="0" w:firstLineChars="0"/>
              <w:jc w:val="center"/>
              <w:rPr>
                <w:rFonts w:hint="eastAsia" w:ascii="宋体" w:hAnsi="宋体"/>
                <w:sz w:val="21"/>
                <w:szCs w:val="21"/>
              </w:rPr>
            </w:pPr>
            <w:r>
              <w:rPr>
                <w:rFonts w:ascii="宋体" w:hAnsi="宋体"/>
                <w:sz w:val="21"/>
                <w:szCs w:val="21"/>
              </w:rPr>
              <w:t>约12km</w:t>
            </w:r>
          </w:p>
        </w:tc>
        <w:tc>
          <w:tcPr>
            <w:tcW w:w="0" w:type="auto"/>
            <w:tcBorders>
              <w:top w:val="single" w:color="000000" w:themeColor="text1" w:sz="12" w:space="0"/>
            </w:tcBorders>
            <w:vAlign w:val="center"/>
          </w:tcPr>
          <w:p w14:paraId="29ACA558">
            <w:pPr>
              <w:spacing w:after="160" w:line="278" w:lineRule="auto"/>
              <w:ind w:firstLine="0" w:firstLineChars="0"/>
              <w:jc w:val="center"/>
              <w:rPr>
                <w:rFonts w:hint="eastAsia" w:ascii="宋体" w:hAnsi="宋体"/>
                <w:sz w:val="21"/>
                <w:szCs w:val="21"/>
              </w:rPr>
            </w:pPr>
            <w:r>
              <w:rPr>
                <w:rFonts w:ascii="宋体" w:hAnsi="宋体"/>
                <w:sz w:val="21"/>
                <w:szCs w:val="21"/>
              </w:rPr>
              <w:t>约15km</w:t>
            </w:r>
          </w:p>
        </w:tc>
        <w:tc>
          <w:tcPr>
            <w:tcW w:w="1446" w:type="dxa"/>
            <w:tcBorders>
              <w:top w:val="single" w:color="000000" w:themeColor="text1" w:sz="12" w:space="0"/>
            </w:tcBorders>
            <w:vAlign w:val="center"/>
          </w:tcPr>
          <w:p w14:paraId="0BE95CFE">
            <w:pPr>
              <w:spacing w:after="160" w:line="278" w:lineRule="auto"/>
              <w:ind w:firstLine="0" w:firstLineChars="0"/>
              <w:jc w:val="center"/>
              <w:rPr>
                <w:rFonts w:hint="eastAsia" w:ascii="宋体" w:hAnsi="宋体"/>
                <w:sz w:val="21"/>
                <w:szCs w:val="21"/>
              </w:rPr>
            </w:pPr>
            <w:r>
              <w:rPr>
                <w:rFonts w:ascii="宋体" w:hAnsi="宋体"/>
                <w:sz w:val="21"/>
                <w:szCs w:val="21"/>
              </w:rPr>
              <w:t>约12km</w:t>
            </w:r>
          </w:p>
        </w:tc>
      </w:tr>
      <w:tr w14:paraId="38D38B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vAlign w:val="center"/>
          </w:tcPr>
          <w:p w14:paraId="572B2061">
            <w:pPr>
              <w:spacing w:after="160" w:line="278" w:lineRule="auto"/>
              <w:ind w:firstLine="0" w:firstLineChars="0"/>
              <w:jc w:val="center"/>
              <w:rPr>
                <w:rFonts w:hint="eastAsia" w:ascii="宋体" w:hAnsi="宋体"/>
                <w:sz w:val="21"/>
                <w:szCs w:val="21"/>
              </w:rPr>
            </w:pPr>
            <w:r>
              <w:rPr>
                <w:rFonts w:ascii="宋体" w:hAnsi="宋体"/>
                <w:sz w:val="21"/>
                <w:szCs w:val="21"/>
              </w:rPr>
              <w:t>难度</w:t>
            </w:r>
          </w:p>
        </w:tc>
        <w:tc>
          <w:tcPr>
            <w:tcW w:w="2006" w:type="dxa"/>
            <w:vAlign w:val="center"/>
          </w:tcPr>
          <w:p w14:paraId="1A052D07">
            <w:pPr>
              <w:spacing w:after="160" w:line="278" w:lineRule="auto"/>
              <w:ind w:firstLine="0" w:firstLineChars="0"/>
              <w:jc w:val="center"/>
              <w:rPr>
                <w:rFonts w:hint="eastAsia" w:ascii="宋体" w:hAnsi="宋体"/>
                <w:sz w:val="21"/>
                <w:szCs w:val="21"/>
              </w:rPr>
            </w:pPr>
            <w:r>
              <w:rPr>
                <w:rFonts w:ascii="宋体" w:hAnsi="宋体"/>
                <w:sz w:val="21"/>
                <w:szCs w:val="21"/>
              </w:rPr>
              <w:t>低-中（全客群覆盖）</w:t>
            </w:r>
          </w:p>
        </w:tc>
        <w:tc>
          <w:tcPr>
            <w:tcW w:w="1255" w:type="dxa"/>
            <w:vAlign w:val="center"/>
          </w:tcPr>
          <w:p w14:paraId="2DD96162">
            <w:pPr>
              <w:spacing w:after="160" w:line="278" w:lineRule="auto"/>
              <w:ind w:firstLine="0" w:firstLineChars="0"/>
              <w:jc w:val="center"/>
              <w:rPr>
                <w:rFonts w:hint="eastAsia" w:ascii="宋体" w:hAnsi="宋体"/>
                <w:sz w:val="21"/>
                <w:szCs w:val="21"/>
              </w:rPr>
            </w:pPr>
            <w:r>
              <w:rPr>
                <w:rFonts w:ascii="宋体" w:hAnsi="宋体"/>
                <w:sz w:val="21"/>
                <w:szCs w:val="21"/>
              </w:rPr>
              <w:t>高（爬坡为主）</w:t>
            </w:r>
          </w:p>
        </w:tc>
        <w:tc>
          <w:tcPr>
            <w:tcW w:w="1453" w:type="dxa"/>
            <w:vAlign w:val="center"/>
          </w:tcPr>
          <w:p w14:paraId="1F87FD88">
            <w:pPr>
              <w:spacing w:after="160" w:line="278" w:lineRule="auto"/>
              <w:ind w:firstLine="0" w:firstLineChars="0"/>
              <w:jc w:val="center"/>
              <w:rPr>
                <w:rFonts w:hint="eastAsia" w:ascii="宋体" w:hAnsi="宋体"/>
                <w:sz w:val="21"/>
                <w:szCs w:val="21"/>
              </w:rPr>
            </w:pPr>
            <w:r>
              <w:rPr>
                <w:rFonts w:ascii="宋体" w:hAnsi="宋体"/>
                <w:sz w:val="21"/>
                <w:szCs w:val="21"/>
              </w:rPr>
              <w:t>低</w:t>
            </w:r>
          </w:p>
        </w:tc>
        <w:tc>
          <w:tcPr>
            <w:tcW w:w="0" w:type="auto"/>
            <w:vAlign w:val="center"/>
          </w:tcPr>
          <w:p w14:paraId="6320E7F9">
            <w:pPr>
              <w:spacing w:after="160" w:line="278" w:lineRule="auto"/>
              <w:ind w:firstLine="0" w:firstLineChars="0"/>
              <w:jc w:val="center"/>
              <w:rPr>
                <w:rFonts w:hint="eastAsia" w:ascii="宋体" w:hAnsi="宋体"/>
                <w:sz w:val="21"/>
                <w:szCs w:val="21"/>
              </w:rPr>
            </w:pPr>
            <w:r>
              <w:rPr>
                <w:rFonts w:ascii="宋体" w:hAnsi="宋体"/>
                <w:sz w:val="21"/>
                <w:szCs w:val="21"/>
              </w:rPr>
              <w:t>低-中</w:t>
            </w:r>
          </w:p>
        </w:tc>
        <w:tc>
          <w:tcPr>
            <w:tcW w:w="1446" w:type="dxa"/>
            <w:vAlign w:val="center"/>
          </w:tcPr>
          <w:p w14:paraId="1EC8E949">
            <w:pPr>
              <w:spacing w:after="160" w:line="278" w:lineRule="auto"/>
              <w:ind w:firstLine="0" w:firstLineChars="0"/>
              <w:jc w:val="center"/>
              <w:rPr>
                <w:rFonts w:hint="eastAsia" w:ascii="宋体" w:hAnsi="宋体"/>
                <w:sz w:val="21"/>
                <w:szCs w:val="21"/>
              </w:rPr>
            </w:pPr>
            <w:r>
              <w:rPr>
                <w:rFonts w:ascii="宋体" w:hAnsi="宋体"/>
                <w:sz w:val="21"/>
                <w:szCs w:val="21"/>
              </w:rPr>
              <w:t>低</w:t>
            </w:r>
          </w:p>
        </w:tc>
      </w:tr>
      <w:tr w14:paraId="058865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vAlign w:val="center"/>
          </w:tcPr>
          <w:p w14:paraId="4055BC44">
            <w:pPr>
              <w:spacing w:after="160" w:line="278" w:lineRule="auto"/>
              <w:ind w:firstLine="0" w:firstLineChars="0"/>
              <w:jc w:val="center"/>
              <w:rPr>
                <w:rFonts w:hint="eastAsia" w:ascii="宋体" w:hAnsi="宋体"/>
                <w:sz w:val="21"/>
                <w:szCs w:val="21"/>
              </w:rPr>
            </w:pPr>
            <w:r>
              <w:rPr>
                <w:rFonts w:ascii="宋体" w:hAnsi="宋体"/>
                <w:sz w:val="21"/>
                <w:szCs w:val="21"/>
              </w:rPr>
              <w:t>景观特色</w:t>
            </w:r>
          </w:p>
        </w:tc>
        <w:tc>
          <w:tcPr>
            <w:tcW w:w="2006" w:type="dxa"/>
            <w:vAlign w:val="center"/>
          </w:tcPr>
          <w:p w14:paraId="5B3AE286">
            <w:pPr>
              <w:ind w:firstLine="0" w:firstLineChars="0"/>
              <w:jc w:val="center"/>
            </w:pPr>
            <w:r>
              <w:rPr>
                <w:rFonts w:ascii="宋体" w:hAnsi="宋体"/>
                <w:sz w:val="20"/>
              </w:rPr>
              <w:t>水库+樱桃园+水源地</w:t>
            </w:r>
          </w:p>
        </w:tc>
        <w:tc>
          <w:tcPr>
            <w:tcW w:w="1255" w:type="dxa"/>
            <w:vAlign w:val="center"/>
          </w:tcPr>
          <w:p w14:paraId="46284C8C">
            <w:pPr>
              <w:spacing w:after="160" w:line="278" w:lineRule="auto"/>
              <w:ind w:firstLine="0" w:firstLineChars="0"/>
              <w:jc w:val="center"/>
              <w:rPr>
                <w:rFonts w:hint="eastAsia" w:ascii="宋体" w:hAnsi="宋体"/>
                <w:sz w:val="21"/>
                <w:szCs w:val="21"/>
              </w:rPr>
            </w:pPr>
            <w:r>
              <w:rPr>
                <w:rFonts w:ascii="宋体" w:hAnsi="宋体"/>
                <w:sz w:val="21"/>
                <w:szCs w:val="21"/>
              </w:rPr>
              <w:t>山景+古刹</w:t>
            </w:r>
          </w:p>
        </w:tc>
        <w:tc>
          <w:tcPr>
            <w:tcW w:w="1453" w:type="dxa"/>
            <w:vAlign w:val="center"/>
          </w:tcPr>
          <w:p w14:paraId="22D2D913">
            <w:pPr>
              <w:spacing w:after="160" w:line="278" w:lineRule="auto"/>
              <w:ind w:firstLine="0" w:firstLineChars="0"/>
              <w:jc w:val="center"/>
              <w:rPr>
                <w:rFonts w:hint="eastAsia" w:ascii="宋体" w:hAnsi="宋体"/>
                <w:sz w:val="21"/>
                <w:szCs w:val="21"/>
              </w:rPr>
            </w:pPr>
            <w:r>
              <w:rPr>
                <w:rFonts w:ascii="宋体" w:hAnsi="宋体"/>
                <w:sz w:val="21"/>
                <w:szCs w:val="21"/>
              </w:rPr>
              <w:t>水库+皇陵</w:t>
            </w:r>
          </w:p>
        </w:tc>
        <w:tc>
          <w:tcPr>
            <w:tcW w:w="0" w:type="auto"/>
            <w:vAlign w:val="center"/>
          </w:tcPr>
          <w:p w14:paraId="1D63807B">
            <w:pPr>
              <w:spacing w:after="160" w:line="278" w:lineRule="auto"/>
              <w:ind w:firstLine="0" w:firstLineChars="0"/>
              <w:jc w:val="center"/>
              <w:rPr>
                <w:rFonts w:hint="eastAsia" w:ascii="宋体" w:hAnsi="宋体"/>
                <w:sz w:val="21"/>
                <w:szCs w:val="21"/>
              </w:rPr>
            </w:pPr>
            <w:r>
              <w:rPr>
                <w:rFonts w:ascii="宋体" w:hAnsi="宋体"/>
                <w:sz w:val="21"/>
                <w:szCs w:val="21"/>
              </w:rPr>
              <w:t>湖景+会展</w:t>
            </w:r>
          </w:p>
        </w:tc>
        <w:tc>
          <w:tcPr>
            <w:tcW w:w="1446" w:type="dxa"/>
            <w:vAlign w:val="center"/>
          </w:tcPr>
          <w:p w14:paraId="329C866D">
            <w:pPr>
              <w:spacing w:after="160" w:line="278" w:lineRule="auto"/>
              <w:ind w:firstLine="0" w:firstLineChars="0"/>
              <w:jc w:val="center"/>
              <w:rPr>
                <w:rFonts w:hint="eastAsia" w:ascii="宋体" w:hAnsi="宋体"/>
                <w:sz w:val="21"/>
                <w:szCs w:val="21"/>
              </w:rPr>
            </w:pPr>
            <w:r>
              <w:rPr>
                <w:rFonts w:ascii="宋体" w:hAnsi="宋体"/>
                <w:sz w:val="21"/>
                <w:szCs w:val="21"/>
              </w:rPr>
              <w:t>湿地+世园会</w:t>
            </w:r>
          </w:p>
        </w:tc>
      </w:tr>
      <w:tr w14:paraId="76886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vAlign w:val="center"/>
          </w:tcPr>
          <w:p w14:paraId="2C0986B6">
            <w:pPr>
              <w:spacing w:after="160" w:line="278" w:lineRule="auto"/>
              <w:ind w:firstLine="0" w:firstLineChars="0"/>
              <w:jc w:val="center"/>
              <w:rPr>
                <w:rFonts w:hint="eastAsia" w:ascii="宋体" w:hAnsi="宋体"/>
                <w:sz w:val="21"/>
                <w:szCs w:val="21"/>
              </w:rPr>
            </w:pPr>
            <w:r>
              <w:rPr>
                <w:rFonts w:ascii="宋体" w:hAnsi="宋体"/>
                <w:sz w:val="21"/>
                <w:szCs w:val="21"/>
              </w:rPr>
              <w:t>配套消费节点</w:t>
            </w:r>
          </w:p>
        </w:tc>
        <w:tc>
          <w:tcPr>
            <w:tcW w:w="2006" w:type="dxa"/>
            <w:vAlign w:val="center"/>
          </w:tcPr>
          <w:p w14:paraId="299B6440">
            <w:pPr>
              <w:spacing w:after="160" w:line="278" w:lineRule="auto"/>
              <w:ind w:firstLine="0" w:firstLineChars="0"/>
              <w:jc w:val="center"/>
              <w:rPr>
                <w:rFonts w:hint="eastAsia" w:ascii="宋体" w:hAnsi="宋体"/>
                <w:sz w:val="21"/>
                <w:szCs w:val="21"/>
              </w:rPr>
            </w:pPr>
            <w:r>
              <w:rPr>
                <w:rFonts w:ascii="宋体" w:hAnsi="宋体"/>
                <w:sz w:val="21"/>
                <w:szCs w:val="21"/>
              </w:rPr>
              <w:t>7大打卡节点+驿站</w:t>
            </w:r>
          </w:p>
        </w:tc>
        <w:tc>
          <w:tcPr>
            <w:tcW w:w="1255" w:type="dxa"/>
            <w:vAlign w:val="center"/>
          </w:tcPr>
          <w:p w14:paraId="28B119E0">
            <w:pPr>
              <w:spacing w:after="160" w:line="278" w:lineRule="auto"/>
              <w:ind w:firstLine="0" w:firstLineChars="0"/>
              <w:jc w:val="center"/>
              <w:rPr>
                <w:rFonts w:hint="eastAsia" w:ascii="宋体" w:hAnsi="宋体"/>
                <w:sz w:val="21"/>
                <w:szCs w:val="21"/>
              </w:rPr>
            </w:pPr>
            <w:r>
              <w:rPr>
                <w:rFonts w:ascii="宋体" w:hAnsi="宋体"/>
                <w:sz w:val="21"/>
                <w:szCs w:val="21"/>
              </w:rPr>
              <w:t>1个补给点</w:t>
            </w:r>
          </w:p>
        </w:tc>
        <w:tc>
          <w:tcPr>
            <w:tcW w:w="1453" w:type="dxa"/>
            <w:vAlign w:val="center"/>
          </w:tcPr>
          <w:p w14:paraId="08EE6DCC">
            <w:pPr>
              <w:spacing w:after="160" w:line="278" w:lineRule="auto"/>
              <w:ind w:firstLine="0" w:firstLineChars="0"/>
              <w:jc w:val="center"/>
              <w:rPr>
                <w:rFonts w:hint="eastAsia" w:ascii="宋体" w:hAnsi="宋体"/>
                <w:sz w:val="21"/>
                <w:szCs w:val="21"/>
              </w:rPr>
            </w:pPr>
            <w:r>
              <w:rPr>
                <w:rFonts w:ascii="宋体" w:hAnsi="宋体"/>
                <w:sz w:val="21"/>
                <w:szCs w:val="21"/>
              </w:rPr>
              <w:t>农家乐散点</w:t>
            </w:r>
          </w:p>
        </w:tc>
        <w:tc>
          <w:tcPr>
            <w:tcW w:w="0" w:type="auto"/>
            <w:vAlign w:val="center"/>
          </w:tcPr>
          <w:p w14:paraId="7148ACFA">
            <w:pPr>
              <w:spacing w:after="160" w:line="278" w:lineRule="auto"/>
              <w:ind w:firstLine="0" w:firstLineChars="0"/>
              <w:jc w:val="center"/>
              <w:rPr>
                <w:rFonts w:hint="eastAsia" w:ascii="宋体" w:hAnsi="宋体"/>
                <w:sz w:val="21"/>
                <w:szCs w:val="21"/>
              </w:rPr>
            </w:pPr>
            <w:r>
              <w:rPr>
                <w:rFonts w:ascii="宋体" w:hAnsi="宋体"/>
                <w:sz w:val="21"/>
                <w:szCs w:val="21"/>
              </w:rPr>
              <w:t>景区商业设施</w:t>
            </w:r>
          </w:p>
        </w:tc>
        <w:tc>
          <w:tcPr>
            <w:tcW w:w="1446" w:type="dxa"/>
            <w:vAlign w:val="center"/>
          </w:tcPr>
          <w:p w14:paraId="0EA58535">
            <w:pPr>
              <w:spacing w:after="160" w:line="278" w:lineRule="auto"/>
              <w:ind w:firstLine="0" w:firstLineChars="0"/>
              <w:jc w:val="center"/>
              <w:rPr>
                <w:rFonts w:hint="eastAsia" w:ascii="宋体" w:hAnsi="宋体"/>
                <w:sz w:val="21"/>
                <w:szCs w:val="21"/>
              </w:rPr>
            </w:pPr>
            <w:r>
              <w:rPr>
                <w:rFonts w:ascii="宋体" w:hAnsi="宋体"/>
                <w:sz w:val="21"/>
                <w:szCs w:val="21"/>
              </w:rPr>
              <w:t>3个骑行驿站</w:t>
            </w:r>
          </w:p>
        </w:tc>
      </w:tr>
      <w:tr w14:paraId="03D821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vAlign w:val="center"/>
          </w:tcPr>
          <w:p w14:paraId="0B26569C">
            <w:pPr>
              <w:spacing w:after="160" w:line="278" w:lineRule="auto"/>
              <w:ind w:firstLine="0" w:firstLineChars="0"/>
              <w:jc w:val="center"/>
              <w:rPr>
                <w:rFonts w:hint="eastAsia" w:ascii="宋体" w:hAnsi="宋体"/>
                <w:sz w:val="21"/>
                <w:szCs w:val="21"/>
              </w:rPr>
            </w:pPr>
            <w:r>
              <w:rPr>
                <w:rFonts w:ascii="宋体" w:hAnsi="宋体"/>
                <w:sz w:val="21"/>
                <w:szCs w:val="21"/>
              </w:rPr>
              <w:t>打卡系统</w:t>
            </w:r>
          </w:p>
        </w:tc>
        <w:tc>
          <w:tcPr>
            <w:tcW w:w="2006" w:type="dxa"/>
            <w:vAlign w:val="center"/>
          </w:tcPr>
          <w:p w14:paraId="63E078D6">
            <w:pPr>
              <w:spacing w:after="160" w:line="278" w:lineRule="auto"/>
              <w:ind w:firstLine="0" w:firstLineChars="0"/>
              <w:jc w:val="center"/>
              <w:rPr>
                <w:rFonts w:hint="eastAsia" w:ascii="宋体" w:hAnsi="宋体"/>
                <w:sz w:val="21"/>
                <w:szCs w:val="21"/>
              </w:rPr>
            </w:pPr>
            <w:r>
              <w:rPr>
                <w:rFonts w:ascii="宋体" w:hAnsi="宋体"/>
                <w:sz w:val="21"/>
                <w:szCs w:val="21"/>
              </w:rPr>
              <w:t>GPS自动打卡+海报合成</w:t>
            </w:r>
          </w:p>
        </w:tc>
        <w:tc>
          <w:tcPr>
            <w:tcW w:w="1255" w:type="dxa"/>
            <w:vAlign w:val="center"/>
          </w:tcPr>
          <w:p w14:paraId="63BC0FB3">
            <w:pPr>
              <w:spacing w:after="160" w:line="278" w:lineRule="auto"/>
              <w:ind w:firstLine="0" w:firstLineChars="0"/>
              <w:jc w:val="center"/>
              <w:rPr>
                <w:rFonts w:hint="eastAsia" w:ascii="宋体" w:hAnsi="宋体"/>
                <w:sz w:val="21"/>
                <w:szCs w:val="21"/>
              </w:rPr>
            </w:pPr>
            <w:r>
              <w:rPr>
                <w:rFonts w:ascii="宋体" w:hAnsi="宋体"/>
                <w:sz w:val="21"/>
                <w:szCs w:val="21"/>
              </w:rPr>
              <w:t>无</w:t>
            </w:r>
          </w:p>
        </w:tc>
        <w:tc>
          <w:tcPr>
            <w:tcW w:w="1453" w:type="dxa"/>
            <w:vAlign w:val="center"/>
          </w:tcPr>
          <w:p w14:paraId="7CF20E8F">
            <w:pPr>
              <w:spacing w:after="160" w:line="278" w:lineRule="auto"/>
              <w:ind w:firstLine="0" w:firstLineChars="0"/>
              <w:jc w:val="center"/>
              <w:rPr>
                <w:rFonts w:hint="eastAsia" w:ascii="宋体" w:hAnsi="宋体"/>
                <w:sz w:val="21"/>
                <w:szCs w:val="21"/>
              </w:rPr>
            </w:pPr>
            <w:r>
              <w:rPr>
                <w:rFonts w:ascii="宋体" w:hAnsi="宋体"/>
                <w:sz w:val="21"/>
                <w:szCs w:val="21"/>
              </w:rPr>
              <w:t>无</w:t>
            </w:r>
          </w:p>
        </w:tc>
        <w:tc>
          <w:tcPr>
            <w:tcW w:w="0" w:type="auto"/>
            <w:vAlign w:val="center"/>
          </w:tcPr>
          <w:p w14:paraId="3BB0A284">
            <w:pPr>
              <w:spacing w:after="160" w:line="278" w:lineRule="auto"/>
              <w:ind w:firstLine="0" w:firstLineChars="0"/>
              <w:jc w:val="center"/>
              <w:rPr>
                <w:rFonts w:hint="eastAsia" w:ascii="宋体" w:hAnsi="宋体"/>
                <w:sz w:val="21"/>
                <w:szCs w:val="21"/>
              </w:rPr>
            </w:pPr>
            <w:r>
              <w:rPr>
                <w:rFonts w:ascii="宋体" w:hAnsi="宋体"/>
                <w:sz w:val="21"/>
                <w:szCs w:val="21"/>
              </w:rPr>
              <w:t>无</w:t>
            </w:r>
          </w:p>
        </w:tc>
        <w:tc>
          <w:tcPr>
            <w:tcW w:w="1446" w:type="dxa"/>
            <w:vAlign w:val="center"/>
          </w:tcPr>
          <w:p w14:paraId="39528F6D">
            <w:pPr>
              <w:spacing w:after="160" w:line="278" w:lineRule="auto"/>
              <w:ind w:firstLine="0" w:firstLineChars="0"/>
              <w:jc w:val="center"/>
              <w:rPr>
                <w:rFonts w:hint="eastAsia" w:ascii="宋体" w:hAnsi="宋体"/>
                <w:sz w:val="21"/>
                <w:szCs w:val="21"/>
              </w:rPr>
            </w:pPr>
            <w:r>
              <w:rPr>
                <w:rFonts w:ascii="宋体" w:hAnsi="宋体"/>
                <w:sz w:val="21"/>
                <w:szCs w:val="21"/>
              </w:rPr>
              <w:t>有（基础）</w:t>
            </w:r>
          </w:p>
        </w:tc>
      </w:tr>
      <w:tr w14:paraId="4D90E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vAlign w:val="center"/>
          </w:tcPr>
          <w:p w14:paraId="47A5B5A7">
            <w:pPr>
              <w:spacing w:after="160" w:line="278" w:lineRule="auto"/>
              <w:ind w:firstLine="0" w:firstLineChars="0"/>
              <w:jc w:val="center"/>
              <w:rPr>
                <w:rFonts w:hint="eastAsia" w:ascii="宋体" w:hAnsi="宋体"/>
                <w:sz w:val="21"/>
                <w:szCs w:val="21"/>
              </w:rPr>
            </w:pPr>
            <w:r>
              <w:rPr>
                <w:rFonts w:ascii="宋体" w:hAnsi="宋体"/>
                <w:sz w:val="21"/>
                <w:szCs w:val="21"/>
              </w:rPr>
              <w:t>社交传播设计</w:t>
            </w:r>
          </w:p>
        </w:tc>
        <w:tc>
          <w:tcPr>
            <w:tcW w:w="2006" w:type="dxa"/>
            <w:vAlign w:val="center"/>
          </w:tcPr>
          <w:p w14:paraId="262AE660">
            <w:pPr>
              <w:spacing w:after="160" w:line="278" w:lineRule="auto"/>
              <w:ind w:firstLine="0" w:firstLineChars="0"/>
              <w:jc w:val="center"/>
              <w:rPr>
                <w:rFonts w:hint="eastAsia" w:ascii="宋体" w:hAnsi="宋体"/>
                <w:sz w:val="21"/>
                <w:szCs w:val="21"/>
              </w:rPr>
            </w:pPr>
            <w:r>
              <w:rPr>
                <w:rFonts w:ascii="宋体" w:hAnsi="宋体"/>
                <w:sz w:val="21"/>
                <w:szCs w:val="21"/>
              </w:rPr>
              <w:t>系统化激励（海报/积分/排行榜）</w:t>
            </w:r>
          </w:p>
        </w:tc>
        <w:tc>
          <w:tcPr>
            <w:tcW w:w="1255" w:type="dxa"/>
            <w:vAlign w:val="center"/>
          </w:tcPr>
          <w:p w14:paraId="7FBD4F8F">
            <w:pPr>
              <w:spacing w:after="160" w:line="278" w:lineRule="auto"/>
              <w:ind w:firstLine="0" w:firstLineChars="0"/>
              <w:jc w:val="center"/>
              <w:rPr>
                <w:rFonts w:hint="eastAsia" w:ascii="宋体" w:hAnsi="宋体"/>
                <w:sz w:val="21"/>
                <w:szCs w:val="21"/>
              </w:rPr>
            </w:pPr>
            <w:r>
              <w:rPr>
                <w:rFonts w:ascii="宋体" w:hAnsi="宋体"/>
                <w:sz w:val="21"/>
                <w:szCs w:val="21"/>
              </w:rPr>
              <w:t>自发Strava分享</w:t>
            </w:r>
          </w:p>
        </w:tc>
        <w:tc>
          <w:tcPr>
            <w:tcW w:w="1453" w:type="dxa"/>
            <w:vAlign w:val="center"/>
          </w:tcPr>
          <w:p w14:paraId="43E7DCBA">
            <w:pPr>
              <w:spacing w:after="160" w:line="278" w:lineRule="auto"/>
              <w:ind w:firstLine="0" w:firstLineChars="0"/>
              <w:jc w:val="center"/>
              <w:rPr>
                <w:rFonts w:hint="eastAsia" w:ascii="宋体" w:hAnsi="宋体"/>
                <w:sz w:val="21"/>
                <w:szCs w:val="21"/>
              </w:rPr>
            </w:pPr>
            <w:r>
              <w:rPr>
                <w:rFonts w:ascii="宋体" w:hAnsi="宋体"/>
                <w:sz w:val="21"/>
                <w:szCs w:val="21"/>
              </w:rPr>
              <w:t>少</w:t>
            </w:r>
          </w:p>
        </w:tc>
        <w:tc>
          <w:tcPr>
            <w:tcW w:w="0" w:type="auto"/>
            <w:vAlign w:val="center"/>
          </w:tcPr>
          <w:p w14:paraId="73C91DDB">
            <w:pPr>
              <w:spacing w:after="160" w:line="278" w:lineRule="auto"/>
              <w:ind w:firstLine="0" w:firstLineChars="0"/>
              <w:jc w:val="center"/>
              <w:rPr>
                <w:rFonts w:hint="eastAsia" w:ascii="宋体" w:hAnsi="宋体"/>
                <w:sz w:val="21"/>
                <w:szCs w:val="21"/>
              </w:rPr>
            </w:pPr>
            <w:r>
              <w:rPr>
                <w:rFonts w:ascii="宋体" w:hAnsi="宋体"/>
                <w:sz w:val="21"/>
                <w:szCs w:val="21"/>
              </w:rPr>
              <w:t>自发拍照</w:t>
            </w:r>
          </w:p>
        </w:tc>
        <w:tc>
          <w:tcPr>
            <w:tcW w:w="1446" w:type="dxa"/>
            <w:vAlign w:val="center"/>
          </w:tcPr>
          <w:p w14:paraId="70C2E27F">
            <w:pPr>
              <w:spacing w:after="160" w:line="278" w:lineRule="auto"/>
              <w:ind w:firstLine="0" w:firstLineChars="0"/>
              <w:jc w:val="center"/>
              <w:rPr>
                <w:rFonts w:hint="eastAsia" w:ascii="宋体" w:hAnsi="宋体"/>
                <w:sz w:val="21"/>
                <w:szCs w:val="21"/>
              </w:rPr>
            </w:pPr>
            <w:r>
              <w:rPr>
                <w:rFonts w:ascii="宋体" w:hAnsi="宋体"/>
                <w:sz w:val="21"/>
                <w:szCs w:val="21"/>
              </w:rPr>
              <w:t>官方宣传为主</w:t>
            </w:r>
          </w:p>
        </w:tc>
      </w:tr>
      <w:tr w14:paraId="6B94AD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vAlign w:val="center"/>
          </w:tcPr>
          <w:p w14:paraId="42B022B5">
            <w:pPr>
              <w:spacing w:after="160" w:line="278" w:lineRule="auto"/>
              <w:ind w:firstLine="0" w:firstLineChars="0"/>
              <w:jc w:val="center"/>
              <w:rPr>
                <w:rFonts w:hint="eastAsia" w:ascii="宋体" w:hAnsi="宋体"/>
                <w:sz w:val="21"/>
                <w:szCs w:val="21"/>
              </w:rPr>
            </w:pPr>
            <w:r>
              <w:rPr>
                <w:rFonts w:ascii="宋体" w:hAnsi="宋体"/>
                <w:sz w:val="21"/>
                <w:szCs w:val="21"/>
              </w:rPr>
              <w:t>品牌化运营</w:t>
            </w:r>
          </w:p>
        </w:tc>
        <w:tc>
          <w:tcPr>
            <w:tcW w:w="2006" w:type="dxa"/>
            <w:vAlign w:val="center"/>
          </w:tcPr>
          <w:p w14:paraId="330D2126">
            <w:pPr>
              <w:spacing w:after="160" w:line="278" w:lineRule="auto"/>
              <w:ind w:firstLine="0" w:firstLineChars="0"/>
              <w:jc w:val="center"/>
              <w:rPr>
                <w:rFonts w:hint="eastAsia" w:ascii="宋体" w:hAnsi="宋体"/>
                <w:sz w:val="21"/>
                <w:szCs w:val="21"/>
              </w:rPr>
            </w:pPr>
            <w:r>
              <w:rPr>
                <w:rFonts w:ascii="宋体" w:hAnsi="宋体"/>
                <w:sz w:val="21"/>
                <w:szCs w:val="21"/>
              </w:rPr>
              <w:t>有（品牌×骑行融合）</w:t>
            </w:r>
          </w:p>
        </w:tc>
        <w:tc>
          <w:tcPr>
            <w:tcW w:w="1255" w:type="dxa"/>
            <w:vAlign w:val="center"/>
          </w:tcPr>
          <w:p w14:paraId="13BA8197">
            <w:pPr>
              <w:spacing w:after="160" w:line="278" w:lineRule="auto"/>
              <w:ind w:firstLine="0" w:firstLineChars="0"/>
              <w:jc w:val="center"/>
              <w:rPr>
                <w:rFonts w:hint="eastAsia" w:ascii="宋体" w:hAnsi="宋体"/>
                <w:sz w:val="21"/>
                <w:szCs w:val="21"/>
              </w:rPr>
            </w:pPr>
            <w:r>
              <w:rPr>
                <w:rFonts w:ascii="宋体" w:hAnsi="宋体"/>
                <w:sz w:val="21"/>
                <w:szCs w:val="21"/>
              </w:rPr>
              <w:t>无</w:t>
            </w:r>
          </w:p>
        </w:tc>
        <w:tc>
          <w:tcPr>
            <w:tcW w:w="1453" w:type="dxa"/>
            <w:vAlign w:val="center"/>
          </w:tcPr>
          <w:p w14:paraId="5973BB98">
            <w:pPr>
              <w:spacing w:after="160" w:line="278" w:lineRule="auto"/>
              <w:ind w:firstLine="0" w:firstLineChars="0"/>
              <w:jc w:val="center"/>
              <w:rPr>
                <w:rFonts w:hint="eastAsia" w:ascii="宋体" w:hAnsi="宋体"/>
                <w:sz w:val="21"/>
                <w:szCs w:val="21"/>
              </w:rPr>
            </w:pPr>
            <w:r>
              <w:rPr>
                <w:rFonts w:ascii="宋体" w:hAnsi="宋体"/>
                <w:sz w:val="21"/>
                <w:szCs w:val="21"/>
              </w:rPr>
              <w:t>无</w:t>
            </w:r>
          </w:p>
        </w:tc>
        <w:tc>
          <w:tcPr>
            <w:tcW w:w="0" w:type="auto"/>
            <w:vAlign w:val="center"/>
          </w:tcPr>
          <w:p w14:paraId="0763D1F9">
            <w:pPr>
              <w:spacing w:after="160" w:line="278" w:lineRule="auto"/>
              <w:ind w:firstLine="0" w:firstLineChars="0"/>
              <w:jc w:val="center"/>
              <w:rPr>
                <w:rFonts w:hint="eastAsia" w:ascii="宋体" w:hAnsi="宋体"/>
                <w:sz w:val="21"/>
                <w:szCs w:val="21"/>
              </w:rPr>
            </w:pPr>
            <w:r>
              <w:rPr>
                <w:rFonts w:ascii="宋体" w:hAnsi="宋体"/>
                <w:sz w:val="21"/>
                <w:szCs w:val="21"/>
              </w:rPr>
              <w:t>景区品牌</w:t>
            </w:r>
          </w:p>
        </w:tc>
        <w:tc>
          <w:tcPr>
            <w:tcW w:w="1446" w:type="dxa"/>
            <w:vAlign w:val="center"/>
          </w:tcPr>
          <w:p w14:paraId="2A601D31">
            <w:pPr>
              <w:spacing w:after="160" w:line="278" w:lineRule="auto"/>
              <w:ind w:firstLine="0" w:firstLineChars="0"/>
              <w:jc w:val="center"/>
              <w:rPr>
                <w:rFonts w:hint="eastAsia" w:ascii="宋体" w:hAnsi="宋体"/>
                <w:sz w:val="21"/>
                <w:szCs w:val="21"/>
              </w:rPr>
            </w:pPr>
            <w:r>
              <w:rPr>
                <w:rFonts w:ascii="宋体" w:hAnsi="宋体"/>
                <w:sz w:val="21"/>
                <w:szCs w:val="21"/>
              </w:rPr>
              <w:t>区域品牌</w:t>
            </w:r>
          </w:p>
        </w:tc>
      </w:tr>
      <w:tr w14:paraId="2EC9AA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vAlign w:val="center"/>
          </w:tcPr>
          <w:p w14:paraId="334E1E35">
            <w:pPr>
              <w:spacing w:after="160" w:line="278" w:lineRule="auto"/>
              <w:ind w:firstLine="0" w:firstLineChars="0"/>
              <w:jc w:val="center"/>
              <w:rPr>
                <w:rFonts w:hint="eastAsia" w:ascii="宋体" w:hAnsi="宋体"/>
                <w:sz w:val="21"/>
                <w:szCs w:val="21"/>
              </w:rPr>
            </w:pPr>
            <w:r>
              <w:rPr>
                <w:rFonts w:ascii="宋体" w:hAnsi="宋体"/>
                <w:sz w:val="21"/>
                <w:szCs w:val="21"/>
              </w:rPr>
              <w:t>核心差异化</w:t>
            </w:r>
          </w:p>
        </w:tc>
        <w:tc>
          <w:tcPr>
            <w:tcW w:w="2006" w:type="dxa"/>
            <w:vAlign w:val="center"/>
          </w:tcPr>
          <w:p w14:paraId="1861814E">
            <w:pPr>
              <w:spacing w:after="160" w:line="278" w:lineRule="auto"/>
              <w:ind w:firstLine="0" w:firstLineChars="0"/>
              <w:jc w:val="center"/>
              <w:rPr>
                <w:rFonts w:hint="eastAsia" w:ascii="宋体" w:hAnsi="宋体"/>
                <w:sz w:val="21"/>
                <w:szCs w:val="21"/>
              </w:rPr>
            </w:pPr>
            <w:r>
              <w:rPr>
                <w:rFonts w:ascii="宋体" w:hAnsi="宋体"/>
                <w:sz w:val="21"/>
                <w:szCs w:val="21"/>
              </w:rPr>
              <w:t>骑行终点=消费闭环</w:t>
            </w:r>
          </w:p>
        </w:tc>
        <w:tc>
          <w:tcPr>
            <w:tcW w:w="1255" w:type="dxa"/>
            <w:vAlign w:val="center"/>
          </w:tcPr>
          <w:p w14:paraId="27E00676">
            <w:pPr>
              <w:spacing w:after="160" w:line="278" w:lineRule="auto"/>
              <w:ind w:firstLine="0" w:firstLineChars="0"/>
              <w:jc w:val="center"/>
              <w:rPr>
                <w:rFonts w:hint="eastAsia" w:ascii="宋体" w:hAnsi="宋体"/>
                <w:sz w:val="21"/>
                <w:szCs w:val="21"/>
              </w:rPr>
            </w:pPr>
            <w:r>
              <w:rPr>
                <w:rFonts w:ascii="宋体" w:hAnsi="宋体"/>
                <w:sz w:val="21"/>
                <w:szCs w:val="21"/>
              </w:rPr>
              <w:t>纯运动挑战型</w:t>
            </w:r>
          </w:p>
        </w:tc>
        <w:tc>
          <w:tcPr>
            <w:tcW w:w="1453" w:type="dxa"/>
            <w:vAlign w:val="center"/>
          </w:tcPr>
          <w:p w14:paraId="304F4FA4">
            <w:pPr>
              <w:spacing w:after="160" w:line="278" w:lineRule="auto"/>
              <w:ind w:firstLine="0" w:firstLineChars="0"/>
              <w:jc w:val="center"/>
              <w:rPr>
                <w:rFonts w:hint="eastAsia" w:ascii="宋体" w:hAnsi="宋体"/>
                <w:sz w:val="21"/>
                <w:szCs w:val="21"/>
              </w:rPr>
            </w:pPr>
            <w:r>
              <w:rPr>
                <w:rFonts w:ascii="宋体" w:hAnsi="宋体"/>
                <w:sz w:val="21"/>
                <w:szCs w:val="21"/>
              </w:rPr>
              <w:t>纯休闲型</w:t>
            </w:r>
          </w:p>
        </w:tc>
        <w:tc>
          <w:tcPr>
            <w:tcW w:w="0" w:type="auto"/>
            <w:vAlign w:val="center"/>
          </w:tcPr>
          <w:p w14:paraId="53E5C038">
            <w:pPr>
              <w:spacing w:after="160" w:line="278" w:lineRule="auto"/>
              <w:ind w:firstLine="0" w:firstLineChars="0"/>
              <w:jc w:val="center"/>
              <w:rPr>
                <w:rFonts w:hint="eastAsia" w:ascii="宋体" w:hAnsi="宋体"/>
                <w:sz w:val="21"/>
                <w:szCs w:val="21"/>
              </w:rPr>
            </w:pPr>
            <w:r>
              <w:rPr>
                <w:rFonts w:ascii="宋体" w:hAnsi="宋体"/>
                <w:sz w:val="21"/>
                <w:szCs w:val="21"/>
              </w:rPr>
              <w:t>纯观光型</w:t>
            </w:r>
          </w:p>
        </w:tc>
        <w:tc>
          <w:tcPr>
            <w:tcW w:w="1446" w:type="dxa"/>
            <w:vAlign w:val="center"/>
          </w:tcPr>
          <w:p w14:paraId="3ADABB2A">
            <w:pPr>
              <w:spacing w:after="160" w:line="278" w:lineRule="auto"/>
              <w:ind w:firstLine="0" w:firstLineChars="0"/>
              <w:jc w:val="center"/>
              <w:rPr>
                <w:rFonts w:hint="eastAsia" w:ascii="宋体" w:hAnsi="宋体"/>
                <w:sz w:val="21"/>
                <w:szCs w:val="21"/>
              </w:rPr>
            </w:pPr>
            <w:r>
              <w:rPr>
                <w:rFonts w:ascii="宋体" w:hAnsi="宋体"/>
                <w:sz w:val="21"/>
                <w:szCs w:val="21"/>
              </w:rPr>
              <w:t>生态科普型</w:t>
            </w:r>
          </w:p>
        </w:tc>
      </w:tr>
      <w:tr w14:paraId="20C305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vAlign w:val="center"/>
          </w:tcPr>
          <w:p w14:paraId="7FBF585A">
            <w:pPr>
              <w:spacing w:after="160" w:line="278" w:lineRule="auto"/>
              <w:ind w:firstLine="0" w:firstLineChars="0"/>
              <w:jc w:val="center"/>
              <w:rPr>
                <w:rFonts w:hint="eastAsia" w:ascii="宋体" w:hAnsi="宋体"/>
                <w:sz w:val="21"/>
                <w:szCs w:val="21"/>
              </w:rPr>
            </w:pPr>
            <w:r>
              <w:rPr>
                <w:rFonts w:ascii="宋体" w:hAnsi="宋体"/>
                <w:sz w:val="21"/>
                <w:szCs w:val="21"/>
              </w:rPr>
              <w:t>小红书内容量（条）</w:t>
            </w:r>
          </w:p>
        </w:tc>
        <w:tc>
          <w:tcPr>
            <w:tcW w:w="2006" w:type="dxa"/>
            <w:vAlign w:val="center"/>
          </w:tcPr>
          <w:p w14:paraId="4379210E">
            <w:pPr>
              <w:spacing w:after="160" w:line="278" w:lineRule="auto"/>
              <w:ind w:firstLine="0" w:firstLineChars="0"/>
              <w:jc w:val="center"/>
              <w:rPr>
                <w:rFonts w:hint="eastAsia" w:ascii="宋体" w:hAnsi="宋体"/>
                <w:sz w:val="21"/>
                <w:szCs w:val="21"/>
              </w:rPr>
            </w:pPr>
            <w:r>
              <w:rPr>
                <w:rFonts w:ascii="宋体" w:hAnsi="宋体"/>
                <w:sz w:val="21"/>
                <w:szCs w:val="21"/>
              </w:rPr>
              <w:t>目标5000+</w:t>
            </w:r>
          </w:p>
        </w:tc>
        <w:tc>
          <w:tcPr>
            <w:tcW w:w="1255" w:type="dxa"/>
            <w:vAlign w:val="center"/>
          </w:tcPr>
          <w:p w14:paraId="29369F97">
            <w:pPr>
              <w:spacing w:after="160" w:line="278" w:lineRule="auto"/>
              <w:ind w:firstLine="0" w:firstLineChars="0"/>
              <w:jc w:val="center"/>
              <w:rPr>
                <w:rFonts w:hint="eastAsia" w:ascii="宋体" w:hAnsi="宋体"/>
                <w:sz w:val="21"/>
                <w:szCs w:val="21"/>
              </w:rPr>
            </w:pPr>
            <w:r>
              <w:rPr>
                <w:rFonts w:ascii="宋体" w:hAnsi="宋体"/>
                <w:sz w:val="21"/>
                <w:szCs w:val="21"/>
              </w:rPr>
              <w:t>约8000</w:t>
            </w:r>
          </w:p>
        </w:tc>
        <w:tc>
          <w:tcPr>
            <w:tcW w:w="1453" w:type="dxa"/>
            <w:vAlign w:val="center"/>
          </w:tcPr>
          <w:p w14:paraId="3F445984">
            <w:pPr>
              <w:spacing w:after="160" w:line="278" w:lineRule="auto"/>
              <w:ind w:firstLine="0" w:firstLineChars="0"/>
              <w:jc w:val="center"/>
              <w:rPr>
                <w:rFonts w:hint="eastAsia" w:ascii="宋体" w:hAnsi="宋体"/>
                <w:sz w:val="21"/>
                <w:szCs w:val="21"/>
              </w:rPr>
            </w:pPr>
            <w:r>
              <w:rPr>
                <w:rFonts w:ascii="宋体" w:hAnsi="宋体"/>
                <w:sz w:val="21"/>
                <w:szCs w:val="21"/>
              </w:rPr>
              <w:t>约12000</w:t>
            </w:r>
          </w:p>
        </w:tc>
        <w:tc>
          <w:tcPr>
            <w:tcW w:w="0" w:type="auto"/>
            <w:vAlign w:val="center"/>
          </w:tcPr>
          <w:p w14:paraId="7DC9C1C3">
            <w:pPr>
              <w:spacing w:after="160" w:line="278" w:lineRule="auto"/>
              <w:ind w:firstLine="0" w:firstLineChars="0"/>
              <w:jc w:val="center"/>
              <w:rPr>
                <w:rFonts w:hint="eastAsia" w:ascii="宋体" w:hAnsi="宋体"/>
                <w:sz w:val="21"/>
                <w:szCs w:val="21"/>
              </w:rPr>
            </w:pPr>
            <w:r>
              <w:rPr>
                <w:rFonts w:ascii="宋体" w:hAnsi="宋体"/>
                <w:sz w:val="21"/>
                <w:szCs w:val="21"/>
              </w:rPr>
              <w:t>约20000</w:t>
            </w:r>
          </w:p>
        </w:tc>
        <w:tc>
          <w:tcPr>
            <w:tcW w:w="1446" w:type="dxa"/>
            <w:vAlign w:val="center"/>
          </w:tcPr>
          <w:p w14:paraId="067B85AC">
            <w:pPr>
              <w:spacing w:after="160" w:line="278" w:lineRule="auto"/>
              <w:ind w:firstLine="0" w:firstLineChars="0"/>
              <w:jc w:val="center"/>
              <w:rPr>
                <w:rFonts w:hint="eastAsia" w:ascii="宋体" w:hAnsi="宋体"/>
                <w:sz w:val="21"/>
                <w:szCs w:val="21"/>
              </w:rPr>
            </w:pPr>
            <w:r>
              <w:rPr>
                <w:rFonts w:ascii="宋体" w:hAnsi="宋体"/>
                <w:sz w:val="21"/>
                <w:szCs w:val="21"/>
              </w:rPr>
              <w:t>约6000</w:t>
            </w:r>
          </w:p>
        </w:tc>
      </w:tr>
      <w:tr w14:paraId="16D1EC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tcBorders>
              <w:bottom w:val="single" w:color="000000" w:themeColor="text1" w:sz="18" w:space="0"/>
            </w:tcBorders>
            <w:vAlign w:val="center"/>
          </w:tcPr>
          <w:p w14:paraId="5E50FCBD">
            <w:pPr>
              <w:spacing w:after="160" w:line="278" w:lineRule="auto"/>
              <w:ind w:firstLine="0" w:firstLineChars="0"/>
              <w:jc w:val="center"/>
              <w:rPr>
                <w:rFonts w:hint="eastAsia" w:ascii="宋体" w:hAnsi="宋体"/>
                <w:sz w:val="21"/>
                <w:szCs w:val="21"/>
              </w:rPr>
            </w:pPr>
            <w:r>
              <w:rPr>
                <w:rFonts w:ascii="宋体" w:hAnsi="宋体"/>
                <w:sz w:val="21"/>
                <w:szCs w:val="21"/>
              </w:rPr>
              <w:t>商业化成熟度</w:t>
            </w:r>
          </w:p>
        </w:tc>
        <w:tc>
          <w:tcPr>
            <w:tcW w:w="2006" w:type="dxa"/>
            <w:tcBorders>
              <w:bottom w:val="single" w:color="000000" w:themeColor="text1" w:sz="18" w:space="0"/>
            </w:tcBorders>
            <w:vAlign w:val="center"/>
          </w:tcPr>
          <w:p w14:paraId="407E50A5">
            <w:pPr>
              <w:spacing w:after="160" w:line="278" w:lineRule="auto"/>
              <w:ind w:firstLine="0" w:firstLineChars="0"/>
              <w:jc w:val="center"/>
              <w:rPr>
                <w:rFonts w:hint="eastAsia" w:ascii="宋体" w:hAnsi="宋体"/>
                <w:sz w:val="21"/>
                <w:szCs w:val="21"/>
              </w:rPr>
            </w:pPr>
            <w:r>
              <w:rPr>
                <w:rFonts w:ascii="宋体" w:hAnsi="宋体"/>
                <w:sz w:val="21"/>
                <w:szCs w:val="21"/>
              </w:rPr>
              <w:t>本项目建设</w:t>
            </w:r>
          </w:p>
        </w:tc>
        <w:tc>
          <w:tcPr>
            <w:tcW w:w="1255" w:type="dxa"/>
            <w:tcBorders>
              <w:bottom w:val="single" w:color="000000" w:themeColor="text1" w:sz="18" w:space="0"/>
            </w:tcBorders>
            <w:vAlign w:val="center"/>
          </w:tcPr>
          <w:p w14:paraId="00A00254">
            <w:pPr>
              <w:spacing w:after="160" w:line="278" w:lineRule="auto"/>
              <w:ind w:firstLine="0" w:firstLineChars="0"/>
              <w:jc w:val="center"/>
              <w:rPr>
                <w:rFonts w:hint="eastAsia" w:ascii="宋体" w:hAnsi="宋体"/>
                <w:sz w:val="21"/>
                <w:szCs w:val="21"/>
              </w:rPr>
            </w:pPr>
            <w:r>
              <w:rPr>
                <w:rFonts w:ascii="宋体" w:hAnsi="宋体"/>
                <w:sz w:val="21"/>
                <w:szCs w:val="21"/>
              </w:rPr>
              <w:t>★☆☆☆☆</w:t>
            </w:r>
          </w:p>
        </w:tc>
        <w:tc>
          <w:tcPr>
            <w:tcW w:w="1453" w:type="dxa"/>
            <w:tcBorders>
              <w:bottom w:val="single" w:color="000000" w:themeColor="text1" w:sz="18" w:space="0"/>
            </w:tcBorders>
            <w:vAlign w:val="center"/>
          </w:tcPr>
          <w:p w14:paraId="0AA272CC">
            <w:pPr>
              <w:spacing w:after="160" w:line="278" w:lineRule="auto"/>
              <w:ind w:firstLine="0" w:firstLineChars="0"/>
              <w:jc w:val="center"/>
              <w:rPr>
                <w:rFonts w:hint="eastAsia" w:ascii="宋体" w:hAnsi="宋体"/>
                <w:sz w:val="21"/>
                <w:szCs w:val="21"/>
              </w:rPr>
            </w:pPr>
            <w:r>
              <w:rPr>
                <w:rFonts w:ascii="宋体" w:hAnsi="宋体"/>
                <w:sz w:val="21"/>
                <w:szCs w:val="21"/>
              </w:rPr>
              <w:t>★★☆☆☆</w:t>
            </w:r>
          </w:p>
        </w:tc>
        <w:tc>
          <w:tcPr>
            <w:tcW w:w="0" w:type="auto"/>
            <w:tcBorders>
              <w:bottom w:val="single" w:color="000000" w:themeColor="text1" w:sz="18" w:space="0"/>
            </w:tcBorders>
            <w:vAlign w:val="center"/>
          </w:tcPr>
          <w:p w14:paraId="60EAE7AC">
            <w:pPr>
              <w:spacing w:after="160" w:line="278" w:lineRule="auto"/>
              <w:ind w:firstLine="0" w:firstLineChars="0"/>
              <w:jc w:val="center"/>
              <w:rPr>
                <w:rFonts w:hint="eastAsia" w:ascii="宋体" w:hAnsi="宋体"/>
                <w:sz w:val="21"/>
                <w:szCs w:val="21"/>
              </w:rPr>
            </w:pPr>
            <w:r>
              <w:rPr>
                <w:rFonts w:ascii="宋体" w:hAnsi="宋体"/>
                <w:sz w:val="21"/>
                <w:szCs w:val="21"/>
              </w:rPr>
              <w:t>★★★☆☆</w:t>
            </w:r>
          </w:p>
        </w:tc>
        <w:tc>
          <w:tcPr>
            <w:tcW w:w="1446" w:type="dxa"/>
            <w:tcBorders>
              <w:bottom w:val="single" w:color="000000" w:themeColor="text1" w:sz="18" w:space="0"/>
            </w:tcBorders>
            <w:vAlign w:val="center"/>
          </w:tcPr>
          <w:p w14:paraId="50DA1101">
            <w:pPr>
              <w:spacing w:after="160" w:line="278" w:lineRule="auto"/>
              <w:ind w:firstLine="0" w:firstLineChars="0"/>
              <w:jc w:val="center"/>
              <w:rPr>
                <w:rFonts w:hint="eastAsia" w:ascii="宋体" w:hAnsi="宋体"/>
                <w:sz w:val="21"/>
                <w:szCs w:val="21"/>
              </w:rPr>
            </w:pPr>
            <w:r>
              <w:rPr>
                <w:rFonts w:ascii="宋体" w:hAnsi="宋体"/>
                <w:sz w:val="21"/>
                <w:szCs w:val="21"/>
              </w:rPr>
              <w:t>★★★☆☆</w:t>
            </w:r>
          </w:p>
        </w:tc>
      </w:tr>
    </w:tbl>
    <w:p w14:paraId="3C6FA3A5">
      <w:pPr>
        <w:ind w:firstLine="420"/>
        <w:rPr>
          <w:rFonts w:hint="eastAsia" w:ascii="宋体" w:hAnsi="宋体"/>
          <w:sz w:val="21"/>
          <w:szCs w:val="21"/>
        </w:rPr>
      </w:pPr>
      <w:r>
        <w:rPr>
          <w:rFonts w:hint="eastAsia" w:ascii="宋体" w:hAnsi="宋体"/>
          <w:sz w:val="21"/>
          <w:szCs w:val="21"/>
        </w:rPr>
        <w:t>数据来源：行者APP路线数据、小红书内容量统计（2025年3月）</w:t>
      </w:r>
    </w:p>
    <w:p w14:paraId="79F9220E">
      <w:pPr>
        <w:ind w:firstLine="420"/>
        <w:rPr>
          <w:rFonts w:hint="eastAsia" w:ascii="宋体" w:hAnsi="宋体"/>
          <w:sz w:val="21"/>
          <w:szCs w:val="21"/>
        </w:rPr>
      </w:pPr>
      <w:r>
        <w:rPr>
          <w:rFonts w:hint="eastAsia" w:ascii="宋体" w:hAnsi="宋体"/>
          <w:sz w:val="21"/>
          <w:szCs w:val="21"/>
        </w:rPr>
        <w:t>团队通过京郊骑行路线对标分析后，发现现有路线普遍存在</w:t>
      </w:r>
      <w:r>
        <w:rPr>
          <w:rFonts w:hint="eastAsia" w:ascii="宋体" w:hAnsi="宋体"/>
          <w:b/>
          <w:bCs/>
          <w:sz w:val="21"/>
          <w:szCs w:val="21"/>
        </w:rPr>
        <w:t>“有流量无运营”</w:t>
      </w:r>
      <w:r>
        <w:rPr>
          <w:rFonts w:hint="eastAsia" w:ascii="宋体" w:hAnsi="宋体"/>
          <w:sz w:val="21"/>
          <w:szCs w:val="21"/>
        </w:rPr>
        <w:t>的情况。</w:t>
      </w:r>
    </w:p>
    <w:p w14:paraId="2738C58F">
      <w:pPr>
        <w:ind w:firstLine="420"/>
        <w:rPr>
          <w:rFonts w:hint="eastAsia" w:ascii="宋体" w:hAnsi="宋体"/>
          <w:sz w:val="21"/>
          <w:szCs w:val="21"/>
        </w:rPr>
      </w:pPr>
      <w:r>
        <w:rPr>
          <w:rFonts w:hint="eastAsia" w:ascii="宋体" w:hAnsi="宋体"/>
          <w:sz w:val="21"/>
          <w:szCs w:val="21"/>
        </w:rPr>
        <w:t>首先是小红书内容量与商业化程度不匹配。雁栖湖环线有约20000条小红书内容，但商业化程度仅3星，因为其配套主要是景区商业，骑行与消费是割裂的，这说明</w:t>
      </w:r>
      <w:r>
        <w:rPr>
          <w:rFonts w:hint="eastAsia" w:ascii="宋体" w:hAnsi="宋体"/>
          <w:b/>
          <w:bCs/>
          <w:sz w:val="21"/>
          <w:szCs w:val="21"/>
        </w:rPr>
        <w:t>内容流量并未充分转化为商业价值</w:t>
      </w:r>
      <w:r>
        <w:rPr>
          <w:rFonts w:hint="eastAsia" w:ascii="宋体" w:hAnsi="宋体"/>
          <w:sz w:val="21"/>
          <w:szCs w:val="21"/>
        </w:rPr>
        <w:t>——消费者在分享“雁栖湖骑行”时，很少关联到具体的消费品牌或产品。</w:t>
      </w:r>
    </w:p>
    <w:p w14:paraId="00264226">
      <w:pPr>
        <w:ind w:firstLine="420"/>
        <w:rPr>
          <w:rFonts w:hint="eastAsia" w:ascii="宋体" w:hAnsi="宋体"/>
          <w:sz w:val="21"/>
          <w:szCs w:val="21"/>
        </w:rPr>
      </w:pPr>
      <w:r>
        <w:rPr>
          <w:rFonts w:hint="eastAsia" w:ascii="宋体" w:hAnsi="宋体"/>
          <w:sz w:val="21"/>
          <w:szCs w:val="21"/>
        </w:rPr>
        <w:t>其次，</w:t>
      </w:r>
      <w:r>
        <w:rPr>
          <w:rFonts w:hint="eastAsia" w:ascii="宋体" w:hAnsi="宋体"/>
          <w:b/>
          <w:bCs/>
          <w:sz w:val="21"/>
          <w:szCs w:val="21"/>
        </w:rPr>
        <w:t>“骑行终点=消费闭环”是核心差异化</w:t>
      </w:r>
      <w:r>
        <w:rPr>
          <w:rFonts w:hint="eastAsia" w:ascii="宋体" w:hAnsi="宋体"/>
          <w:sz w:val="21"/>
          <w:szCs w:val="21"/>
        </w:rPr>
        <w:t>。其他路线的终点就是“返回起点”或“到达某个地标”，骑行结束后消费行为随即终止，而本项目将樱桃园设置为骑行终点，使骑行行为自然过渡到采摘、购买、体验等消费行为，形成</w:t>
      </w:r>
      <w:r>
        <w:rPr>
          <w:rFonts w:hint="eastAsia" w:ascii="宋体" w:hAnsi="宋体"/>
          <w:b/>
          <w:bCs/>
          <w:sz w:val="21"/>
          <w:szCs w:val="21"/>
        </w:rPr>
        <w:t>“引流→停留→消费→传播”</w:t>
      </w:r>
      <w:r>
        <w:rPr>
          <w:rFonts w:hint="eastAsia" w:ascii="宋体" w:hAnsi="宋体"/>
          <w:sz w:val="21"/>
          <w:szCs w:val="21"/>
        </w:rPr>
        <w:t>的完整链路。</w:t>
      </w:r>
    </w:p>
    <w:p w14:paraId="43D0905E">
      <w:pPr>
        <w:ind w:firstLine="420"/>
        <w:rPr>
          <w:rFonts w:hint="eastAsia" w:ascii="宋体" w:hAnsi="宋体"/>
          <w:sz w:val="21"/>
          <w:szCs w:val="21"/>
        </w:rPr>
      </w:pPr>
      <w:r>
        <w:rPr>
          <w:rFonts w:hint="eastAsia" w:ascii="宋体" w:hAnsi="宋体"/>
          <w:sz w:val="21"/>
          <w:szCs w:val="21"/>
        </w:rPr>
        <w:t>最后，目前社交传播设计的缺失是行业痛点。除妫河生态走廊有基础打卡系统外，其他路线均无系统化的社交传播设计，而本项目的</w:t>
      </w:r>
      <w:r>
        <w:rPr>
          <w:rFonts w:hint="eastAsia" w:ascii="宋体" w:hAnsi="宋体"/>
          <w:b/>
          <w:bCs/>
          <w:sz w:val="21"/>
          <w:szCs w:val="21"/>
        </w:rPr>
        <w:t>“GPS轨迹记录+骑行海报自动合成+分享积分激励”</w:t>
      </w:r>
      <w:r>
        <w:rPr>
          <w:rFonts w:hint="eastAsia" w:ascii="宋体" w:hAnsi="宋体"/>
          <w:sz w:val="21"/>
          <w:szCs w:val="21"/>
        </w:rPr>
        <w:t>系统，直接填补这一痛点——让每一次骑行都自动产生品牌传播内容。</w:t>
      </w:r>
    </w:p>
    <w:p w14:paraId="1D25D95E">
      <w:pPr>
        <w:ind w:firstLine="420"/>
        <w:rPr>
          <w:rFonts w:hint="eastAsia" w:ascii="宋体" w:hAnsi="宋体"/>
          <w:sz w:val="21"/>
          <w:szCs w:val="21"/>
        </w:rPr>
      </w:pPr>
      <w:r>
        <w:rPr>
          <w:rFonts w:hint="eastAsia" w:ascii="宋体" w:hAnsi="宋体"/>
          <w:sz w:val="21"/>
          <w:szCs w:val="21"/>
        </w:rPr>
        <w:t xml:space="preserve">      </w:t>
      </w:r>
      <w:r>
        <w:rPr>
          <w:rFonts w:ascii="宋体" w:hAnsi="宋体"/>
          <w:sz w:val="21"/>
          <w:szCs w:val="21"/>
        </w:rPr>
        <w:t>2025年，乡村旅游数字化进程加速，但整体仍处于“浅层数字化”阶段。城市级数字体验（AR/VR/AI/数字孪生）在文旅场景已成熟，但在乡村振兴领域应用几乎为空白。本项目的技术创新恰好填补这一“数字鸿沟”。</w:t>
      </w:r>
    </w:p>
    <w:p w14:paraId="20DCFEED">
      <w:pPr>
        <w:ind w:firstLine="420"/>
        <w:jc w:val="center"/>
        <w:rPr>
          <w:rFonts w:hint="eastAsia" w:ascii="宋体" w:hAnsi="宋体"/>
          <w:sz w:val="21"/>
          <w:szCs w:val="21"/>
        </w:rPr>
      </w:pPr>
      <w:r>
        <w:rPr>
          <w:rFonts w:hint="eastAsia" w:ascii="宋体" w:hAnsi="宋体"/>
          <w:sz w:val="21"/>
          <w:szCs w:val="21"/>
        </w:rPr>
        <w:t xml:space="preserve">表 </w:t>
      </w:r>
      <w:r>
        <w:rPr>
          <w:rFonts w:ascii="宋体" w:hAnsi="宋体"/>
          <w:sz w:val="21"/>
          <w:szCs w:val="21"/>
        </w:rPr>
        <w:t>6</w:t>
      </w:r>
      <w:r>
        <w:rPr>
          <w:rFonts w:hint="eastAsia" w:ascii="宋体" w:hAnsi="宋体"/>
          <w:sz w:val="21"/>
          <w:szCs w:val="21"/>
        </w:rPr>
        <w:t xml:space="preserve"> 乡村旅游数字化水平对标（2025年）</w:t>
      </w:r>
    </w:p>
    <w:tbl>
      <w:tblPr>
        <w:tblStyle w:val="2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16"/>
        <w:gridCol w:w="846"/>
        <w:gridCol w:w="1582"/>
        <w:gridCol w:w="1740"/>
        <w:gridCol w:w="1417"/>
        <w:gridCol w:w="1821"/>
      </w:tblGrid>
      <w:tr w14:paraId="788FA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000000" w:themeColor="text1" w:sz="18" w:space="0"/>
              <w:bottom w:val="single" w:color="000000" w:themeColor="text1" w:sz="12" w:space="0"/>
            </w:tcBorders>
          </w:tcPr>
          <w:p w14:paraId="0B5E4472">
            <w:pPr>
              <w:spacing w:after="160" w:line="278" w:lineRule="auto"/>
              <w:ind w:firstLine="0" w:firstLineChars="0"/>
              <w:rPr>
                <w:rFonts w:hint="eastAsia" w:ascii="宋体" w:hAnsi="宋体" w:cs="Times New Roman"/>
                <w:b w:val="0"/>
                <w:bCs w:val="0"/>
                <w:kern w:val="0"/>
                <w:sz w:val="21"/>
                <w:szCs w:val="21"/>
                <w14:ligatures w14:val="none"/>
              </w:rPr>
            </w:pPr>
            <w:r>
              <w:rPr>
                <w:rFonts w:hint="default" w:ascii="宋体" w:hAnsi="宋体" w:cs="Times New Roman"/>
                <w:b w:val="0"/>
                <w:bCs w:val="0"/>
                <w:kern w:val="0"/>
                <w:sz w:val="21"/>
                <w:szCs w:val="21"/>
                <w14:ligatures w14:val="none"/>
              </w:rPr>
              <w:t>技术应用</w:t>
            </w:r>
          </w:p>
        </w:tc>
        <w:tc>
          <w:tcPr>
            <w:tcW w:w="0" w:type="auto"/>
            <w:tcBorders>
              <w:top w:val="single" w:color="000000" w:themeColor="text1" w:sz="18" w:space="0"/>
              <w:bottom w:val="single" w:color="000000" w:themeColor="text1" w:sz="12" w:space="0"/>
            </w:tcBorders>
          </w:tcPr>
          <w:p w14:paraId="3D12516D">
            <w:pPr>
              <w:spacing w:after="160" w:line="278" w:lineRule="auto"/>
              <w:ind w:firstLine="0" w:firstLineChars="0"/>
              <w:rPr>
                <w:rFonts w:hint="eastAsia" w:ascii="宋体" w:hAnsi="宋体" w:cs="Times New Roman"/>
                <w:b w:val="0"/>
                <w:bCs w:val="0"/>
                <w:kern w:val="0"/>
                <w:sz w:val="21"/>
                <w:szCs w:val="21"/>
                <w14:ligatures w14:val="none"/>
              </w:rPr>
            </w:pPr>
            <w:r>
              <w:rPr>
                <w:rFonts w:hint="eastAsia" w:ascii="宋体" w:hAnsi="宋体" w:cs="宋体"/>
                <w:b w:val="0"/>
                <w:bCs w:val="0"/>
                <w:kern w:val="0"/>
                <w:sz w:val="21"/>
                <w:szCs w:val="21"/>
                <w14:ligatures w14:val="none"/>
              </w:rPr>
              <w:t>行业渗透率</w:t>
            </w:r>
          </w:p>
        </w:tc>
        <w:tc>
          <w:tcPr>
            <w:tcW w:w="0" w:type="auto"/>
            <w:tcBorders>
              <w:top w:val="single" w:color="000000" w:themeColor="text1" w:sz="18" w:space="0"/>
              <w:bottom w:val="single" w:color="000000" w:themeColor="text1" w:sz="12" w:space="0"/>
            </w:tcBorders>
          </w:tcPr>
          <w:p w14:paraId="5E9D33B5">
            <w:pPr>
              <w:spacing w:after="160" w:line="278" w:lineRule="auto"/>
              <w:ind w:firstLine="0" w:firstLineChars="0"/>
              <w:rPr>
                <w:rFonts w:hint="eastAsia" w:ascii="宋体" w:hAnsi="宋体" w:cs="Times New Roman"/>
                <w:b w:val="0"/>
                <w:bCs w:val="0"/>
                <w:kern w:val="0"/>
                <w:sz w:val="21"/>
                <w:szCs w:val="21"/>
                <w14:ligatures w14:val="none"/>
              </w:rPr>
            </w:pPr>
            <w:r>
              <w:rPr>
                <w:rFonts w:hint="eastAsia" w:ascii="宋体" w:hAnsi="宋体" w:cs="宋体"/>
                <w:b w:val="0"/>
                <w:bCs w:val="0"/>
                <w:kern w:val="0"/>
                <w:sz w:val="21"/>
                <w:szCs w:val="21"/>
                <w14:ligatures w14:val="none"/>
              </w:rPr>
              <w:t>领先案例</w:t>
            </w:r>
          </w:p>
        </w:tc>
        <w:tc>
          <w:tcPr>
            <w:tcW w:w="0" w:type="auto"/>
            <w:tcBorders>
              <w:top w:val="single" w:color="000000" w:themeColor="text1" w:sz="18" w:space="0"/>
              <w:bottom w:val="single" w:color="000000" w:themeColor="text1" w:sz="12" w:space="0"/>
            </w:tcBorders>
          </w:tcPr>
          <w:p w14:paraId="6DBE9369">
            <w:pPr>
              <w:spacing w:after="160" w:line="278" w:lineRule="auto"/>
              <w:ind w:firstLine="0" w:firstLineChars="0"/>
              <w:rPr>
                <w:rFonts w:hint="eastAsia" w:ascii="宋体" w:hAnsi="宋体" w:cs="Times New Roman"/>
                <w:b w:val="0"/>
                <w:bCs w:val="0"/>
                <w:kern w:val="0"/>
                <w:sz w:val="21"/>
                <w:szCs w:val="21"/>
                <w14:ligatures w14:val="none"/>
              </w:rPr>
            </w:pPr>
            <w:r>
              <w:rPr>
                <w:rFonts w:hint="eastAsia" w:ascii="宋体" w:hAnsi="宋体" w:cs="宋体"/>
                <w:b w:val="0"/>
                <w:bCs w:val="0"/>
                <w:kern w:val="0"/>
                <w:sz w:val="21"/>
                <w:szCs w:val="21"/>
                <w14:ligatures w14:val="none"/>
              </w:rPr>
              <w:t>本项目规划</w:t>
            </w:r>
          </w:p>
        </w:tc>
        <w:tc>
          <w:tcPr>
            <w:tcW w:w="0" w:type="auto"/>
            <w:tcBorders>
              <w:top w:val="single" w:color="000000" w:themeColor="text1" w:sz="18" w:space="0"/>
              <w:bottom w:val="single" w:color="000000" w:themeColor="text1" w:sz="12" w:space="0"/>
            </w:tcBorders>
          </w:tcPr>
          <w:p w14:paraId="087B29D6">
            <w:pPr>
              <w:spacing w:after="160" w:line="278" w:lineRule="auto"/>
              <w:ind w:firstLine="0" w:firstLineChars="0"/>
              <w:rPr>
                <w:rFonts w:hint="eastAsia" w:ascii="宋体" w:hAnsi="宋体" w:cs="Times New Roman"/>
                <w:b w:val="0"/>
                <w:bCs w:val="0"/>
                <w:kern w:val="0"/>
                <w:sz w:val="21"/>
                <w:szCs w:val="21"/>
                <w14:ligatures w14:val="none"/>
              </w:rPr>
            </w:pPr>
            <w:r>
              <w:rPr>
                <w:rFonts w:hint="eastAsia" w:ascii="宋体" w:hAnsi="宋体" w:cs="宋体"/>
                <w:b w:val="0"/>
                <w:bCs w:val="0"/>
                <w:kern w:val="0"/>
                <w:sz w:val="21"/>
                <w:szCs w:val="21"/>
                <w14:ligatures w14:val="none"/>
              </w:rPr>
              <w:t>差异化价值</w:t>
            </w:r>
          </w:p>
        </w:tc>
        <w:tc>
          <w:tcPr>
            <w:tcW w:w="0" w:type="auto"/>
            <w:tcBorders>
              <w:top w:val="single" w:color="000000" w:themeColor="text1" w:sz="18" w:space="0"/>
              <w:bottom w:val="single" w:color="000000" w:themeColor="text1" w:sz="12" w:space="0"/>
            </w:tcBorders>
          </w:tcPr>
          <w:p w14:paraId="18B4EF97">
            <w:pPr>
              <w:spacing w:after="160" w:line="278" w:lineRule="auto"/>
              <w:ind w:firstLine="0" w:firstLineChars="0"/>
              <w:rPr>
                <w:rFonts w:hint="eastAsia" w:ascii="宋体" w:hAnsi="宋体" w:cs="Times New Roman"/>
                <w:b w:val="0"/>
                <w:bCs w:val="0"/>
                <w:kern w:val="0"/>
                <w:sz w:val="21"/>
                <w:szCs w:val="21"/>
                <w14:ligatures w14:val="none"/>
              </w:rPr>
            </w:pPr>
            <w:r>
              <w:rPr>
                <w:rFonts w:hint="eastAsia" w:ascii="宋体" w:hAnsi="宋体" w:cs="宋体"/>
                <w:b w:val="0"/>
                <w:bCs w:val="0"/>
                <w:kern w:val="0"/>
                <w:sz w:val="21"/>
                <w:szCs w:val="21"/>
                <w14:ligatures w14:val="none"/>
              </w:rPr>
              <w:t>技术成熟度</w:t>
            </w:r>
          </w:p>
        </w:tc>
      </w:tr>
      <w:tr w14:paraId="051D0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000000" w:themeColor="text1" w:sz="12" w:space="0"/>
            </w:tcBorders>
          </w:tcPr>
          <w:p w14:paraId="170F2615">
            <w:pPr>
              <w:spacing w:after="160" w:line="278" w:lineRule="auto"/>
              <w:ind w:firstLine="0" w:firstLineChars="0"/>
              <w:rPr>
                <w:rFonts w:hint="eastAsia" w:ascii="宋体" w:hAnsi="宋体" w:cs="Times New Roman"/>
                <w:b w:val="0"/>
                <w:bCs w:val="0"/>
                <w:kern w:val="0"/>
                <w:sz w:val="21"/>
                <w:szCs w:val="21"/>
                <w14:ligatures w14:val="none"/>
              </w:rPr>
            </w:pPr>
            <w:r>
              <w:rPr>
                <w:rFonts w:hint="eastAsia" w:ascii="宋体" w:hAnsi="宋体" w:cs="宋体"/>
                <w:b w:val="0"/>
                <w:bCs w:val="0"/>
                <w:kern w:val="0"/>
                <w:sz w:val="21"/>
                <w:szCs w:val="21"/>
                <w14:ligatures w14:val="none"/>
              </w:rPr>
              <w:t>小程序商城</w:t>
            </w:r>
          </w:p>
        </w:tc>
        <w:tc>
          <w:tcPr>
            <w:tcW w:w="0" w:type="auto"/>
            <w:tcBorders>
              <w:top w:val="single" w:color="000000" w:themeColor="text1" w:sz="12" w:space="0"/>
            </w:tcBorders>
          </w:tcPr>
          <w:p w14:paraId="6B12B52F">
            <w:pPr>
              <w:spacing w:after="160" w:line="278" w:lineRule="auto"/>
              <w:ind w:firstLine="0" w:firstLineChars="0"/>
              <w:rPr>
                <w:rFonts w:hint="eastAsia" w:ascii="宋体" w:hAnsi="宋体" w:cs="Times New Roman"/>
                <w:kern w:val="0"/>
                <w:sz w:val="21"/>
                <w:szCs w:val="21"/>
                <w14:ligatures w14:val="none"/>
              </w:rPr>
            </w:pPr>
            <w:r>
              <w:rPr>
                <w:rFonts w:hint="eastAsia" w:ascii="宋体" w:hAnsi="宋体" w:cs="宋体"/>
                <w:kern w:val="0"/>
                <w:sz w:val="21"/>
                <w:szCs w:val="21"/>
                <w14:ligatures w14:val="none"/>
              </w:rPr>
              <w:t>约</w:t>
            </w:r>
            <w:r>
              <w:rPr>
                <w:rFonts w:ascii="宋体" w:hAnsi="宋体" w:cs="Times New Roman"/>
                <w:kern w:val="0"/>
                <w:sz w:val="21"/>
                <w:szCs w:val="21"/>
                <w14:ligatures w14:val="none"/>
              </w:rPr>
              <w:t>55%</w:t>
            </w:r>
          </w:p>
        </w:tc>
        <w:tc>
          <w:tcPr>
            <w:tcW w:w="0" w:type="auto"/>
            <w:tcBorders>
              <w:top w:val="single" w:color="000000" w:themeColor="text1" w:sz="12" w:space="0"/>
            </w:tcBorders>
          </w:tcPr>
          <w:p w14:paraId="46B30D12">
            <w:pPr>
              <w:spacing w:after="160" w:line="278" w:lineRule="auto"/>
              <w:ind w:firstLine="0" w:firstLineChars="0"/>
              <w:rPr>
                <w:rFonts w:hint="eastAsia" w:ascii="宋体" w:hAnsi="宋体" w:cs="Times New Roman"/>
                <w:kern w:val="0"/>
                <w:sz w:val="21"/>
                <w:szCs w:val="21"/>
                <w14:ligatures w14:val="none"/>
              </w:rPr>
            </w:pPr>
            <w:r>
              <w:rPr>
                <w:rFonts w:hint="eastAsia" w:ascii="宋体" w:hAnsi="宋体" w:cs="宋体"/>
                <w:kern w:val="0"/>
                <w:sz w:val="21"/>
                <w:szCs w:val="21"/>
                <w14:ligatures w14:val="none"/>
              </w:rPr>
              <w:t>基础商品展示</w:t>
            </w:r>
            <w:r>
              <w:rPr>
                <w:rFonts w:ascii="宋体" w:hAnsi="宋体" w:cs="Times New Roman"/>
                <w:kern w:val="0"/>
                <w:sz w:val="21"/>
                <w:szCs w:val="21"/>
                <w14:ligatures w14:val="none"/>
              </w:rPr>
              <w:t>+</w:t>
            </w:r>
            <w:r>
              <w:rPr>
                <w:rFonts w:hint="eastAsia" w:ascii="宋体" w:hAnsi="宋体" w:cs="宋体"/>
                <w:kern w:val="0"/>
                <w:sz w:val="21"/>
                <w:szCs w:val="21"/>
                <w14:ligatures w14:val="none"/>
              </w:rPr>
              <w:t>支付</w:t>
            </w:r>
          </w:p>
        </w:tc>
        <w:tc>
          <w:tcPr>
            <w:tcW w:w="0" w:type="auto"/>
            <w:tcBorders>
              <w:top w:val="single" w:color="000000" w:themeColor="text1" w:sz="12" w:space="0"/>
            </w:tcBorders>
          </w:tcPr>
          <w:p w14:paraId="41F87DA7">
            <w:pPr>
              <w:spacing w:after="160" w:line="278" w:lineRule="auto"/>
              <w:ind w:firstLine="0" w:firstLineChars="0"/>
              <w:rPr>
                <w:rFonts w:hint="eastAsia" w:ascii="宋体" w:hAnsi="宋体" w:cs="Times New Roman"/>
                <w:kern w:val="0"/>
                <w:sz w:val="21"/>
                <w:szCs w:val="21"/>
                <w14:ligatures w14:val="none"/>
              </w:rPr>
            </w:pPr>
            <w:r>
              <w:rPr>
                <w:rFonts w:hint="eastAsia" w:ascii="宋体" w:hAnsi="宋体" w:cs="宋体"/>
                <w:kern w:val="0"/>
                <w:sz w:val="21"/>
                <w:szCs w:val="21"/>
                <w14:ligatures w14:val="none"/>
              </w:rPr>
              <w:t>商城</w:t>
            </w:r>
            <w:r>
              <w:rPr>
                <w:rFonts w:ascii="宋体" w:hAnsi="宋体" w:cs="Times New Roman"/>
                <w:kern w:val="0"/>
                <w:sz w:val="21"/>
                <w:szCs w:val="21"/>
                <w14:ligatures w14:val="none"/>
              </w:rPr>
              <w:t>+</w:t>
            </w:r>
            <w:r>
              <w:rPr>
                <w:rFonts w:hint="eastAsia" w:ascii="宋体" w:hAnsi="宋体" w:cs="宋体"/>
                <w:kern w:val="0"/>
                <w:sz w:val="21"/>
                <w:szCs w:val="21"/>
                <w14:ligatures w14:val="none"/>
              </w:rPr>
              <w:t>会员</w:t>
            </w:r>
            <w:r>
              <w:rPr>
                <w:rFonts w:ascii="宋体" w:hAnsi="宋体" w:cs="Times New Roman"/>
                <w:kern w:val="0"/>
                <w:sz w:val="21"/>
                <w:szCs w:val="21"/>
                <w14:ligatures w14:val="none"/>
              </w:rPr>
              <w:t>+</w:t>
            </w:r>
            <w:r>
              <w:rPr>
                <w:rFonts w:hint="eastAsia" w:ascii="宋体" w:hAnsi="宋体" w:cs="宋体"/>
                <w:kern w:val="0"/>
                <w:sz w:val="21"/>
                <w:szCs w:val="21"/>
                <w14:ligatures w14:val="none"/>
              </w:rPr>
              <w:t>溯源</w:t>
            </w:r>
            <w:r>
              <w:rPr>
                <w:rFonts w:ascii="宋体" w:hAnsi="宋体" w:cs="Times New Roman"/>
                <w:kern w:val="0"/>
                <w:sz w:val="21"/>
                <w:szCs w:val="21"/>
                <w14:ligatures w14:val="none"/>
              </w:rPr>
              <w:t>+</w:t>
            </w:r>
            <w:r>
              <w:rPr>
                <w:rFonts w:hint="eastAsia" w:ascii="宋体" w:hAnsi="宋体" w:cs="宋体"/>
                <w:kern w:val="0"/>
                <w:sz w:val="21"/>
                <w:szCs w:val="21"/>
                <w14:ligatures w14:val="none"/>
              </w:rPr>
              <w:t>打卡</w:t>
            </w:r>
            <w:r>
              <w:rPr>
                <w:rFonts w:ascii="宋体" w:hAnsi="宋体" w:cs="Times New Roman"/>
                <w:kern w:val="0"/>
                <w:sz w:val="21"/>
                <w:szCs w:val="21"/>
                <w14:ligatures w14:val="none"/>
              </w:rPr>
              <w:t>+</w:t>
            </w:r>
            <w:r>
              <w:rPr>
                <w:rFonts w:hint="eastAsia" w:ascii="宋体" w:hAnsi="宋体" w:cs="宋体"/>
                <w:kern w:val="0"/>
                <w:sz w:val="21"/>
                <w:szCs w:val="21"/>
                <w14:ligatures w14:val="none"/>
              </w:rPr>
              <w:t>积分</w:t>
            </w:r>
          </w:p>
        </w:tc>
        <w:tc>
          <w:tcPr>
            <w:tcW w:w="0" w:type="auto"/>
            <w:tcBorders>
              <w:top w:val="single" w:color="000000" w:themeColor="text1" w:sz="12" w:space="0"/>
            </w:tcBorders>
          </w:tcPr>
          <w:p w14:paraId="18C93C75">
            <w:pPr>
              <w:spacing w:after="160" w:line="278" w:lineRule="auto"/>
              <w:ind w:firstLine="0" w:firstLineChars="0"/>
              <w:rPr>
                <w:rFonts w:hint="eastAsia" w:ascii="宋体" w:hAnsi="宋体" w:cs="Times New Roman"/>
                <w:kern w:val="0"/>
                <w:sz w:val="21"/>
                <w:szCs w:val="21"/>
                <w14:ligatures w14:val="none"/>
              </w:rPr>
            </w:pPr>
            <w:r>
              <w:rPr>
                <w:rFonts w:hint="eastAsia" w:ascii="宋体" w:hAnsi="宋体" w:cs="宋体"/>
                <w:kern w:val="0"/>
                <w:sz w:val="21"/>
                <w:szCs w:val="21"/>
                <w14:ligatures w14:val="none"/>
              </w:rPr>
              <w:t>功能集成度行业领先</w:t>
            </w:r>
          </w:p>
        </w:tc>
        <w:tc>
          <w:tcPr>
            <w:tcW w:w="0" w:type="auto"/>
            <w:tcBorders>
              <w:top w:val="single" w:color="000000" w:themeColor="text1" w:sz="12" w:space="0"/>
            </w:tcBorders>
          </w:tcPr>
          <w:p w14:paraId="7898AF56">
            <w:pPr>
              <w:spacing w:after="160" w:line="278" w:lineRule="auto"/>
              <w:ind w:firstLine="0" w:firstLineChars="0"/>
              <w:rPr>
                <w:rFonts w:hint="eastAsia" w:ascii="宋体" w:hAnsi="宋体" w:cs="Times New Roman"/>
                <w:kern w:val="0"/>
                <w:sz w:val="21"/>
                <w:szCs w:val="21"/>
                <w14:ligatures w14:val="none"/>
              </w:rPr>
            </w:pPr>
            <w:r>
              <w:rPr>
                <w:rFonts w:hint="eastAsia" w:ascii="宋体" w:hAnsi="宋体" w:cs="宋体"/>
                <w:kern w:val="0"/>
                <w:sz w:val="21"/>
                <w:szCs w:val="21"/>
                <w14:ligatures w14:val="none"/>
              </w:rPr>
              <w:t>成熟</w:t>
            </w:r>
          </w:p>
        </w:tc>
      </w:tr>
      <w:tr w14:paraId="42C312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524EC7B0">
            <w:pPr>
              <w:spacing w:after="160" w:line="278" w:lineRule="auto"/>
              <w:ind w:firstLine="0" w:firstLineChars="0"/>
              <w:rPr>
                <w:rFonts w:hint="eastAsia" w:ascii="宋体" w:hAnsi="宋体" w:cs="Times New Roman"/>
                <w:b w:val="0"/>
                <w:bCs w:val="0"/>
                <w:kern w:val="0"/>
                <w:sz w:val="21"/>
                <w:szCs w:val="21"/>
                <w14:ligatures w14:val="none"/>
              </w:rPr>
            </w:pPr>
            <w:r>
              <w:rPr>
                <w:rFonts w:hint="default" w:ascii="宋体" w:hAnsi="宋体" w:cs="Times New Roman"/>
                <w:b w:val="0"/>
                <w:bCs w:val="0"/>
                <w:kern w:val="0"/>
                <w:sz w:val="21"/>
                <w:szCs w:val="21"/>
                <w14:ligatures w14:val="none"/>
              </w:rPr>
              <w:t>GPS</w:t>
            </w:r>
            <w:r>
              <w:rPr>
                <w:rFonts w:hint="eastAsia" w:ascii="宋体" w:hAnsi="宋体" w:cs="宋体"/>
                <w:b w:val="0"/>
                <w:bCs w:val="0"/>
                <w:kern w:val="0"/>
                <w:sz w:val="21"/>
                <w:szCs w:val="21"/>
                <w14:ligatures w14:val="none"/>
              </w:rPr>
              <w:t>导览</w:t>
            </w:r>
            <w:r>
              <w:rPr>
                <w:rFonts w:hint="default" w:ascii="宋体" w:hAnsi="宋体" w:cs="Times New Roman"/>
                <w:b w:val="0"/>
                <w:bCs w:val="0"/>
                <w:kern w:val="0"/>
                <w:sz w:val="21"/>
                <w:szCs w:val="21"/>
                <w14:ligatures w14:val="none"/>
              </w:rPr>
              <w:t>/</w:t>
            </w:r>
            <w:r>
              <w:rPr>
                <w:rFonts w:hint="eastAsia" w:ascii="宋体" w:hAnsi="宋体" w:cs="宋体"/>
                <w:b w:val="0"/>
                <w:bCs w:val="0"/>
                <w:kern w:val="0"/>
                <w:sz w:val="21"/>
                <w:szCs w:val="21"/>
                <w14:ligatures w14:val="none"/>
              </w:rPr>
              <w:t>打卡</w:t>
            </w:r>
          </w:p>
        </w:tc>
        <w:tc>
          <w:tcPr>
            <w:tcW w:w="0" w:type="auto"/>
          </w:tcPr>
          <w:p w14:paraId="0F7548C2">
            <w:pPr>
              <w:spacing w:after="160" w:line="278" w:lineRule="auto"/>
              <w:ind w:firstLine="0" w:firstLineChars="0"/>
              <w:rPr>
                <w:rFonts w:hint="eastAsia" w:ascii="宋体" w:hAnsi="宋体" w:cs="Times New Roman"/>
                <w:kern w:val="0"/>
                <w:sz w:val="21"/>
                <w:szCs w:val="21"/>
                <w14:ligatures w14:val="none"/>
              </w:rPr>
            </w:pPr>
            <w:r>
              <w:rPr>
                <w:rFonts w:ascii="宋体" w:hAnsi="宋体" w:cs="Times New Roman"/>
                <w:kern w:val="0"/>
                <w:sz w:val="21"/>
                <w:szCs w:val="21"/>
                <w14:ligatures w14:val="none"/>
              </w:rPr>
              <w:t>&lt;8%</w:t>
            </w:r>
          </w:p>
        </w:tc>
        <w:tc>
          <w:tcPr>
            <w:tcW w:w="0" w:type="auto"/>
          </w:tcPr>
          <w:p w14:paraId="4665E872">
            <w:pPr>
              <w:spacing w:after="160" w:line="278" w:lineRule="auto"/>
              <w:ind w:firstLine="0" w:firstLineChars="0"/>
              <w:rPr>
                <w:rFonts w:hint="eastAsia" w:ascii="宋体" w:hAnsi="宋体" w:cs="Times New Roman"/>
                <w:kern w:val="0"/>
                <w:sz w:val="21"/>
                <w:szCs w:val="21"/>
                <w14:ligatures w14:val="none"/>
              </w:rPr>
            </w:pPr>
            <w:r>
              <w:rPr>
                <w:rFonts w:hint="eastAsia" w:ascii="宋体" w:hAnsi="宋体" w:cs="宋体"/>
                <w:kern w:val="0"/>
                <w:sz w:val="21"/>
                <w:szCs w:val="21"/>
                <w14:ligatures w14:val="none"/>
              </w:rPr>
              <w:t>部分景区有（故宫</w:t>
            </w:r>
            <w:r>
              <w:rPr>
                <w:rFonts w:ascii="宋体" w:hAnsi="宋体" w:cs="Times New Roman"/>
                <w:kern w:val="0"/>
                <w:sz w:val="21"/>
                <w:szCs w:val="21"/>
                <w14:ligatures w14:val="none"/>
              </w:rPr>
              <w:t>/</w:t>
            </w:r>
            <w:r>
              <w:rPr>
                <w:rFonts w:hint="eastAsia" w:ascii="宋体" w:hAnsi="宋体" w:cs="宋体"/>
                <w:kern w:val="0"/>
                <w:sz w:val="21"/>
                <w:szCs w:val="21"/>
                <w14:ligatures w14:val="none"/>
              </w:rPr>
              <w:t>颐和园）</w:t>
            </w:r>
          </w:p>
        </w:tc>
        <w:tc>
          <w:tcPr>
            <w:tcW w:w="0" w:type="auto"/>
          </w:tcPr>
          <w:p w14:paraId="3CB62168">
            <w:pPr>
              <w:spacing w:after="160" w:line="278" w:lineRule="auto"/>
              <w:ind w:firstLine="0" w:firstLineChars="0"/>
              <w:rPr>
                <w:rFonts w:hint="eastAsia" w:ascii="宋体" w:hAnsi="宋体" w:cs="Times New Roman"/>
                <w:kern w:val="0"/>
                <w:sz w:val="21"/>
                <w:szCs w:val="21"/>
                <w14:ligatures w14:val="none"/>
              </w:rPr>
            </w:pPr>
            <w:r>
              <w:rPr>
                <w:rFonts w:hint="eastAsia" w:ascii="宋体" w:hAnsi="宋体" w:cs="宋体"/>
                <w:kern w:val="0"/>
                <w:sz w:val="21"/>
                <w:szCs w:val="21"/>
                <w14:ligatures w14:val="none"/>
              </w:rPr>
              <w:t>骑行</w:t>
            </w:r>
            <w:r>
              <w:rPr>
                <w:rFonts w:ascii="宋体" w:hAnsi="宋体" w:cs="Times New Roman"/>
                <w:kern w:val="0"/>
                <w:sz w:val="21"/>
                <w:szCs w:val="21"/>
                <w14:ligatures w14:val="none"/>
              </w:rPr>
              <w:t>GPS+</w:t>
            </w:r>
            <w:r>
              <w:rPr>
                <w:rFonts w:hint="eastAsia" w:ascii="宋体" w:hAnsi="宋体" w:cs="宋体"/>
                <w:kern w:val="0"/>
                <w:sz w:val="21"/>
                <w:szCs w:val="21"/>
                <w14:ligatures w14:val="none"/>
              </w:rPr>
              <w:t>自动打卡</w:t>
            </w:r>
            <w:r>
              <w:rPr>
                <w:rFonts w:ascii="宋体" w:hAnsi="宋体" w:cs="Times New Roman"/>
                <w:kern w:val="0"/>
                <w:sz w:val="21"/>
                <w:szCs w:val="21"/>
                <w14:ligatures w14:val="none"/>
              </w:rPr>
              <w:t>+</w:t>
            </w:r>
            <w:r>
              <w:rPr>
                <w:rFonts w:hint="eastAsia" w:ascii="宋体" w:hAnsi="宋体" w:cs="宋体"/>
                <w:kern w:val="0"/>
                <w:sz w:val="21"/>
                <w:szCs w:val="21"/>
                <w14:ligatures w14:val="none"/>
              </w:rPr>
              <w:t>海报合成</w:t>
            </w:r>
          </w:p>
        </w:tc>
        <w:tc>
          <w:tcPr>
            <w:tcW w:w="0" w:type="auto"/>
          </w:tcPr>
          <w:p w14:paraId="463B13CD">
            <w:pPr>
              <w:spacing w:after="160" w:line="278" w:lineRule="auto"/>
              <w:ind w:firstLine="0" w:firstLineChars="0"/>
              <w:rPr>
                <w:rFonts w:hint="eastAsia" w:ascii="宋体" w:hAnsi="宋体" w:cs="Times New Roman"/>
                <w:kern w:val="0"/>
                <w:sz w:val="21"/>
                <w:szCs w:val="21"/>
                <w14:ligatures w14:val="none"/>
              </w:rPr>
            </w:pPr>
            <w:r>
              <w:rPr>
                <w:rFonts w:hint="eastAsia" w:ascii="宋体" w:hAnsi="宋体" w:cs="宋体"/>
                <w:kern w:val="0"/>
                <w:sz w:val="21"/>
                <w:szCs w:val="21"/>
                <w14:ligatures w14:val="none"/>
              </w:rPr>
              <w:t>乡村旅游领域首创</w:t>
            </w:r>
          </w:p>
        </w:tc>
        <w:tc>
          <w:tcPr>
            <w:tcW w:w="0" w:type="auto"/>
          </w:tcPr>
          <w:p w14:paraId="70B851FB">
            <w:pPr>
              <w:spacing w:after="160" w:line="278" w:lineRule="auto"/>
              <w:ind w:firstLine="0" w:firstLineChars="0"/>
              <w:rPr>
                <w:rFonts w:hint="eastAsia" w:ascii="宋体" w:hAnsi="宋体" w:cs="Times New Roman"/>
                <w:kern w:val="0"/>
                <w:sz w:val="21"/>
                <w:szCs w:val="21"/>
                <w14:ligatures w14:val="none"/>
              </w:rPr>
            </w:pPr>
            <w:r>
              <w:rPr>
                <w:rFonts w:hint="eastAsia" w:ascii="宋体" w:hAnsi="宋体" w:cs="宋体"/>
                <w:kern w:val="0"/>
                <w:sz w:val="21"/>
                <w:szCs w:val="21"/>
                <w14:ligatures w14:val="none"/>
              </w:rPr>
              <w:t>成熟</w:t>
            </w:r>
          </w:p>
        </w:tc>
      </w:tr>
      <w:tr w14:paraId="470157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59673FED">
            <w:pPr>
              <w:spacing w:after="160" w:line="278" w:lineRule="auto"/>
              <w:ind w:firstLine="0" w:firstLineChars="0"/>
              <w:rPr>
                <w:rFonts w:hint="eastAsia" w:ascii="宋体" w:hAnsi="宋体" w:cs="Times New Roman"/>
                <w:b w:val="0"/>
                <w:bCs w:val="0"/>
                <w:kern w:val="0"/>
                <w:sz w:val="21"/>
                <w:szCs w:val="21"/>
                <w14:ligatures w14:val="none"/>
              </w:rPr>
            </w:pPr>
            <w:r>
              <w:rPr>
                <w:rFonts w:hint="eastAsia" w:ascii="宋体" w:hAnsi="宋体" w:cs="宋体"/>
                <w:b w:val="0"/>
                <w:bCs w:val="0"/>
                <w:kern w:val="0"/>
                <w:sz w:val="21"/>
                <w:szCs w:val="21"/>
                <w14:ligatures w14:val="none"/>
              </w:rPr>
              <w:t>数字孪生</w:t>
            </w:r>
          </w:p>
        </w:tc>
        <w:tc>
          <w:tcPr>
            <w:tcW w:w="0" w:type="auto"/>
          </w:tcPr>
          <w:p w14:paraId="3742F6F7">
            <w:pPr>
              <w:spacing w:after="160" w:line="278" w:lineRule="auto"/>
              <w:ind w:firstLine="0" w:firstLineChars="0"/>
              <w:rPr>
                <w:rFonts w:hint="eastAsia" w:ascii="宋体" w:hAnsi="宋体" w:cs="Times New Roman"/>
                <w:kern w:val="0"/>
                <w:sz w:val="21"/>
                <w:szCs w:val="21"/>
                <w14:ligatures w14:val="none"/>
              </w:rPr>
            </w:pPr>
            <w:r>
              <w:rPr>
                <w:rFonts w:ascii="宋体" w:hAnsi="宋体" w:cs="Times New Roman"/>
                <w:kern w:val="0"/>
                <w:sz w:val="21"/>
                <w:szCs w:val="21"/>
                <w14:ligatures w14:val="none"/>
              </w:rPr>
              <w:t>&lt;1%</w:t>
            </w:r>
          </w:p>
        </w:tc>
        <w:tc>
          <w:tcPr>
            <w:tcW w:w="0" w:type="auto"/>
          </w:tcPr>
          <w:p w14:paraId="70EA92A4">
            <w:pPr>
              <w:spacing w:after="160" w:line="278" w:lineRule="auto"/>
              <w:ind w:firstLine="0" w:firstLineChars="0"/>
              <w:rPr>
                <w:rFonts w:hint="eastAsia" w:ascii="宋体" w:hAnsi="宋体" w:cs="Times New Roman"/>
                <w:kern w:val="0"/>
                <w:sz w:val="21"/>
                <w:szCs w:val="21"/>
                <w14:ligatures w14:val="none"/>
              </w:rPr>
            </w:pPr>
            <w:r>
              <w:rPr>
                <w:rFonts w:hint="eastAsia" w:ascii="宋体" w:hAnsi="宋体" w:cs="宋体"/>
                <w:kern w:val="0"/>
                <w:sz w:val="21"/>
                <w:szCs w:val="21"/>
                <w14:ligatures w14:val="none"/>
              </w:rPr>
              <w:t>城市博物馆</w:t>
            </w:r>
            <w:r>
              <w:rPr>
                <w:rFonts w:ascii="宋体" w:hAnsi="宋体" w:cs="Times New Roman"/>
                <w:kern w:val="0"/>
                <w:sz w:val="21"/>
                <w:szCs w:val="21"/>
                <w14:ligatures w14:val="none"/>
              </w:rPr>
              <w:t>/</w:t>
            </w:r>
            <w:r>
              <w:rPr>
                <w:rFonts w:hint="eastAsia" w:ascii="宋体" w:hAnsi="宋体" w:cs="宋体"/>
                <w:kern w:val="0"/>
                <w:sz w:val="21"/>
                <w:szCs w:val="21"/>
                <w14:ligatures w14:val="none"/>
              </w:rPr>
              <w:t>科技馆</w:t>
            </w:r>
          </w:p>
        </w:tc>
        <w:tc>
          <w:tcPr>
            <w:tcW w:w="0" w:type="auto"/>
          </w:tcPr>
          <w:p w14:paraId="36D4702F">
            <w:pPr>
              <w:spacing w:after="160" w:line="278" w:lineRule="auto"/>
              <w:ind w:firstLine="0" w:firstLineChars="0"/>
              <w:rPr>
                <w:rFonts w:hint="eastAsia" w:ascii="宋体" w:hAnsi="宋体" w:cs="Times New Roman"/>
                <w:kern w:val="0"/>
                <w:sz w:val="21"/>
                <w:szCs w:val="21"/>
                <w14:ligatures w14:val="none"/>
              </w:rPr>
            </w:pPr>
            <w:r>
              <w:rPr>
                <w:rFonts w:hint="eastAsia" w:ascii="宋体" w:hAnsi="宋体" w:cs="宋体"/>
                <w:kern w:val="0"/>
                <w:sz w:val="21"/>
                <w:szCs w:val="21"/>
                <w14:ligatures w14:val="none"/>
              </w:rPr>
              <w:t>认养果树数字孪生</w:t>
            </w:r>
            <w:r>
              <w:rPr>
                <w:rFonts w:ascii="宋体" w:hAnsi="宋体" w:cs="Times New Roman"/>
                <w:kern w:val="0"/>
                <w:sz w:val="21"/>
                <w:szCs w:val="21"/>
                <w14:ligatures w14:val="none"/>
              </w:rPr>
              <w:t>+AI</w:t>
            </w:r>
            <w:r>
              <w:rPr>
                <w:rFonts w:hint="eastAsia" w:ascii="宋体" w:hAnsi="宋体" w:cs="宋体"/>
                <w:kern w:val="0"/>
                <w:sz w:val="21"/>
                <w:szCs w:val="21"/>
                <w14:ligatures w14:val="none"/>
              </w:rPr>
              <w:t>成长日记</w:t>
            </w:r>
          </w:p>
        </w:tc>
        <w:tc>
          <w:tcPr>
            <w:tcW w:w="0" w:type="auto"/>
          </w:tcPr>
          <w:p w14:paraId="1D6317D8">
            <w:pPr>
              <w:spacing w:after="160" w:line="278" w:lineRule="auto"/>
              <w:ind w:firstLine="0" w:firstLineChars="0"/>
              <w:rPr>
                <w:rFonts w:hint="eastAsia" w:ascii="宋体" w:hAnsi="宋体" w:cs="Times New Roman"/>
                <w:kern w:val="0"/>
                <w:sz w:val="21"/>
                <w:szCs w:val="21"/>
                <w14:ligatures w14:val="none"/>
              </w:rPr>
            </w:pPr>
            <w:r>
              <w:rPr>
                <w:rFonts w:hint="eastAsia" w:ascii="宋体" w:hAnsi="宋体" w:cs="宋体"/>
                <w:kern w:val="0"/>
                <w:sz w:val="21"/>
                <w:szCs w:val="21"/>
                <w14:ligatures w14:val="none"/>
              </w:rPr>
              <w:t>乡村振兴领域首创</w:t>
            </w:r>
          </w:p>
        </w:tc>
        <w:tc>
          <w:tcPr>
            <w:tcW w:w="0" w:type="auto"/>
          </w:tcPr>
          <w:p w14:paraId="12E2D1CF">
            <w:pPr>
              <w:spacing w:after="160" w:line="278" w:lineRule="auto"/>
              <w:ind w:firstLine="0" w:firstLineChars="0"/>
              <w:rPr>
                <w:rFonts w:hint="eastAsia" w:ascii="宋体" w:hAnsi="宋体" w:cs="Times New Roman"/>
                <w:kern w:val="0"/>
                <w:sz w:val="21"/>
                <w:szCs w:val="21"/>
                <w14:ligatures w14:val="none"/>
              </w:rPr>
            </w:pPr>
            <w:r>
              <w:rPr>
                <w:rFonts w:hint="eastAsia" w:ascii="宋体" w:hAnsi="宋体" w:cs="宋体"/>
                <w:kern w:val="0"/>
                <w:sz w:val="21"/>
                <w:szCs w:val="21"/>
                <w14:ligatures w14:val="none"/>
              </w:rPr>
              <w:t>成熟</w:t>
            </w:r>
          </w:p>
        </w:tc>
      </w:tr>
      <w:tr w14:paraId="6EEFE5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7C54F711">
            <w:pPr>
              <w:spacing w:after="160" w:line="278" w:lineRule="auto"/>
              <w:ind w:firstLine="0" w:firstLineChars="0"/>
              <w:rPr>
                <w:rFonts w:hint="eastAsia" w:ascii="宋体" w:hAnsi="宋体" w:cs="Times New Roman"/>
                <w:b w:val="0"/>
                <w:bCs w:val="0"/>
                <w:kern w:val="0"/>
                <w:sz w:val="21"/>
                <w:szCs w:val="21"/>
                <w14:ligatures w14:val="none"/>
              </w:rPr>
            </w:pPr>
            <w:r>
              <w:rPr>
                <w:rFonts w:hint="default" w:ascii="宋体" w:hAnsi="宋体" w:cs="Times New Roman"/>
                <w:b w:val="0"/>
                <w:bCs w:val="0"/>
                <w:kern w:val="0"/>
                <w:sz w:val="21"/>
                <w:szCs w:val="21"/>
                <w14:ligatures w14:val="none"/>
              </w:rPr>
              <w:t>AR</w:t>
            </w:r>
            <w:r>
              <w:rPr>
                <w:rFonts w:hint="eastAsia" w:ascii="宋体" w:hAnsi="宋体" w:cs="宋体"/>
                <w:b w:val="0"/>
                <w:bCs w:val="0"/>
                <w:kern w:val="0"/>
                <w:sz w:val="21"/>
                <w:szCs w:val="21"/>
                <w14:ligatures w14:val="none"/>
              </w:rPr>
              <w:t>导览</w:t>
            </w:r>
          </w:p>
        </w:tc>
        <w:tc>
          <w:tcPr>
            <w:tcW w:w="0" w:type="auto"/>
          </w:tcPr>
          <w:p w14:paraId="4F739A82">
            <w:pPr>
              <w:spacing w:after="160" w:line="278" w:lineRule="auto"/>
              <w:ind w:firstLine="0" w:firstLineChars="0"/>
              <w:rPr>
                <w:rFonts w:hint="eastAsia" w:ascii="宋体" w:hAnsi="宋体" w:cs="Times New Roman"/>
                <w:kern w:val="0"/>
                <w:sz w:val="21"/>
                <w:szCs w:val="21"/>
                <w14:ligatures w14:val="none"/>
              </w:rPr>
            </w:pPr>
            <w:r>
              <w:rPr>
                <w:rFonts w:ascii="宋体" w:hAnsi="宋体" w:cs="Times New Roman"/>
                <w:kern w:val="0"/>
                <w:sz w:val="21"/>
                <w:szCs w:val="21"/>
                <w14:ligatures w14:val="none"/>
              </w:rPr>
              <w:t>&lt;5%</w:t>
            </w:r>
          </w:p>
        </w:tc>
        <w:tc>
          <w:tcPr>
            <w:tcW w:w="0" w:type="auto"/>
          </w:tcPr>
          <w:p w14:paraId="78FEB70B">
            <w:pPr>
              <w:spacing w:after="160" w:line="278" w:lineRule="auto"/>
              <w:ind w:firstLine="0" w:firstLineChars="0"/>
              <w:rPr>
                <w:rFonts w:hint="eastAsia" w:ascii="宋体" w:hAnsi="宋体" w:cs="Times New Roman"/>
                <w:kern w:val="0"/>
                <w:sz w:val="21"/>
                <w:szCs w:val="21"/>
                <w14:ligatures w14:val="none"/>
              </w:rPr>
            </w:pPr>
            <w:r>
              <w:rPr>
                <w:rFonts w:hint="eastAsia" w:ascii="宋体" w:hAnsi="宋体" w:cs="宋体"/>
                <w:kern w:val="0"/>
                <w:sz w:val="21"/>
                <w:szCs w:val="21"/>
                <w14:ligatures w14:val="none"/>
              </w:rPr>
              <w:t>故宫</w:t>
            </w:r>
            <w:r>
              <w:rPr>
                <w:rFonts w:ascii="宋体" w:hAnsi="宋体" w:cs="Times New Roman"/>
                <w:kern w:val="0"/>
                <w:sz w:val="21"/>
                <w:szCs w:val="21"/>
                <w14:ligatures w14:val="none"/>
              </w:rPr>
              <w:t>/</w:t>
            </w:r>
            <w:r>
              <w:rPr>
                <w:rFonts w:hint="eastAsia" w:ascii="宋体" w:hAnsi="宋体" w:cs="宋体"/>
                <w:kern w:val="0"/>
                <w:sz w:val="21"/>
                <w:szCs w:val="21"/>
                <w14:ligatures w14:val="none"/>
              </w:rPr>
              <w:t>敦煌</w:t>
            </w:r>
            <w:r>
              <w:rPr>
                <w:rFonts w:ascii="宋体" w:hAnsi="宋体" w:cs="Times New Roman"/>
                <w:kern w:val="0"/>
                <w:sz w:val="21"/>
                <w:szCs w:val="21"/>
                <w14:ligatures w14:val="none"/>
              </w:rPr>
              <w:t>/</w:t>
            </w:r>
            <w:r>
              <w:rPr>
                <w:rFonts w:hint="eastAsia" w:ascii="宋体" w:hAnsi="宋体" w:cs="宋体"/>
                <w:kern w:val="0"/>
                <w:sz w:val="21"/>
                <w:szCs w:val="21"/>
                <w14:ligatures w14:val="none"/>
              </w:rPr>
              <w:t>三星堆</w:t>
            </w:r>
          </w:p>
        </w:tc>
        <w:tc>
          <w:tcPr>
            <w:tcW w:w="0" w:type="auto"/>
          </w:tcPr>
          <w:p w14:paraId="69AF071D">
            <w:pPr>
              <w:spacing w:after="160" w:line="278" w:lineRule="auto"/>
              <w:ind w:firstLine="0" w:firstLineChars="0"/>
              <w:rPr>
                <w:rFonts w:hint="eastAsia" w:ascii="宋体" w:hAnsi="宋体" w:cs="Times New Roman"/>
                <w:kern w:val="0"/>
                <w:sz w:val="21"/>
                <w:szCs w:val="21"/>
                <w14:ligatures w14:val="none"/>
              </w:rPr>
            </w:pPr>
            <w:r>
              <w:rPr>
                <w:rFonts w:ascii="宋体" w:hAnsi="宋体" w:cs="Times New Roman"/>
                <w:kern w:val="0"/>
                <w:sz w:val="21"/>
                <w:szCs w:val="21"/>
                <w14:ligatures w14:val="none"/>
              </w:rPr>
              <w:t>AR</w:t>
            </w:r>
            <w:r>
              <w:rPr>
                <w:rFonts w:hint="eastAsia" w:ascii="宋体" w:hAnsi="宋体" w:cs="宋体"/>
                <w:kern w:val="0"/>
                <w:sz w:val="21"/>
                <w:szCs w:val="21"/>
                <w14:ligatures w14:val="none"/>
              </w:rPr>
              <w:t>水源科普</w:t>
            </w:r>
            <w:r>
              <w:rPr>
                <w:rFonts w:ascii="宋体" w:hAnsi="宋体" w:cs="Times New Roman"/>
                <w:kern w:val="0"/>
                <w:sz w:val="21"/>
                <w:szCs w:val="21"/>
                <w14:ligatures w14:val="none"/>
              </w:rPr>
              <w:t>+</w:t>
            </w:r>
            <w:r>
              <w:rPr>
                <w:rFonts w:hint="eastAsia" w:ascii="宋体" w:hAnsi="宋体" w:cs="宋体"/>
                <w:kern w:val="0"/>
                <w:sz w:val="21"/>
                <w:szCs w:val="21"/>
                <w14:ligatures w14:val="none"/>
              </w:rPr>
              <w:t>天文指引</w:t>
            </w:r>
            <w:r>
              <w:rPr>
                <w:rFonts w:ascii="宋体" w:hAnsi="宋体" w:cs="Times New Roman"/>
                <w:kern w:val="0"/>
                <w:sz w:val="21"/>
                <w:szCs w:val="21"/>
                <w14:ligatures w14:val="none"/>
              </w:rPr>
              <w:t>+</w:t>
            </w:r>
            <w:r>
              <w:rPr>
                <w:rFonts w:hint="eastAsia" w:ascii="宋体" w:hAnsi="宋体" w:cs="宋体"/>
                <w:kern w:val="0"/>
                <w:sz w:val="21"/>
                <w:szCs w:val="21"/>
                <w14:ligatures w14:val="none"/>
              </w:rPr>
              <w:t>四季影像</w:t>
            </w:r>
          </w:p>
        </w:tc>
        <w:tc>
          <w:tcPr>
            <w:tcW w:w="0" w:type="auto"/>
          </w:tcPr>
          <w:p w14:paraId="3C60BD4C">
            <w:pPr>
              <w:spacing w:after="160" w:line="278" w:lineRule="auto"/>
              <w:ind w:firstLine="0" w:firstLineChars="0"/>
              <w:rPr>
                <w:rFonts w:hint="eastAsia" w:ascii="宋体" w:hAnsi="宋体" w:cs="Times New Roman"/>
                <w:kern w:val="0"/>
                <w:sz w:val="21"/>
                <w:szCs w:val="21"/>
                <w14:ligatures w14:val="none"/>
              </w:rPr>
            </w:pPr>
            <w:r>
              <w:rPr>
                <w:rFonts w:hint="eastAsia" w:ascii="宋体" w:hAnsi="宋体" w:cs="宋体"/>
                <w:kern w:val="0"/>
                <w:sz w:val="21"/>
                <w:szCs w:val="21"/>
                <w14:ligatures w14:val="none"/>
              </w:rPr>
              <w:t>将城市级体验引入乡村</w:t>
            </w:r>
          </w:p>
        </w:tc>
        <w:tc>
          <w:tcPr>
            <w:tcW w:w="0" w:type="auto"/>
          </w:tcPr>
          <w:p w14:paraId="61E144F3">
            <w:pPr>
              <w:spacing w:after="160" w:line="278" w:lineRule="auto"/>
              <w:ind w:firstLine="0" w:firstLineChars="0"/>
              <w:rPr>
                <w:rFonts w:hint="eastAsia" w:ascii="宋体" w:hAnsi="宋体" w:cs="Times New Roman"/>
                <w:kern w:val="0"/>
                <w:sz w:val="21"/>
                <w:szCs w:val="21"/>
                <w14:ligatures w14:val="none"/>
              </w:rPr>
            </w:pPr>
            <w:r>
              <w:rPr>
                <w:rFonts w:hint="eastAsia" w:ascii="宋体" w:hAnsi="宋体" w:cs="宋体"/>
                <w:kern w:val="0"/>
                <w:sz w:val="21"/>
                <w:szCs w:val="21"/>
                <w14:ligatures w14:val="none"/>
              </w:rPr>
              <w:t>成熟（小程序</w:t>
            </w:r>
            <w:r>
              <w:rPr>
                <w:rFonts w:ascii="宋体" w:hAnsi="宋体" w:cs="Times New Roman"/>
                <w:kern w:val="0"/>
                <w:sz w:val="21"/>
                <w:szCs w:val="21"/>
                <w14:ligatures w14:val="none"/>
              </w:rPr>
              <w:t>AR</w:t>
            </w:r>
            <w:r>
              <w:rPr>
                <w:rFonts w:hint="eastAsia" w:ascii="宋体" w:hAnsi="宋体" w:cs="宋体"/>
                <w:kern w:val="0"/>
                <w:sz w:val="21"/>
                <w:szCs w:val="21"/>
                <w14:ligatures w14:val="none"/>
              </w:rPr>
              <w:t>插件）</w:t>
            </w:r>
          </w:p>
        </w:tc>
      </w:tr>
      <w:tr w14:paraId="652303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1F94303C">
            <w:pPr>
              <w:spacing w:after="160" w:line="278" w:lineRule="auto"/>
              <w:ind w:firstLine="0" w:firstLineChars="0"/>
              <w:rPr>
                <w:rFonts w:hint="eastAsia" w:ascii="宋体" w:hAnsi="宋体" w:cs="Times New Roman"/>
                <w:b w:val="0"/>
                <w:bCs w:val="0"/>
                <w:kern w:val="0"/>
                <w:sz w:val="21"/>
                <w:szCs w:val="21"/>
                <w14:ligatures w14:val="none"/>
              </w:rPr>
            </w:pPr>
            <w:r>
              <w:rPr>
                <w:rFonts w:hint="default" w:ascii="宋体" w:hAnsi="宋体" w:cs="Times New Roman"/>
                <w:b w:val="0"/>
                <w:bCs w:val="0"/>
                <w:kern w:val="0"/>
                <w:sz w:val="21"/>
                <w:szCs w:val="21"/>
                <w14:ligatures w14:val="none"/>
              </w:rPr>
              <w:t>AI</w:t>
            </w:r>
            <w:r>
              <w:rPr>
                <w:rFonts w:hint="eastAsia" w:ascii="宋体" w:hAnsi="宋体" w:cs="宋体"/>
                <w:b w:val="0"/>
                <w:bCs w:val="0"/>
                <w:kern w:val="0"/>
                <w:sz w:val="21"/>
                <w:szCs w:val="21"/>
                <w14:ligatures w14:val="none"/>
              </w:rPr>
              <w:t>个性化推荐</w:t>
            </w:r>
          </w:p>
        </w:tc>
        <w:tc>
          <w:tcPr>
            <w:tcW w:w="0" w:type="auto"/>
          </w:tcPr>
          <w:p w14:paraId="6A467D69">
            <w:pPr>
              <w:spacing w:after="160" w:line="278" w:lineRule="auto"/>
              <w:ind w:firstLine="0" w:firstLineChars="0"/>
              <w:rPr>
                <w:rFonts w:hint="eastAsia" w:ascii="宋体" w:hAnsi="宋体" w:cs="Times New Roman"/>
                <w:kern w:val="0"/>
                <w:sz w:val="21"/>
                <w:szCs w:val="21"/>
                <w14:ligatures w14:val="none"/>
              </w:rPr>
            </w:pPr>
            <w:r>
              <w:rPr>
                <w:rFonts w:ascii="宋体" w:hAnsi="宋体" w:cs="Times New Roman"/>
                <w:kern w:val="0"/>
                <w:sz w:val="21"/>
                <w:szCs w:val="21"/>
                <w14:ligatures w14:val="none"/>
              </w:rPr>
              <w:t>&lt;3%</w:t>
            </w:r>
          </w:p>
        </w:tc>
        <w:tc>
          <w:tcPr>
            <w:tcW w:w="0" w:type="auto"/>
          </w:tcPr>
          <w:p w14:paraId="4C0A045B">
            <w:pPr>
              <w:spacing w:after="160" w:line="278" w:lineRule="auto"/>
              <w:ind w:firstLine="0" w:firstLineChars="0"/>
              <w:rPr>
                <w:rFonts w:hint="eastAsia" w:ascii="宋体" w:hAnsi="宋体" w:cs="Times New Roman"/>
                <w:kern w:val="0"/>
                <w:sz w:val="21"/>
                <w:szCs w:val="21"/>
                <w14:ligatures w14:val="none"/>
              </w:rPr>
            </w:pPr>
            <w:r>
              <w:rPr>
                <w:rFonts w:ascii="宋体" w:hAnsi="宋体" w:cs="Times New Roman"/>
                <w:kern w:val="0"/>
                <w:sz w:val="21"/>
                <w:szCs w:val="21"/>
                <w14:ligatures w14:val="none"/>
              </w:rPr>
              <w:t>OTA</w:t>
            </w:r>
            <w:r>
              <w:rPr>
                <w:rFonts w:hint="eastAsia" w:ascii="宋体" w:hAnsi="宋体" w:cs="宋体"/>
                <w:kern w:val="0"/>
                <w:sz w:val="21"/>
                <w:szCs w:val="21"/>
                <w14:ligatures w14:val="none"/>
              </w:rPr>
              <w:t>平台（携程</w:t>
            </w:r>
            <w:r>
              <w:rPr>
                <w:rFonts w:ascii="宋体" w:hAnsi="宋体" w:cs="Times New Roman"/>
                <w:kern w:val="0"/>
                <w:sz w:val="21"/>
                <w:szCs w:val="21"/>
                <w14:ligatures w14:val="none"/>
              </w:rPr>
              <w:t>/</w:t>
            </w:r>
            <w:r>
              <w:rPr>
                <w:rFonts w:hint="eastAsia" w:ascii="宋体" w:hAnsi="宋体" w:cs="宋体"/>
                <w:kern w:val="0"/>
                <w:sz w:val="21"/>
                <w:szCs w:val="21"/>
                <w14:ligatures w14:val="none"/>
              </w:rPr>
              <w:t>美团）</w:t>
            </w:r>
          </w:p>
        </w:tc>
        <w:tc>
          <w:tcPr>
            <w:tcW w:w="0" w:type="auto"/>
          </w:tcPr>
          <w:p w14:paraId="76408FFD">
            <w:pPr>
              <w:spacing w:after="160" w:line="278" w:lineRule="auto"/>
              <w:ind w:firstLine="0" w:firstLineChars="0"/>
              <w:rPr>
                <w:rFonts w:hint="eastAsia" w:ascii="宋体" w:hAnsi="宋体" w:cs="Times New Roman"/>
                <w:kern w:val="0"/>
                <w:sz w:val="21"/>
                <w:szCs w:val="21"/>
                <w14:ligatures w14:val="none"/>
              </w:rPr>
            </w:pPr>
            <w:r>
              <w:rPr>
                <w:rFonts w:hint="eastAsia" w:ascii="宋体" w:hAnsi="宋体" w:cs="宋体"/>
                <w:kern w:val="0"/>
                <w:sz w:val="21"/>
                <w:szCs w:val="21"/>
                <w14:ligatures w14:val="none"/>
              </w:rPr>
              <w:t>基于季节</w:t>
            </w:r>
            <w:r>
              <w:rPr>
                <w:rFonts w:ascii="宋体" w:hAnsi="宋体" w:cs="Times New Roman"/>
                <w:kern w:val="0"/>
                <w:sz w:val="21"/>
                <w:szCs w:val="21"/>
                <w14:ligatures w14:val="none"/>
              </w:rPr>
              <w:t>/</w:t>
            </w:r>
            <w:r>
              <w:rPr>
                <w:rFonts w:hint="eastAsia" w:ascii="宋体" w:hAnsi="宋体" w:cs="宋体"/>
                <w:kern w:val="0"/>
                <w:sz w:val="21"/>
                <w:szCs w:val="21"/>
                <w14:ligatures w14:val="none"/>
              </w:rPr>
              <w:t>天气</w:t>
            </w:r>
            <w:r>
              <w:rPr>
                <w:rFonts w:ascii="宋体" w:hAnsi="宋体" w:cs="Times New Roman"/>
                <w:kern w:val="0"/>
                <w:sz w:val="21"/>
                <w:szCs w:val="21"/>
                <w14:ligatures w14:val="none"/>
              </w:rPr>
              <w:t>/</w:t>
            </w:r>
            <w:r>
              <w:rPr>
                <w:rFonts w:hint="eastAsia" w:ascii="宋体" w:hAnsi="宋体" w:cs="宋体"/>
                <w:kern w:val="0"/>
                <w:sz w:val="21"/>
                <w:szCs w:val="21"/>
                <w14:ligatures w14:val="none"/>
              </w:rPr>
              <w:t>偏好的行程推荐</w:t>
            </w:r>
          </w:p>
        </w:tc>
        <w:tc>
          <w:tcPr>
            <w:tcW w:w="0" w:type="auto"/>
          </w:tcPr>
          <w:p w14:paraId="6F19288F">
            <w:pPr>
              <w:spacing w:after="160" w:line="278" w:lineRule="auto"/>
              <w:ind w:firstLine="0" w:firstLineChars="0"/>
              <w:rPr>
                <w:rFonts w:hint="eastAsia" w:ascii="宋体" w:hAnsi="宋体" w:cs="Times New Roman"/>
                <w:kern w:val="0"/>
                <w:sz w:val="21"/>
                <w:szCs w:val="21"/>
                <w14:ligatures w14:val="none"/>
              </w:rPr>
            </w:pPr>
            <w:r>
              <w:rPr>
                <w:rFonts w:hint="eastAsia" w:ascii="宋体" w:hAnsi="宋体" w:cs="宋体"/>
                <w:kern w:val="0"/>
                <w:sz w:val="21"/>
                <w:szCs w:val="21"/>
                <w14:ligatures w14:val="none"/>
              </w:rPr>
              <w:t>乡村旅游场景首次落地</w:t>
            </w:r>
          </w:p>
        </w:tc>
        <w:tc>
          <w:tcPr>
            <w:tcW w:w="0" w:type="auto"/>
          </w:tcPr>
          <w:p w14:paraId="189C792E">
            <w:pPr>
              <w:spacing w:after="160" w:line="278" w:lineRule="auto"/>
              <w:ind w:firstLine="0" w:firstLineChars="0"/>
              <w:rPr>
                <w:rFonts w:hint="eastAsia" w:ascii="宋体" w:hAnsi="宋体" w:cs="Times New Roman"/>
                <w:kern w:val="0"/>
                <w:sz w:val="21"/>
                <w:szCs w:val="21"/>
                <w14:ligatures w14:val="none"/>
              </w:rPr>
            </w:pPr>
            <w:r>
              <w:rPr>
                <w:rFonts w:hint="eastAsia" w:ascii="宋体" w:hAnsi="宋体" w:cs="宋体"/>
                <w:kern w:val="0"/>
                <w:sz w:val="21"/>
                <w:szCs w:val="21"/>
                <w14:ligatures w14:val="none"/>
              </w:rPr>
              <w:t>成熟</w:t>
            </w:r>
          </w:p>
        </w:tc>
      </w:tr>
      <w:tr w14:paraId="2B4B1F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365BA0A6">
            <w:pPr>
              <w:spacing w:after="160" w:line="278" w:lineRule="auto"/>
              <w:ind w:firstLine="0" w:firstLineChars="0"/>
              <w:rPr>
                <w:rFonts w:hint="eastAsia" w:ascii="宋体" w:hAnsi="宋体" w:cs="Times New Roman"/>
                <w:b w:val="0"/>
                <w:bCs w:val="0"/>
                <w:kern w:val="0"/>
                <w:sz w:val="21"/>
                <w:szCs w:val="21"/>
                <w14:ligatures w14:val="none"/>
              </w:rPr>
            </w:pPr>
            <w:r>
              <w:rPr>
                <w:rFonts w:hint="eastAsia" w:ascii="宋体" w:hAnsi="宋体" w:cs="宋体"/>
                <w:b w:val="0"/>
                <w:bCs w:val="0"/>
                <w:kern w:val="0"/>
                <w:sz w:val="21"/>
                <w:szCs w:val="21"/>
                <w14:ligatures w14:val="none"/>
              </w:rPr>
              <w:t>生态数据实时看板</w:t>
            </w:r>
          </w:p>
        </w:tc>
        <w:tc>
          <w:tcPr>
            <w:tcW w:w="0" w:type="auto"/>
          </w:tcPr>
          <w:p w14:paraId="1FA83A4D">
            <w:pPr>
              <w:spacing w:after="160" w:line="278" w:lineRule="auto"/>
              <w:ind w:firstLine="0" w:firstLineChars="0"/>
              <w:rPr>
                <w:rFonts w:hint="eastAsia" w:ascii="宋体" w:hAnsi="宋体" w:cs="Times New Roman"/>
                <w:kern w:val="0"/>
                <w:sz w:val="21"/>
                <w:szCs w:val="21"/>
                <w14:ligatures w14:val="none"/>
              </w:rPr>
            </w:pPr>
            <w:r>
              <w:rPr>
                <w:rFonts w:ascii="宋体" w:hAnsi="宋体" w:cs="Times New Roman"/>
                <w:kern w:val="0"/>
                <w:sz w:val="21"/>
                <w:szCs w:val="21"/>
                <w14:ligatures w14:val="none"/>
              </w:rPr>
              <w:t>&lt;1%</w:t>
            </w:r>
          </w:p>
        </w:tc>
        <w:tc>
          <w:tcPr>
            <w:tcW w:w="0" w:type="auto"/>
          </w:tcPr>
          <w:p w14:paraId="1AFEC24B">
            <w:pPr>
              <w:spacing w:after="160" w:line="278" w:lineRule="auto"/>
              <w:ind w:firstLine="0" w:firstLineChars="0"/>
              <w:rPr>
                <w:rFonts w:hint="eastAsia" w:ascii="宋体" w:hAnsi="宋体" w:cs="Times New Roman"/>
                <w:kern w:val="0"/>
                <w:sz w:val="21"/>
                <w:szCs w:val="21"/>
                <w14:ligatures w14:val="none"/>
              </w:rPr>
            </w:pPr>
            <w:r>
              <w:rPr>
                <w:rFonts w:hint="eastAsia" w:ascii="宋体" w:hAnsi="宋体" w:cs="宋体"/>
                <w:kern w:val="0"/>
                <w:sz w:val="21"/>
                <w:szCs w:val="21"/>
                <w14:ligatures w14:val="none"/>
              </w:rPr>
              <w:t>环保部门专业系统</w:t>
            </w:r>
          </w:p>
        </w:tc>
        <w:tc>
          <w:tcPr>
            <w:tcW w:w="0" w:type="auto"/>
          </w:tcPr>
          <w:p w14:paraId="0A5F030D">
            <w:pPr>
              <w:spacing w:after="160" w:line="278" w:lineRule="auto"/>
              <w:ind w:firstLine="0" w:firstLineChars="0"/>
              <w:rPr>
                <w:rFonts w:hint="eastAsia" w:ascii="宋体" w:hAnsi="宋体" w:cs="Times New Roman"/>
                <w:kern w:val="0"/>
                <w:sz w:val="21"/>
                <w:szCs w:val="21"/>
                <w14:ligatures w14:val="none"/>
              </w:rPr>
            </w:pPr>
            <w:r>
              <w:rPr>
                <w:rFonts w:hint="eastAsia" w:ascii="宋体" w:hAnsi="宋体" w:cs="宋体"/>
                <w:kern w:val="0"/>
                <w:sz w:val="21"/>
                <w:szCs w:val="21"/>
                <w14:ligatures w14:val="none"/>
              </w:rPr>
              <w:t>水质</w:t>
            </w:r>
            <w:r>
              <w:rPr>
                <w:rFonts w:ascii="宋体" w:hAnsi="宋体" w:cs="Times New Roman"/>
                <w:kern w:val="0"/>
                <w:sz w:val="21"/>
                <w:szCs w:val="21"/>
                <w14:ligatures w14:val="none"/>
              </w:rPr>
              <w:t>/</w:t>
            </w:r>
            <w:r>
              <w:rPr>
                <w:rFonts w:hint="eastAsia" w:ascii="宋体" w:hAnsi="宋体" w:cs="宋体"/>
                <w:kern w:val="0"/>
                <w:sz w:val="21"/>
                <w:szCs w:val="21"/>
                <w14:ligatures w14:val="none"/>
              </w:rPr>
              <w:t>土壤</w:t>
            </w:r>
            <w:r>
              <w:rPr>
                <w:rFonts w:ascii="宋体" w:hAnsi="宋体" w:cs="Times New Roman"/>
                <w:kern w:val="0"/>
                <w:sz w:val="21"/>
                <w:szCs w:val="21"/>
                <w14:ligatures w14:val="none"/>
              </w:rPr>
              <w:t>/</w:t>
            </w:r>
            <w:r>
              <w:rPr>
                <w:rFonts w:hint="eastAsia" w:ascii="宋体" w:hAnsi="宋体" w:cs="宋体"/>
                <w:kern w:val="0"/>
                <w:sz w:val="21"/>
                <w:szCs w:val="21"/>
                <w14:ligatures w14:val="none"/>
              </w:rPr>
              <w:t>碳减排实时可视化</w:t>
            </w:r>
          </w:p>
        </w:tc>
        <w:tc>
          <w:tcPr>
            <w:tcW w:w="0" w:type="auto"/>
          </w:tcPr>
          <w:p w14:paraId="6645DF97">
            <w:pPr>
              <w:spacing w:after="160" w:line="278" w:lineRule="auto"/>
              <w:ind w:firstLine="0" w:firstLineChars="0"/>
              <w:rPr>
                <w:rFonts w:hint="eastAsia" w:ascii="宋体" w:hAnsi="宋体" w:cs="Times New Roman"/>
                <w:kern w:val="0"/>
                <w:sz w:val="21"/>
                <w:szCs w:val="21"/>
                <w14:ligatures w14:val="none"/>
              </w:rPr>
            </w:pPr>
            <w:r>
              <w:rPr>
                <w:rFonts w:hint="eastAsia" w:ascii="宋体" w:hAnsi="宋体" w:cs="宋体"/>
                <w:kern w:val="0"/>
                <w:sz w:val="21"/>
                <w:szCs w:val="21"/>
                <w14:ligatures w14:val="none"/>
              </w:rPr>
              <w:t>全国首创</w:t>
            </w:r>
          </w:p>
        </w:tc>
        <w:tc>
          <w:tcPr>
            <w:tcW w:w="0" w:type="auto"/>
          </w:tcPr>
          <w:p w14:paraId="5EDCD8B3">
            <w:pPr>
              <w:spacing w:after="160" w:line="278" w:lineRule="auto"/>
              <w:ind w:firstLine="0" w:firstLineChars="0"/>
              <w:rPr>
                <w:rFonts w:hint="eastAsia" w:ascii="宋体" w:hAnsi="宋体" w:cs="Times New Roman"/>
                <w:kern w:val="0"/>
                <w:sz w:val="21"/>
                <w:szCs w:val="21"/>
                <w14:ligatures w14:val="none"/>
              </w:rPr>
            </w:pPr>
            <w:r>
              <w:rPr>
                <w:rFonts w:hint="eastAsia" w:ascii="宋体" w:hAnsi="宋体" w:cs="宋体"/>
                <w:kern w:val="0"/>
                <w:sz w:val="21"/>
                <w:szCs w:val="21"/>
                <w14:ligatures w14:val="none"/>
              </w:rPr>
              <w:t>成熟（</w:t>
            </w:r>
            <w:r>
              <w:rPr>
                <w:rFonts w:ascii="宋体" w:hAnsi="宋体" w:cs="Times New Roman"/>
                <w:kern w:val="0"/>
                <w:sz w:val="21"/>
                <w:szCs w:val="21"/>
                <w14:ligatures w14:val="none"/>
              </w:rPr>
              <w:t>ECharts</w:t>
            </w:r>
            <w:r>
              <w:rPr>
                <w:rFonts w:hint="eastAsia" w:ascii="宋体" w:hAnsi="宋体" w:cs="宋体"/>
                <w:kern w:val="0"/>
                <w:sz w:val="21"/>
                <w:szCs w:val="21"/>
                <w14:ligatures w14:val="none"/>
              </w:rPr>
              <w:t>）</w:t>
            </w:r>
          </w:p>
        </w:tc>
      </w:tr>
      <w:tr w14:paraId="3A873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bottom w:val="single" w:color="000000" w:themeColor="text1" w:sz="18" w:space="0"/>
            </w:tcBorders>
          </w:tcPr>
          <w:p w14:paraId="6B4CFF81">
            <w:pPr>
              <w:spacing w:after="160" w:line="278" w:lineRule="auto"/>
              <w:ind w:firstLine="0" w:firstLineChars="0"/>
              <w:rPr>
                <w:rFonts w:hint="eastAsia" w:ascii="宋体" w:hAnsi="宋体" w:cs="Times New Roman"/>
                <w:b w:val="0"/>
                <w:bCs w:val="0"/>
                <w:kern w:val="0"/>
                <w:sz w:val="21"/>
                <w:szCs w:val="21"/>
                <w14:ligatures w14:val="none"/>
              </w:rPr>
            </w:pPr>
            <w:r>
              <w:rPr>
                <w:rFonts w:hint="default" w:ascii="宋体" w:hAnsi="宋体" w:cs="Times New Roman"/>
                <w:b w:val="0"/>
                <w:bCs w:val="0"/>
                <w:kern w:val="0"/>
                <w:sz w:val="21"/>
                <w:szCs w:val="21"/>
                <w14:ligatures w14:val="none"/>
              </w:rPr>
              <w:t>VR</w:t>
            </w:r>
            <w:r>
              <w:rPr>
                <w:rFonts w:hint="eastAsia" w:ascii="宋体" w:hAnsi="宋体" w:cs="宋体"/>
                <w:b w:val="0"/>
                <w:bCs w:val="0"/>
                <w:kern w:val="0"/>
                <w:sz w:val="21"/>
                <w:szCs w:val="21"/>
                <w14:ligatures w14:val="none"/>
              </w:rPr>
              <w:t>体验</w:t>
            </w:r>
          </w:p>
        </w:tc>
        <w:tc>
          <w:tcPr>
            <w:tcW w:w="0" w:type="auto"/>
            <w:tcBorders>
              <w:bottom w:val="single" w:color="000000" w:themeColor="text1" w:sz="18" w:space="0"/>
            </w:tcBorders>
          </w:tcPr>
          <w:p w14:paraId="180BC3DF">
            <w:pPr>
              <w:spacing w:after="160" w:line="278" w:lineRule="auto"/>
              <w:ind w:firstLine="0" w:firstLineChars="0"/>
              <w:rPr>
                <w:rFonts w:hint="eastAsia" w:ascii="宋体" w:hAnsi="宋体" w:cs="Times New Roman"/>
                <w:kern w:val="0"/>
                <w:sz w:val="21"/>
                <w:szCs w:val="21"/>
                <w14:ligatures w14:val="none"/>
              </w:rPr>
            </w:pPr>
            <w:r>
              <w:rPr>
                <w:rFonts w:hint="eastAsia" w:ascii="宋体" w:hAnsi="宋体" w:cs="宋体"/>
                <w:kern w:val="0"/>
                <w:sz w:val="21"/>
                <w:szCs w:val="21"/>
                <w14:ligatures w14:val="none"/>
              </w:rPr>
              <w:t>约</w:t>
            </w:r>
            <w:r>
              <w:rPr>
                <w:rFonts w:ascii="宋体" w:hAnsi="宋体" w:cs="Times New Roman"/>
                <w:kern w:val="0"/>
                <w:sz w:val="21"/>
                <w:szCs w:val="21"/>
                <w14:ligatures w14:val="none"/>
              </w:rPr>
              <w:t>8%</w:t>
            </w:r>
          </w:p>
        </w:tc>
        <w:tc>
          <w:tcPr>
            <w:tcW w:w="0" w:type="auto"/>
            <w:tcBorders>
              <w:bottom w:val="single" w:color="000000" w:themeColor="text1" w:sz="18" w:space="0"/>
            </w:tcBorders>
          </w:tcPr>
          <w:p w14:paraId="064664F6">
            <w:pPr>
              <w:spacing w:after="160" w:line="278" w:lineRule="auto"/>
              <w:ind w:firstLine="0" w:firstLineChars="0"/>
              <w:rPr>
                <w:rFonts w:hint="eastAsia" w:ascii="宋体" w:hAnsi="宋体" w:cs="Times New Roman"/>
                <w:kern w:val="0"/>
                <w:sz w:val="21"/>
                <w:szCs w:val="21"/>
                <w14:ligatures w14:val="none"/>
              </w:rPr>
            </w:pPr>
            <w:r>
              <w:rPr>
                <w:rFonts w:hint="eastAsia" w:ascii="宋体" w:hAnsi="宋体" w:cs="宋体"/>
                <w:kern w:val="0"/>
                <w:sz w:val="21"/>
                <w:szCs w:val="21"/>
                <w14:ligatures w14:val="none"/>
              </w:rPr>
              <w:t>主题公园</w:t>
            </w:r>
            <w:r>
              <w:rPr>
                <w:rFonts w:ascii="宋体" w:hAnsi="宋体" w:cs="Times New Roman"/>
                <w:kern w:val="0"/>
                <w:sz w:val="21"/>
                <w:szCs w:val="21"/>
                <w14:ligatures w14:val="none"/>
              </w:rPr>
              <w:t>/</w:t>
            </w:r>
            <w:r>
              <w:rPr>
                <w:rFonts w:hint="eastAsia" w:ascii="宋体" w:hAnsi="宋体" w:cs="宋体"/>
                <w:kern w:val="0"/>
                <w:sz w:val="21"/>
                <w:szCs w:val="21"/>
                <w14:ligatures w14:val="none"/>
              </w:rPr>
              <w:t>科普场馆</w:t>
            </w:r>
          </w:p>
        </w:tc>
        <w:tc>
          <w:tcPr>
            <w:tcW w:w="0" w:type="auto"/>
            <w:tcBorders>
              <w:bottom w:val="single" w:color="000000" w:themeColor="text1" w:sz="18" w:space="0"/>
            </w:tcBorders>
          </w:tcPr>
          <w:p w14:paraId="742953A9">
            <w:pPr>
              <w:spacing w:after="160" w:line="278" w:lineRule="auto"/>
              <w:ind w:firstLine="0" w:firstLineChars="0"/>
              <w:rPr>
                <w:rFonts w:hint="eastAsia" w:ascii="宋体" w:hAnsi="宋体" w:cs="Times New Roman"/>
                <w:kern w:val="0"/>
                <w:sz w:val="21"/>
                <w:szCs w:val="21"/>
                <w14:ligatures w14:val="none"/>
              </w:rPr>
            </w:pPr>
            <w:r>
              <w:rPr>
                <w:rFonts w:hint="eastAsia" w:ascii="宋体" w:hAnsi="宋体" w:cs="宋体"/>
                <w:kern w:val="0"/>
                <w:sz w:val="21"/>
                <w:szCs w:val="21"/>
                <w14:ligatures w14:val="none"/>
              </w:rPr>
              <w:t>移动</w:t>
            </w:r>
            <w:r>
              <w:rPr>
                <w:rFonts w:ascii="宋体" w:hAnsi="宋体" w:cs="Times New Roman"/>
                <w:kern w:val="0"/>
                <w:sz w:val="21"/>
                <w:szCs w:val="21"/>
                <w14:ligatures w14:val="none"/>
              </w:rPr>
              <w:t>VR</w:t>
            </w:r>
            <w:r>
              <w:rPr>
                <w:rFonts w:hint="eastAsia" w:ascii="宋体" w:hAnsi="宋体" w:cs="宋体"/>
                <w:kern w:val="0"/>
                <w:sz w:val="21"/>
                <w:szCs w:val="21"/>
                <w14:ligatures w14:val="none"/>
              </w:rPr>
              <w:t>太阳系漫游</w:t>
            </w:r>
          </w:p>
        </w:tc>
        <w:tc>
          <w:tcPr>
            <w:tcW w:w="0" w:type="auto"/>
            <w:tcBorders>
              <w:bottom w:val="single" w:color="000000" w:themeColor="text1" w:sz="18" w:space="0"/>
            </w:tcBorders>
          </w:tcPr>
          <w:p w14:paraId="223446BF">
            <w:pPr>
              <w:spacing w:after="160" w:line="278" w:lineRule="auto"/>
              <w:ind w:firstLine="0" w:firstLineChars="0"/>
              <w:rPr>
                <w:rFonts w:hint="eastAsia" w:ascii="宋体" w:hAnsi="宋体" w:cs="Times New Roman"/>
                <w:kern w:val="0"/>
                <w:sz w:val="21"/>
                <w:szCs w:val="21"/>
                <w14:ligatures w14:val="none"/>
              </w:rPr>
            </w:pPr>
            <w:r>
              <w:rPr>
                <w:rFonts w:hint="eastAsia" w:ascii="宋体" w:hAnsi="宋体" w:cs="宋体"/>
                <w:kern w:val="0"/>
                <w:sz w:val="21"/>
                <w:szCs w:val="21"/>
                <w14:ligatures w14:val="none"/>
              </w:rPr>
              <w:t>天文科普场景首次落地乡村</w:t>
            </w:r>
          </w:p>
        </w:tc>
        <w:tc>
          <w:tcPr>
            <w:tcW w:w="0" w:type="auto"/>
            <w:tcBorders>
              <w:bottom w:val="single" w:color="000000" w:themeColor="text1" w:sz="18" w:space="0"/>
            </w:tcBorders>
          </w:tcPr>
          <w:p w14:paraId="23F1A4FD">
            <w:pPr>
              <w:spacing w:after="160" w:line="278" w:lineRule="auto"/>
              <w:ind w:firstLine="0" w:firstLineChars="0"/>
              <w:rPr>
                <w:rFonts w:hint="eastAsia" w:ascii="宋体" w:hAnsi="宋体" w:cs="Times New Roman"/>
                <w:kern w:val="0"/>
                <w:sz w:val="21"/>
                <w:szCs w:val="21"/>
                <w14:ligatures w14:val="none"/>
              </w:rPr>
            </w:pPr>
            <w:r>
              <w:rPr>
                <w:rFonts w:hint="eastAsia" w:ascii="宋体" w:hAnsi="宋体" w:cs="宋体"/>
                <w:kern w:val="0"/>
                <w:sz w:val="21"/>
                <w:szCs w:val="21"/>
                <w14:ligatures w14:val="none"/>
              </w:rPr>
              <w:t>成熟</w:t>
            </w:r>
          </w:p>
        </w:tc>
      </w:tr>
    </w:tbl>
    <w:p w14:paraId="2138F085">
      <w:pPr>
        <w:ind w:firstLine="420"/>
        <w:rPr>
          <w:rFonts w:hint="eastAsia" w:ascii="宋体" w:hAnsi="宋体"/>
          <w:sz w:val="21"/>
          <w:szCs w:val="21"/>
        </w:rPr>
      </w:pPr>
      <w:r>
        <w:rPr>
          <w:rFonts w:ascii="宋体" w:hAnsi="宋体"/>
          <w:sz w:val="21"/>
          <w:szCs w:val="21"/>
        </w:rPr>
        <w:t>第一，</w:t>
      </w:r>
      <w:r>
        <w:rPr>
          <w:rFonts w:hint="eastAsia" w:ascii="宋体" w:hAnsi="宋体"/>
          <w:sz w:val="21"/>
          <w:szCs w:val="21"/>
        </w:rPr>
        <w:t>小程序</w:t>
      </w:r>
      <w:r>
        <w:rPr>
          <w:rFonts w:ascii="宋体" w:hAnsi="宋体"/>
          <w:sz w:val="21"/>
          <w:szCs w:val="21"/>
        </w:rPr>
        <w:t>渗透率普遍偏低。即使是相对成熟的小程序商城，乡村旅游项目中也只有55%拥有，且功能普遍停留在“商品展示+支付”的初级阶段。GPS打卡、数字孪生、AR导览等增强体验类技术的渗透率均低于8%。</w:t>
      </w:r>
    </w:p>
    <w:p w14:paraId="65269F8B">
      <w:pPr>
        <w:ind w:firstLine="420"/>
        <w:rPr>
          <w:rFonts w:hint="eastAsia" w:ascii="宋体" w:hAnsi="宋体"/>
          <w:sz w:val="21"/>
          <w:szCs w:val="21"/>
        </w:rPr>
      </w:pPr>
      <w:r>
        <w:rPr>
          <w:rFonts w:ascii="宋体" w:hAnsi="宋体"/>
          <w:sz w:val="21"/>
          <w:szCs w:val="21"/>
        </w:rPr>
        <w:t>第二，</w:t>
      </w:r>
      <w:r>
        <w:rPr>
          <w:rFonts w:hint="eastAsia" w:ascii="宋体" w:hAnsi="宋体"/>
          <w:sz w:val="21"/>
          <w:szCs w:val="21"/>
        </w:rPr>
        <w:t>始终存在</w:t>
      </w:r>
      <w:r>
        <w:rPr>
          <w:rFonts w:ascii="宋体" w:hAnsi="宋体"/>
          <w:sz w:val="21"/>
          <w:szCs w:val="21"/>
        </w:rPr>
        <w:t>城市与乡村的“数字鸿沟”。AR导览、数字孪生等技术在城市博物馆、科技馆已广泛应用，用户体验成熟，但在乡村场景几乎是空白</w:t>
      </w:r>
      <w:r>
        <w:rPr>
          <w:rFonts w:hint="eastAsia" w:ascii="宋体" w:hAnsi="宋体"/>
          <w:sz w:val="21"/>
          <w:szCs w:val="21"/>
        </w:rPr>
        <w:t>，</w:t>
      </w:r>
      <w:r>
        <w:rPr>
          <w:rFonts w:ascii="宋体" w:hAnsi="宋体"/>
          <w:sz w:val="21"/>
          <w:szCs w:val="21"/>
        </w:rPr>
        <w:t>这</w:t>
      </w:r>
      <w:r>
        <w:rPr>
          <w:rFonts w:hint="eastAsia" w:ascii="宋体" w:hAnsi="宋体"/>
          <w:sz w:val="21"/>
          <w:szCs w:val="21"/>
        </w:rPr>
        <w:t>也</w:t>
      </w:r>
      <w:r>
        <w:rPr>
          <w:rFonts w:ascii="宋体" w:hAnsi="宋体"/>
          <w:sz w:val="21"/>
          <w:szCs w:val="21"/>
        </w:rPr>
        <w:t>为本项目提供了“技术降维”机会——将城市消费者熟悉的数字体验引入乡村，形成新鲜感和话题性。</w:t>
      </w:r>
    </w:p>
    <w:p w14:paraId="6B4D73FF">
      <w:pPr>
        <w:ind w:firstLine="420"/>
        <w:rPr>
          <w:rFonts w:hint="eastAsia" w:ascii="宋体" w:hAnsi="宋体"/>
          <w:sz w:val="21"/>
          <w:szCs w:val="21"/>
        </w:rPr>
      </w:pPr>
      <w:r>
        <w:rPr>
          <w:rFonts w:ascii="宋体" w:hAnsi="宋体"/>
          <w:sz w:val="21"/>
          <w:szCs w:val="21"/>
        </w:rPr>
        <w:t>第三，</w:t>
      </w:r>
      <w:r>
        <w:rPr>
          <w:rFonts w:hint="eastAsia" w:ascii="宋体" w:hAnsi="宋体"/>
          <w:sz w:val="21"/>
          <w:szCs w:val="21"/>
        </w:rPr>
        <w:t>目前的</w:t>
      </w:r>
      <w:r>
        <w:rPr>
          <w:rFonts w:ascii="宋体" w:hAnsi="宋体"/>
          <w:sz w:val="21"/>
          <w:szCs w:val="21"/>
        </w:rPr>
        <w:t>技术成熟度已无需担忧。微信小程序AR插件、Three.js、ECharts等技术均已成熟，开发成本可控，无需从零研发底层技术</w:t>
      </w:r>
      <w:r>
        <w:rPr>
          <w:rFonts w:hint="eastAsia" w:ascii="宋体" w:hAnsi="宋体"/>
          <w:sz w:val="21"/>
          <w:szCs w:val="21"/>
        </w:rPr>
        <w:t>，而</w:t>
      </w:r>
      <w:r>
        <w:rPr>
          <w:rFonts w:ascii="宋体" w:hAnsi="宋体"/>
          <w:sz w:val="21"/>
          <w:szCs w:val="21"/>
        </w:rPr>
        <w:t>本团队的全栈开发能力可以基于成熟技术栈快速实现产品落地。</w:t>
      </w:r>
    </w:p>
    <w:p w14:paraId="1FC9CD47">
      <w:pPr>
        <w:ind w:firstLine="420"/>
        <w:rPr>
          <w:rFonts w:ascii="宋体" w:hAnsi="宋体"/>
          <w:sz w:val="21"/>
          <w:szCs w:val="21"/>
        </w:rPr>
      </w:pPr>
      <w:r>
        <w:rPr>
          <w:rFonts w:ascii="宋体" w:hAnsi="宋体"/>
          <w:sz w:val="21"/>
          <w:szCs w:val="21"/>
        </w:rPr>
        <w:t>第四，“核心首创”的标签价值。GPS骑行打卡（乡村场景首创）、认养数字孪生（乡村场景首创）、AI行程推荐（乡村场景首创）、生态实时看板（全国首创）、（乡村露营场景首创）——这些“首创”标签本身即传播素材，符合“社交货币化”的市场趋势。</w:t>
      </w:r>
    </w:p>
    <w:p w14:paraId="5C6EEF31">
      <w:pPr>
        <w:pStyle w:val="3"/>
        <w:bidi w:val="0"/>
        <w:rPr>
          <w:rFonts w:hint="eastAsia"/>
        </w:rPr>
      </w:pPr>
      <w:bookmarkStart w:id="60" w:name="_Toc26032"/>
      <w:r>
        <w:rPr>
          <w:rFonts w:hint="eastAsia"/>
        </w:rPr>
        <w:t>3.8 SWOT分析</w:t>
      </w:r>
      <w:bookmarkEnd w:id="60"/>
    </w:p>
    <w:p w14:paraId="6D412BBB">
      <w:pPr>
        <w:ind w:firstLine="420"/>
        <w:rPr>
          <w:rFonts w:hint="eastAsia" w:ascii="宋体" w:hAnsi="宋体"/>
          <w:sz w:val="21"/>
          <w:szCs w:val="21"/>
        </w:rPr>
      </w:pPr>
      <w:r>
        <w:rPr>
          <w:rFonts w:ascii="宋体" w:hAnsi="宋体"/>
          <w:sz w:val="21"/>
          <w:szCs w:val="21"/>
        </w:rPr>
        <w:t>基于最新调研数据和行业分析，</w:t>
      </w:r>
      <w:r>
        <w:rPr>
          <w:rFonts w:hint="eastAsia" w:ascii="宋体" w:hAnsi="宋体"/>
          <w:sz w:val="21"/>
          <w:szCs w:val="21"/>
        </w:rPr>
        <w:t>团队</w:t>
      </w:r>
      <w:r>
        <w:rPr>
          <w:rFonts w:ascii="宋体" w:hAnsi="宋体"/>
          <w:sz w:val="21"/>
          <w:szCs w:val="21"/>
        </w:rPr>
        <w:t>对杨家东庄村发展农文旅融合项目进行系统SWOT分析，并生成交叉策略矩阵。</w:t>
      </w:r>
    </w:p>
    <w:p w14:paraId="5F3E40A9">
      <w:pPr>
        <w:ind w:firstLine="420"/>
        <w:jc w:val="center"/>
        <w:rPr>
          <w:rFonts w:hint="eastAsia" w:ascii="宋体" w:hAnsi="宋体"/>
          <w:sz w:val="21"/>
          <w:szCs w:val="21"/>
        </w:rPr>
      </w:pPr>
      <w:r>
        <w:rPr>
          <w:rFonts w:hint="eastAsia" w:ascii="宋体" w:hAnsi="宋体"/>
          <w:sz w:val="21"/>
          <w:szCs w:val="21"/>
        </w:rPr>
        <w:t xml:space="preserve">表 </w:t>
      </w:r>
      <w:r>
        <w:rPr>
          <w:rFonts w:ascii="宋体" w:hAnsi="宋体"/>
          <w:sz w:val="21"/>
          <w:szCs w:val="21"/>
        </w:rPr>
        <w:t>7</w:t>
      </w:r>
      <w:r>
        <w:rPr>
          <w:rFonts w:hint="eastAsia" w:ascii="宋体" w:hAnsi="宋体"/>
          <w:sz w:val="21"/>
          <w:szCs w:val="21"/>
        </w:rPr>
        <w:t xml:space="preserve">  SWOT分析矩阵</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26"/>
        <w:gridCol w:w="4154"/>
        <w:gridCol w:w="2842"/>
      </w:tblGrid>
      <w:tr w14:paraId="633C9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6" w:type="dxa"/>
            <w:tcBorders>
              <w:top w:val="single" w:color="000000" w:themeColor="text1" w:sz="18" w:space="0"/>
              <w:right w:val="single" w:color="000000" w:themeColor="text1" w:sz="12" w:space="0"/>
            </w:tcBorders>
          </w:tcPr>
          <w:p w14:paraId="521A703D">
            <w:pPr>
              <w:spacing w:after="160" w:line="278" w:lineRule="auto"/>
              <w:ind w:firstLine="420"/>
              <w:rPr>
                <w:rFonts w:hint="eastAsia" w:ascii="宋体" w:hAnsi="宋体"/>
                <w:sz w:val="21"/>
                <w:szCs w:val="21"/>
              </w:rPr>
            </w:pPr>
          </w:p>
        </w:tc>
        <w:tc>
          <w:tcPr>
            <w:tcW w:w="4154" w:type="dxa"/>
            <w:tcBorders>
              <w:top w:val="single" w:color="000000" w:themeColor="text1" w:sz="18" w:space="0"/>
              <w:left w:val="single" w:color="000000" w:themeColor="text1" w:sz="12" w:space="0"/>
            </w:tcBorders>
          </w:tcPr>
          <w:p w14:paraId="4DFE74FB">
            <w:pPr>
              <w:spacing w:after="160" w:line="278" w:lineRule="auto"/>
              <w:ind w:firstLine="420"/>
              <w:rPr>
                <w:rFonts w:hint="eastAsia" w:ascii="宋体" w:hAnsi="宋体"/>
                <w:sz w:val="21"/>
                <w:szCs w:val="21"/>
              </w:rPr>
            </w:pPr>
            <w:r>
              <w:rPr>
                <w:rFonts w:ascii="宋体" w:hAnsi="宋体"/>
                <w:sz w:val="21"/>
                <w:szCs w:val="21"/>
              </w:rPr>
              <w:t>正面因素</w:t>
            </w:r>
          </w:p>
        </w:tc>
        <w:tc>
          <w:tcPr>
            <w:tcW w:w="2842" w:type="dxa"/>
            <w:tcBorders>
              <w:top w:val="single" w:color="000000" w:themeColor="text1" w:sz="18" w:space="0"/>
            </w:tcBorders>
          </w:tcPr>
          <w:p w14:paraId="7C3FC782">
            <w:pPr>
              <w:spacing w:after="160" w:line="278" w:lineRule="auto"/>
              <w:ind w:firstLine="420"/>
              <w:rPr>
                <w:rFonts w:hint="eastAsia" w:ascii="宋体" w:hAnsi="宋体"/>
                <w:sz w:val="21"/>
                <w:szCs w:val="21"/>
              </w:rPr>
            </w:pPr>
            <w:r>
              <w:rPr>
                <w:rFonts w:ascii="宋体" w:hAnsi="宋体"/>
                <w:sz w:val="21"/>
                <w:szCs w:val="21"/>
              </w:rPr>
              <w:t>负面因素</w:t>
            </w:r>
          </w:p>
        </w:tc>
      </w:tr>
      <w:tr w14:paraId="60E575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6" w:type="dxa"/>
            <w:tcBorders>
              <w:top w:val="single" w:color="000000" w:themeColor="text1" w:sz="12" w:space="0"/>
              <w:right w:val="single" w:color="000000" w:themeColor="text1" w:sz="12" w:space="0"/>
            </w:tcBorders>
          </w:tcPr>
          <w:p w14:paraId="0A930758">
            <w:pPr>
              <w:spacing w:after="160" w:line="278" w:lineRule="auto"/>
              <w:ind w:firstLine="420"/>
              <w:rPr>
                <w:rFonts w:hint="eastAsia" w:ascii="宋体" w:hAnsi="宋体"/>
                <w:sz w:val="21"/>
                <w:szCs w:val="21"/>
              </w:rPr>
            </w:pPr>
            <w:r>
              <w:rPr>
                <w:rFonts w:ascii="宋体" w:hAnsi="宋体"/>
                <w:sz w:val="21"/>
                <w:szCs w:val="21"/>
              </w:rPr>
              <w:t>内部因素</w:t>
            </w:r>
          </w:p>
        </w:tc>
        <w:tc>
          <w:tcPr>
            <w:tcW w:w="4154" w:type="dxa"/>
            <w:tcBorders>
              <w:top w:val="single" w:color="000000" w:themeColor="text1" w:sz="12" w:space="0"/>
              <w:left w:val="single" w:color="000000" w:themeColor="text1" w:sz="12" w:space="0"/>
            </w:tcBorders>
          </w:tcPr>
          <w:p w14:paraId="560CD7EB">
            <w:pPr>
              <w:ind w:firstLine="400"/>
            </w:pPr>
            <w:r>
              <w:rPr>
                <w:rFonts w:ascii="宋体" w:hAnsi="宋体"/>
                <w:sz w:val="20"/>
              </w:rPr>
              <w:t>S(优势)</w:t>
            </w:r>
            <w:r>
              <w:rPr>
                <w:rFonts w:ascii="宋体" w:hAnsi="宋体"/>
                <w:sz w:val="20"/>
              </w:rPr>
              <w:br w:type="textWrapping"/>
            </w:r>
            <w:r>
              <w:rPr>
                <w:rFonts w:ascii="宋体" w:hAnsi="宋体"/>
                <w:sz w:val="20"/>
              </w:rPr>
              <w:t>• 一级水源地品质背书(北京极稀缺)</w:t>
            </w:r>
            <w:r>
              <w:rPr>
                <w:rFonts w:ascii="宋体" w:hAnsi="宋体"/>
                <w:sz w:val="20"/>
              </w:rPr>
              <w:br w:type="textWrapping"/>
            </w:r>
            <w:r>
              <w:rPr>
                <w:rFonts w:ascii="宋体" w:hAnsi="宋体"/>
                <w:sz w:val="20"/>
              </w:rPr>
              <w:t>• 60—70亩樱桃老园约4000棵,有品牌基础和故事素材</w:t>
            </w:r>
            <w:r>
              <w:rPr>
                <w:rFonts w:ascii="宋体" w:hAnsi="宋体"/>
                <w:sz w:val="20"/>
              </w:rPr>
              <w:br w:type="textWrapping"/>
            </w:r>
            <w:r>
              <w:rPr>
                <w:rFonts w:ascii="宋体" w:hAnsi="宋体"/>
                <w:sz w:val="20"/>
              </w:rPr>
              <w:t>• 前任"樱有尽有"品牌、IP、包装已落地,可延续使用</w:t>
            </w:r>
            <w:r>
              <w:rPr>
                <w:rFonts w:ascii="宋体" w:hAnsi="宋体"/>
                <w:sz w:val="20"/>
              </w:rPr>
              <w:br w:type="textWrapping"/>
            </w:r>
            <w:r>
              <w:rPr>
                <w:rFonts w:ascii="宋体" w:hAnsi="宋体"/>
                <w:sz w:val="20"/>
              </w:rPr>
              <w:t>• 村委会有现有经营主体,可开票,教育/研学合规</w:t>
            </w:r>
            <w:r>
              <w:rPr>
                <w:rFonts w:ascii="宋体" w:hAnsi="宋体"/>
                <w:sz w:val="20"/>
              </w:rPr>
              <w:br w:type="textWrapping"/>
            </w:r>
            <w:r>
              <w:rPr>
                <w:rFonts w:ascii="宋体" w:hAnsi="宋体"/>
                <w:sz w:val="20"/>
              </w:rPr>
              <w:t>• 项目团队全栈自研能力(单小程序承载六大业务)</w:t>
            </w:r>
            <w:r>
              <w:rPr>
                <w:rFonts w:ascii="宋体" w:hAnsi="宋体"/>
                <w:sz w:val="20"/>
              </w:rPr>
              <w:br w:type="textWrapping"/>
            </w:r>
            <w:r>
              <w:rPr>
                <w:rFonts w:ascii="宋体" w:hAnsi="宋体"/>
                <w:sz w:val="20"/>
              </w:rPr>
              <w:t>• 第一书记人脉,落地沟通通畅</w:t>
            </w:r>
            <w:r>
              <w:rPr>
                <w:rFonts w:ascii="宋体" w:hAnsi="宋体"/>
                <w:sz w:val="20"/>
              </w:rPr>
              <w:br w:type="textWrapping"/>
            </w:r>
            <w:r>
              <w:rPr>
                <w:rFonts w:ascii="宋体" w:hAnsi="宋体"/>
                <w:sz w:val="20"/>
              </w:rPr>
              <w:t>• 高校合作网络30余所,B端客户入口</w:t>
            </w:r>
          </w:p>
        </w:tc>
        <w:tc>
          <w:tcPr>
            <w:tcW w:w="2842" w:type="dxa"/>
            <w:tcBorders>
              <w:top w:val="single" w:color="000000" w:themeColor="text1" w:sz="12" w:space="0"/>
            </w:tcBorders>
          </w:tcPr>
          <w:p w14:paraId="620D7926">
            <w:pPr>
              <w:ind w:firstLine="400"/>
            </w:pPr>
            <w:r>
              <w:rPr>
                <w:rFonts w:ascii="宋体" w:hAnsi="宋体"/>
                <w:sz w:val="20"/>
              </w:rPr>
              <w:t>W(劣势)</w:t>
            </w:r>
            <w:r>
              <w:rPr>
                <w:rFonts w:ascii="宋体" w:hAnsi="宋体"/>
                <w:sz w:val="20"/>
              </w:rPr>
              <w:br w:type="textWrapping"/>
            </w:r>
            <w:r>
              <w:rPr>
                <w:rFonts w:ascii="宋体" w:hAnsi="宋体"/>
                <w:sz w:val="20"/>
              </w:rPr>
              <w:t>• 经济薄弱村,现金投入承受力极低</w:t>
            </w:r>
            <w:r>
              <w:rPr>
                <w:rFonts w:ascii="宋体" w:hAnsi="宋体"/>
                <w:sz w:val="20"/>
              </w:rPr>
              <w:br w:type="textWrapping"/>
            </w:r>
            <w:r>
              <w:rPr>
                <w:rFonts w:ascii="宋体" w:hAnsi="宋体"/>
                <w:sz w:val="20"/>
              </w:rPr>
              <w:t>• 小程序停运,数字化运营断裂</w:t>
            </w:r>
            <w:r>
              <w:rPr>
                <w:rFonts w:ascii="宋体" w:hAnsi="宋体"/>
                <w:sz w:val="20"/>
              </w:rPr>
              <w:br w:type="textWrapping"/>
            </w:r>
            <w:r>
              <w:rPr>
                <w:rFonts w:ascii="宋体" w:hAnsi="宋体"/>
                <w:sz w:val="20"/>
              </w:rPr>
              <w:t>• 樱桃老树产量下降,混种无法电商分品种发货</w:t>
            </w:r>
            <w:r>
              <w:rPr>
                <w:rFonts w:ascii="宋体" w:hAnsi="宋体"/>
                <w:sz w:val="20"/>
              </w:rPr>
              <w:br w:type="textWrapping"/>
            </w:r>
            <w:r>
              <w:rPr>
                <w:rFonts w:ascii="宋体" w:hAnsi="宋体"/>
                <w:sz w:val="20"/>
              </w:rPr>
              <w:t>• 村内不新办商业执照,无自营餐饮/住宿/便利店</w:t>
            </w:r>
            <w:r>
              <w:rPr>
                <w:rFonts w:ascii="宋体" w:hAnsi="宋体"/>
                <w:sz w:val="20"/>
              </w:rPr>
              <w:br w:type="textWrapping"/>
            </w:r>
            <w:r>
              <w:rPr>
                <w:rFonts w:ascii="宋体" w:hAnsi="宋体"/>
                <w:sz w:val="20"/>
              </w:rPr>
              <w:t>• 村民60+占比近半,数字化操作能力有限</w:t>
            </w:r>
            <w:r>
              <w:rPr>
                <w:rFonts w:ascii="宋体" w:hAnsi="宋体"/>
                <w:sz w:val="20"/>
              </w:rPr>
              <w:br w:type="textWrapping"/>
            </w:r>
            <w:r>
              <w:rPr>
                <w:rFonts w:ascii="宋体" w:hAnsi="宋体"/>
                <w:sz w:val="20"/>
              </w:rPr>
              <w:t>• 可用空间有限,仅能作为场地租赁或公益用途</w:t>
            </w:r>
            <w:r>
              <w:rPr>
                <w:rFonts w:ascii="宋体" w:hAnsi="宋体"/>
                <w:sz w:val="20"/>
              </w:rPr>
              <w:br w:type="textWrapping"/>
            </w:r>
            <w:r>
              <w:rPr>
                <w:rFonts w:ascii="宋体" w:hAnsi="宋体"/>
                <w:sz w:val="20"/>
              </w:rPr>
              <w:t>• 骑行专用道路缺失,只有与机动车混行的主干道</w:t>
            </w:r>
          </w:p>
        </w:tc>
      </w:tr>
      <w:tr w14:paraId="48D836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6" w:type="dxa"/>
            <w:tcBorders>
              <w:bottom w:val="single" w:color="000000" w:themeColor="text1" w:sz="18" w:space="0"/>
              <w:right w:val="single" w:color="000000" w:themeColor="text1" w:sz="12" w:space="0"/>
            </w:tcBorders>
          </w:tcPr>
          <w:p w14:paraId="6660F821">
            <w:pPr>
              <w:spacing w:after="160" w:line="278" w:lineRule="auto"/>
              <w:ind w:firstLine="420"/>
              <w:rPr>
                <w:rFonts w:hint="eastAsia" w:ascii="宋体" w:hAnsi="宋体"/>
                <w:sz w:val="21"/>
                <w:szCs w:val="21"/>
              </w:rPr>
            </w:pPr>
            <w:r>
              <w:rPr>
                <w:rFonts w:ascii="宋体" w:hAnsi="宋体"/>
                <w:sz w:val="21"/>
                <w:szCs w:val="21"/>
              </w:rPr>
              <w:t>外部因素</w:t>
            </w:r>
          </w:p>
        </w:tc>
        <w:tc>
          <w:tcPr>
            <w:tcW w:w="4154" w:type="dxa"/>
            <w:tcBorders>
              <w:left w:val="single" w:color="000000" w:themeColor="text1" w:sz="12" w:space="0"/>
              <w:bottom w:val="single" w:color="000000" w:themeColor="text1" w:sz="18" w:space="0"/>
            </w:tcBorders>
          </w:tcPr>
          <w:p w14:paraId="25715D32">
            <w:pPr>
              <w:spacing w:after="160" w:line="278" w:lineRule="auto"/>
              <w:ind w:firstLine="420"/>
              <w:rPr>
                <w:rFonts w:hint="eastAsia" w:ascii="宋体" w:hAnsi="宋体"/>
                <w:sz w:val="21"/>
                <w:szCs w:val="21"/>
              </w:rPr>
            </w:pPr>
            <w:r>
              <w:rPr>
                <w:rFonts w:hint="eastAsia" w:ascii="宋体" w:hAnsi="宋体"/>
                <w:sz w:val="21"/>
                <w:szCs w:val="21"/>
              </w:rPr>
              <w:t>O（机会）</w:t>
            </w:r>
          </w:p>
          <w:p w14:paraId="4B6EB8AF">
            <w:pPr>
              <w:spacing w:after="160" w:line="278" w:lineRule="auto"/>
              <w:ind w:firstLine="420"/>
              <w:rPr>
                <w:rFonts w:hint="eastAsia" w:ascii="宋体" w:hAnsi="宋体"/>
                <w:sz w:val="21"/>
                <w:szCs w:val="21"/>
              </w:rPr>
            </w:pPr>
            <w:r>
              <w:rPr>
                <w:rFonts w:hint="eastAsia" w:ascii="宋体" w:hAnsi="宋体"/>
                <w:sz w:val="21"/>
                <w:szCs w:val="21"/>
              </w:rPr>
              <w:t>• 京郊周末经济持续增长（年+15%）</w:t>
            </w:r>
          </w:p>
          <w:p w14:paraId="59F96144">
            <w:pPr>
              <w:spacing w:after="160" w:line="278" w:lineRule="auto"/>
              <w:ind w:firstLine="420"/>
              <w:rPr>
                <w:rFonts w:hint="eastAsia" w:ascii="宋体" w:hAnsi="宋体"/>
                <w:sz w:val="21"/>
                <w:szCs w:val="21"/>
              </w:rPr>
            </w:pPr>
            <w:r>
              <w:rPr>
                <w:rFonts w:hint="eastAsia" w:ascii="宋体" w:hAnsi="宋体"/>
                <w:sz w:val="21"/>
                <w:szCs w:val="21"/>
              </w:rPr>
              <w:t>• 骑行产业爆发（京郊活跃骑友85万）</w:t>
            </w:r>
          </w:p>
          <w:p w14:paraId="6B910BE5">
            <w:pPr>
              <w:spacing w:after="160" w:line="278" w:lineRule="auto"/>
              <w:ind w:firstLine="420"/>
              <w:rPr>
                <w:rFonts w:hint="eastAsia" w:ascii="宋体" w:hAnsi="宋体"/>
                <w:sz w:val="21"/>
                <w:szCs w:val="21"/>
              </w:rPr>
            </w:pPr>
            <w:r>
              <w:rPr>
                <w:rFonts w:hint="eastAsia" w:ascii="宋体" w:hAnsi="宋体"/>
                <w:sz w:val="21"/>
                <w:szCs w:val="21"/>
              </w:rPr>
              <w:t>• 乡村振兴政策持续加码（“十五五”窗口）</w:t>
            </w:r>
          </w:p>
          <w:p w14:paraId="434B2299">
            <w:pPr>
              <w:spacing w:after="160" w:line="278" w:lineRule="auto"/>
              <w:ind w:firstLine="420"/>
              <w:rPr>
                <w:rFonts w:hint="eastAsia" w:ascii="宋体" w:hAnsi="宋体"/>
                <w:sz w:val="21"/>
                <w:szCs w:val="21"/>
              </w:rPr>
            </w:pPr>
            <w:r>
              <w:rPr>
                <w:rFonts w:hint="eastAsia" w:ascii="宋体" w:hAnsi="宋体"/>
                <w:sz w:val="21"/>
                <w:szCs w:val="21"/>
              </w:rPr>
              <w:t>• 数字化工具成本下降，技术普惠</w:t>
            </w:r>
          </w:p>
          <w:p w14:paraId="6102C421">
            <w:pPr>
              <w:spacing w:after="160" w:line="278" w:lineRule="auto"/>
              <w:ind w:firstLine="420"/>
              <w:rPr>
                <w:rFonts w:hint="eastAsia" w:ascii="宋体" w:hAnsi="宋体"/>
                <w:sz w:val="21"/>
                <w:szCs w:val="21"/>
              </w:rPr>
            </w:pPr>
            <w:r>
              <w:rPr>
                <w:rFonts w:hint="eastAsia" w:ascii="宋体" w:hAnsi="宋体"/>
                <w:sz w:val="21"/>
                <w:szCs w:val="21"/>
              </w:rPr>
              <w:t>• 怀柔区农文旅融合政策红利期</w:t>
            </w:r>
          </w:p>
          <w:p w14:paraId="007483EC">
            <w:pPr>
              <w:spacing w:after="160" w:line="278" w:lineRule="auto"/>
              <w:ind w:firstLine="420"/>
              <w:rPr>
                <w:rFonts w:hint="eastAsia" w:ascii="宋体" w:hAnsi="宋体"/>
                <w:sz w:val="21"/>
                <w:szCs w:val="21"/>
              </w:rPr>
            </w:pPr>
            <w:r>
              <w:rPr>
                <w:rFonts w:hint="eastAsia" w:ascii="宋体" w:hAnsi="宋体"/>
                <w:sz w:val="21"/>
                <w:szCs w:val="21"/>
              </w:rPr>
              <w:t>• 消费者品质溢价意愿增强（68%愿付溢价）</w:t>
            </w:r>
          </w:p>
          <w:p w14:paraId="1CA7B7A2">
            <w:pPr>
              <w:spacing w:after="160" w:line="278" w:lineRule="auto"/>
              <w:ind w:firstLine="420"/>
              <w:rPr>
                <w:rFonts w:hint="eastAsia" w:ascii="宋体" w:hAnsi="宋体"/>
                <w:sz w:val="21"/>
                <w:szCs w:val="21"/>
              </w:rPr>
            </w:pPr>
            <w:r>
              <w:rPr>
                <w:rFonts w:hint="eastAsia" w:ascii="宋体" w:hAnsi="宋体"/>
                <w:sz w:val="21"/>
                <w:szCs w:val="21"/>
              </w:rPr>
              <w:t>• 研学市场持续井喷（渗透率52%）</w:t>
            </w:r>
          </w:p>
          <w:p w14:paraId="34099947">
            <w:pPr>
              <w:spacing w:after="160" w:line="278" w:lineRule="auto"/>
              <w:ind w:firstLine="420"/>
              <w:rPr>
                <w:rFonts w:hint="eastAsia" w:ascii="宋体" w:hAnsi="宋体"/>
                <w:sz w:val="21"/>
                <w:szCs w:val="21"/>
              </w:rPr>
            </w:pPr>
            <w:r>
              <w:rPr>
                <w:rFonts w:hint="eastAsia" w:ascii="宋体" w:hAnsi="宋体"/>
                <w:sz w:val="21"/>
                <w:szCs w:val="21"/>
              </w:rPr>
              <w:t>• “微度假”产品预订占比达58%</w:t>
            </w:r>
          </w:p>
          <w:p w14:paraId="2D897CCF">
            <w:pPr>
              <w:spacing w:after="160" w:line="278" w:lineRule="auto"/>
              <w:ind w:firstLine="420"/>
              <w:rPr>
                <w:rFonts w:hint="eastAsia" w:ascii="宋体" w:hAnsi="宋体"/>
                <w:sz w:val="21"/>
                <w:szCs w:val="21"/>
              </w:rPr>
            </w:pPr>
            <w:r>
              <w:rPr>
                <w:rFonts w:hint="eastAsia" w:ascii="宋体" w:hAnsi="宋体"/>
                <w:sz w:val="21"/>
                <w:szCs w:val="21"/>
              </w:rPr>
              <w:t>• 高端礼盒市场年增38%</w:t>
            </w:r>
          </w:p>
        </w:tc>
        <w:tc>
          <w:tcPr>
            <w:tcW w:w="2842" w:type="dxa"/>
            <w:tcBorders>
              <w:bottom w:val="single" w:color="000000" w:themeColor="text1" w:sz="18" w:space="0"/>
            </w:tcBorders>
          </w:tcPr>
          <w:p w14:paraId="4E6E744A">
            <w:pPr>
              <w:ind w:firstLine="400"/>
            </w:pPr>
            <w:r>
              <w:rPr>
                <w:rFonts w:ascii="宋体" w:hAnsi="宋体"/>
                <w:sz w:val="20"/>
              </w:rPr>
              <w:t>T(威胁)</w:t>
            </w:r>
            <w:r>
              <w:rPr>
                <w:rFonts w:ascii="宋体" w:hAnsi="宋体"/>
                <w:sz w:val="20"/>
              </w:rPr>
              <w:br w:type="textWrapping"/>
            </w:r>
            <w:r>
              <w:rPr>
                <w:rFonts w:ascii="宋体" w:hAnsi="宋体"/>
                <w:sz w:val="20"/>
              </w:rPr>
              <w:t>• 水源保护区硬约束不可逾越(许可零发放)</w:t>
            </w:r>
            <w:r>
              <w:rPr>
                <w:rFonts w:ascii="宋体" w:hAnsi="宋体"/>
                <w:sz w:val="20"/>
              </w:rPr>
              <w:br w:type="textWrapping"/>
            </w:r>
            <w:r>
              <w:rPr>
                <w:rFonts w:ascii="宋体" w:hAnsi="宋体"/>
                <w:sz w:val="20"/>
              </w:rPr>
              <w:t>• 周边竞品分流(雁栖湖/神堂峪等)</w:t>
            </w:r>
            <w:r>
              <w:rPr>
                <w:rFonts w:ascii="宋体" w:hAnsi="宋体"/>
                <w:sz w:val="20"/>
              </w:rPr>
              <w:br w:type="textWrapping"/>
            </w:r>
            <w:r>
              <w:rPr>
                <w:rFonts w:ascii="宋体" w:hAnsi="宋体"/>
                <w:sz w:val="20"/>
              </w:rPr>
              <w:t>• 倒春寒绝产风险每2—3年出现一次</w:t>
            </w:r>
            <w:r>
              <w:rPr>
                <w:rFonts w:ascii="宋体" w:hAnsi="宋体"/>
                <w:sz w:val="20"/>
              </w:rPr>
              <w:br w:type="textWrapping"/>
            </w:r>
            <w:r>
              <w:rPr>
                <w:rFonts w:ascii="宋体" w:hAnsi="宋体"/>
                <w:sz w:val="20"/>
              </w:rPr>
              <w:t>• 团队毕业后运营延续性问题</w:t>
            </w:r>
            <w:r>
              <w:rPr>
                <w:rFonts w:ascii="宋体" w:hAnsi="宋体"/>
                <w:sz w:val="20"/>
              </w:rPr>
              <w:br w:type="textWrapping"/>
            </w:r>
            <w:r>
              <w:rPr>
                <w:rFonts w:ascii="宋体" w:hAnsi="宋体"/>
                <w:sz w:val="20"/>
              </w:rPr>
              <w:t>• 骑行市场新路线不断涌现</w:t>
            </w:r>
            <w:r>
              <w:rPr>
                <w:rFonts w:ascii="宋体" w:hAnsi="宋体"/>
                <w:sz w:val="20"/>
              </w:rPr>
              <w:br w:type="textWrapping"/>
            </w:r>
            <w:r>
              <w:rPr>
                <w:rFonts w:ascii="宋体" w:hAnsi="宋体"/>
                <w:sz w:val="20"/>
              </w:rPr>
              <w:t>• 联盟村分成谈判成本高,镇里尚未实质推进</w:t>
            </w:r>
            <w:r>
              <w:rPr>
                <w:rFonts w:ascii="宋体" w:hAnsi="宋体"/>
                <w:sz w:val="20"/>
              </w:rPr>
              <w:br w:type="textWrapping"/>
            </w:r>
            <w:r>
              <w:rPr>
                <w:rFonts w:ascii="宋体" w:hAnsi="宋体"/>
                <w:sz w:val="20"/>
              </w:rPr>
              <w:t>• 消费降级风险</w:t>
            </w:r>
          </w:p>
        </w:tc>
      </w:tr>
    </w:tbl>
    <w:p w14:paraId="44D43A37">
      <w:pPr>
        <w:ind w:firstLine="420"/>
        <w:rPr>
          <w:rFonts w:hint="eastAsia" w:ascii="宋体" w:hAnsi="宋体"/>
          <w:sz w:val="21"/>
          <w:szCs w:val="21"/>
        </w:rPr>
      </w:pPr>
      <w:r>
        <w:rPr>
          <w:rFonts w:hint="eastAsia" w:ascii="宋体" w:hAnsi="宋体"/>
          <w:sz w:val="21"/>
          <w:szCs w:val="21"/>
        </w:rPr>
        <w:t>如表所示，本项目的</w:t>
      </w:r>
      <w:r>
        <w:rPr>
          <w:rFonts w:ascii="宋体" w:hAnsi="宋体"/>
          <w:sz w:val="21"/>
          <w:szCs w:val="21"/>
        </w:rPr>
        <w:t>SWOT分析</w:t>
      </w:r>
      <w:r>
        <w:rPr>
          <w:rFonts w:hint="eastAsia" w:ascii="宋体" w:hAnsi="宋体"/>
          <w:sz w:val="21"/>
          <w:szCs w:val="21"/>
        </w:rPr>
        <w:t>主要</w:t>
      </w:r>
      <w:r>
        <w:rPr>
          <w:rFonts w:ascii="宋体" w:hAnsi="宋体"/>
          <w:sz w:val="21"/>
          <w:szCs w:val="21"/>
        </w:rPr>
        <w:t>呈现“</w:t>
      </w:r>
      <w:r>
        <w:rPr>
          <w:rFonts w:ascii="宋体" w:hAnsi="宋体"/>
          <w:b/>
          <w:bCs/>
          <w:sz w:val="21"/>
          <w:szCs w:val="21"/>
        </w:rPr>
        <w:t>优势集中、机会明确、劣势可补、威胁可控</w:t>
      </w:r>
      <w:r>
        <w:rPr>
          <w:rFonts w:ascii="宋体" w:hAnsi="宋体"/>
          <w:sz w:val="21"/>
          <w:szCs w:val="21"/>
        </w:rPr>
        <w:t>”的总体格局：</w:t>
      </w:r>
    </w:p>
    <w:p w14:paraId="690FB2CC">
      <w:pPr>
        <w:ind w:firstLine="420"/>
        <w:rPr>
          <w:rFonts w:hint="eastAsia" w:ascii="宋体" w:hAnsi="宋体"/>
          <w:sz w:val="21"/>
          <w:szCs w:val="21"/>
        </w:rPr>
      </w:pPr>
      <w:r>
        <w:rPr>
          <w:rFonts w:hint="eastAsia" w:ascii="宋体" w:hAnsi="宋体"/>
          <w:sz w:val="21"/>
          <w:szCs w:val="21"/>
        </w:rPr>
        <w:t>（1）</w:t>
      </w:r>
      <w:r>
        <w:rPr>
          <w:rFonts w:ascii="宋体" w:hAnsi="宋体"/>
          <w:sz w:val="21"/>
          <w:szCs w:val="21"/>
        </w:rPr>
        <w:t>优势端（S）的显著强化：团队全栈开发能力（六大模块自研）、第一书记人脉资源、高校合作网络等“软实力”优势更加突出</w:t>
      </w:r>
      <w:r>
        <w:rPr>
          <w:rFonts w:hint="eastAsia" w:ascii="宋体" w:hAnsi="宋体"/>
          <w:sz w:val="21"/>
          <w:szCs w:val="21"/>
        </w:rPr>
        <w:t>，</w:t>
      </w:r>
      <w:r>
        <w:rPr>
          <w:rFonts w:ascii="宋体" w:hAnsi="宋体"/>
          <w:sz w:val="21"/>
          <w:szCs w:val="21"/>
        </w:rPr>
        <w:t>一级水源地的品质背书在消费者认知中的价值持续提升，优势项的含金量同步增加。</w:t>
      </w:r>
    </w:p>
    <w:p w14:paraId="314F3415">
      <w:pPr>
        <w:ind w:firstLine="420"/>
        <w:rPr>
          <w:rFonts w:hint="eastAsia" w:ascii="宋体" w:hAnsi="宋体"/>
          <w:sz w:val="21"/>
          <w:szCs w:val="21"/>
        </w:rPr>
      </w:pPr>
      <w:r>
        <w:rPr>
          <w:rFonts w:hint="eastAsia" w:ascii="宋体" w:hAnsi="宋体"/>
          <w:sz w:val="21"/>
          <w:szCs w:val="21"/>
        </w:rPr>
        <w:t>（2）</w:t>
      </w:r>
      <w:r>
        <w:rPr>
          <w:rFonts w:ascii="宋体" w:hAnsi="宋体"/>
          <w:sz w:val="21"/>
          <w:szCs w:val="21"/>
        </w:rPr>
        <w:t>劣势端（W）的结构性问题：产量偏低和滞销率仍是核心痛点，但已从2023年的“亩产65%、滞销38%”改善至“亩产70%、滞销35%”</w:t>
      </w:r>
      <w:r>
        <w:rPr>
          <w:rFonts w:hint="eastAsia" w:ascii="宋体" w:hAnsi="宋体"/>
          <w:sz w:val="21"/>
          <w:szCs w:val="21"/>
        </w:rPr>
        <w:t>，但</w:t>
      </w:r>
      <w:r>
        <w:rPr>
          <w:rFonts w:ascii="宋体" w:hAnsi="宋体"/>
          <w:sz w:val="21"/>
          <w:szCs w:val="21"/>
        </w:rPr>
        <w:t>深加工产业链的缺失是制约非樱桃季营收的关键瓶颈，必须在本项目中重点突破。</w:t>
      </w:r>
    </w:p>
    <w:p w14:paraId="3878276D">
      <w:pPr>
        <w:ind w:firstLine="420"/>
        <w:rPr>
          <w:rFonts w:hint="eastAsia" w:ascii="宋体" w:hAnsi="宋体"/>
          <w:sz w:val="21"/>
          <w:szCs w:val="21"/>
        </w:rPr>
      </w:pPr>
      <w:r>
        <w:rPr>
          <w:rFonts w:hint="eastAsia" w:ascii="宋体" w:hAnsi="宋体"/>
          <w:sz w:val="21"/>
          <w:szCs w:val="21"/>
        </w:rPr>
        <w:t>（3）</w:t>
      </w:r>
      <w:r>
        <w:rPr>
          <w:rFonts w:ascii="宋体" w:hAnsi="宋体"/>
          <w:sz w:val="21"/>
          <w:szCs w:val="21"/>
        </w:rPr>
        <w:t>机会端（O）的确定性增强：骑行产业、研学市场、微度假、高端礼盒四条增长曲线趋势明确，且增速均超过15%</w:t>
      </w:r>
      <w:r>
        <w:rPr>
          <w:rFonts w:hint="eastAsia" w:ascii="宋体" w:hAnsi="宋体"/>
          <w:sz w:val="21"/>
          <w:szCs w:val="21"/>
        </w:rPr>
        <w:t>，而</w:t>
      </w:r>
      <w:r>
        <w:rPr>
          <w:rFonts w:ascii="宋体" w:hAnsi="宋体"/>
          <w:sz w:val="21"/>
          <w:szCs w:val="21"/>
        </w:rPr>
        <w:t>政策端的“十五五”窗口和“百千工程”第二阶段提供了实质性的资源争取空间。</w:t>
      </w:r>
    </w:p>
    <w:p w14:paraId="07A21A7A">
      <w:pPr>
        <w:ind w:firstLine="420"/>
        <w:rPr>
          <w:rFonts w:hint="eastAsia" w:ascii="宋体" w:hAnsi="宋体"/>
          <w:sz w:val="21"/>
          <w:szCs w:val="21"/>
        </w:rPr>
      </w:pPr>
      <w:r>
        <w:rPr>
          <w:rFonts w:hint="eastAsia" w:ascii="宋体" w:hAnsi="宋体"/>
          <w:sz w:val="21"/>
          <w:szCs w:val="21"/>
        </w:rPr>
        <w:t>（4）</w:t>
      </w:r>
      <w:r>
        <w:rPr>
          <w:rFonts w:ascii="宋体" w:hAnsi="宋体"/>
          <w:sz w:val="21"/>
          <w:szCs w:val="21"/>
        </w:rPr>
        <w:t>威胁端（T）的新变量：消费降级风险和骑行市场竞争加剧是新增的威胁因素，需要在风险应对中增加相应策略。</w:t>
      </w:r>
    </w:p>
    <w:p w14:paraId="11E0A036">
      <w:pPr>
        <w:pStyle w:val="3"/>
        <w:bidi w:val="0"/>
      </w:pPr>
      <w:bookmarkStart w:id="61" w:name="_Toc13535"/>
      <w:r>
        <w:rPr>
          <w:rFonts w:hint="eastAsia"/>
        </w:rPr>
        <w:t>3.9 需求矩阵</w:t>
      </w:r>
      <w:bookmarkEnd w:id="61"/>
    </w:p>
    <w:p w14:paraId="311F63F4">
      <w:pPr>
        <w:ind w:firstLine="480"/>
      </w:pPr>
      <w:r>
        <w:t>任何乡村振兴方案的落地，都必须建立在对多方需求的精准识别与系统回应之上。杨家东庄村的发展问题不是单一主体的诉求，而是出题方（村委会）、市场（消费者）和村民三个维度共同作用的结果。出题方关心的是方案</w:t>
      </w:r>
      <w:r>
        <w:rPr>
          <w:b/>
          <w:bCs/>
        </w:rPr>
        <w:t>能否在政策硬约束下真正带来收入增长</w:t>
      </w:r>
      <w:r>
        <w:t>，市场关心的是</w:t>
      </w:r>
      <w:r>
        <w:rPr>
          <w:b/>
          <w:bCs/>
        </w:rPr>
        <w:t>能否获得值得专程前往的差异化体验</w:t>
      </w:r>
      <w:r>
        <w:t>，村民关心的是能否从中</w:t>
      </w:r>
      <w:r>
        <w:rPr>
          <w:b/>
          <w:bCs/>
        </w:rPr>
        <w:t>获得实实在在的收益和参与感</w:t>
      </w:r>
      <w:r>
        <w:t>。这三个维度的需求既相互关联，又存在张力——如果只回应村委会的增收诉求而忽视市场端的体验价值，方案将无人买单；如果只追求消费者体验而忽视村民的参与能力与利益分配，方案将难以持续；如果只考虑村民增收而忽视村委会的合规底线和投入意愿，方案将寸步难行。因此，本项目的需求分析不是逐一罗列各方诉求，而是</w:t>
      </w:r>
      <w:r>
        <w:rPr>
          <w:b/>
          <w:bCs/>
        </w:rPr>
        <w:t>构建一个三维交叉矩阵，识别出同时满足三方需求的最大公约数</w:t>
      </w:r>
      <w:r>
        <w:t>，并以此作为方案设计的底层逻辑起点。</w:t>
      </w:r>
    </w:p>
    <w:p w14:paraId="004BEB82">
      <w:pPr>
        <w:pStyle w:val="6"/>
        <w:ind w:firstLine="400"/>
      </w:pPr>
      <w:r>
        <w:t>表3-9 三维需求矩阵</w:t>
      </w:r>
    </w:p>
    <w:tbl>
      <w:tblPr>
        <w:tblStyle w:val="27"/>
        <w:tblW w:w="5430" w:type="pct"/>
        <w:tblInd w:w="-71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9"/>
        <w:gridCol w:w="2477"/>
        <w:gridCol w:w="5029"/>
      </w:tblGrid>
      <w:tr w14:paraId="74386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45" w:type="pct"/>
            <w:tcBorders>
              <w:top w:val="single" w:color="000000" w:themeColor="text1" w:sz="18" w:space="0"/>
            </w:tcBorders>
            <w:vAlign w:val="center"/>
          </w:tcPr>
          <w:p w14:paraId="62EDABDE">
            <w:pPr>
              <w:ind w:firstLine="0" w:firstLineChars="0"/>
              <w:jc w:val="center"/>
              <w:rPr>
                <w:b/>
                <w:bCs/>
              </w:rPr>
            </w:pPr>
            <w:r>
              <w:rPr>
                <w:b/>
                <w:bCs/>
              </w:rPr>
              <w:t>需求维度</w:t>
            </w:r>
          </w:p>
        </w:tc>
        <w:tc>
          <w:tcPr>
            <w:tcW w:w="1338" w:type="pct"/>
            <w:tcBorders>
              <w:top w:val="single" w:color="000000" w:themeColor="text1" w:sz="18" w:space="0"/>
            </w:tcBorders>
            <w:vAlign w:val="center"/>
          </w:tcPr>
          <w:p w14:paraId="2FC2DA5B">
            <w:pPr>
              <w:ind w:firstLine="0" w:firstLineChars="0"/>
              <w:jc w:val="center"/>
              <w:rPr>
                <w:b/>
                <w:bCs/>
              </w:rPr>
            </w:pPr>
            <w:r>
              <w:rPr>
                <w:b/>
                <w:bCs/>
              </w:rPr>
              <w:t>核心需求</w:t>
            </w:r>
          </w:p>
        </w:tc>
        <w:tc>
          <w:tcPr>
            <w:tcW w:w="2718" w:type="pct"/>
            <w:tcBorders>
              <w:top w:val="single" w:color="000000" w:themeColor="text1" w:sz="18" w:space="0"/>
            </w:tcBorders>
            <w:vAlign w:val="center"/>
          </w:tcPr>
          <w:p w14:paraId="0310B18A">
            <w:pPr>
              <w:ind w:firstLine="0" w:firstLineChars="0"/>
              <w:jc w:val="center"/>
              <w:rPr>
                <w:b/>
                <w:bCs/>
              </w:rPr>
            </w:pPr>
            <w:r>
              <w:rPr>
                <w:b/>
                <w:bCs/>
              </w:rPr>
              <w:t>本项目的回应</w:t>
            </w:r>
          </w:p>
        </w:tc>
      </w:tr>
      <w:tr w14:paraId="14970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45" w:type="pct"/>
            <w:tcBorders>
              <w:top w:val="single" w:color="000000" w:themeColor="text1" w:sz="12" w:space="0"/>
            </w:tcBorders>
            <w:vAlign w:val="center"/>
          </w:tcPr>
          <w:p w14:paraId="2B13CF7C">
            <w:pPr>
              <w:ind w:firstLine="0" w:firstLineChars="0"/>
              <w:jc w:val="center"/>
            </w:pPr>
            <w:r>
              <w:t>出题方</w:t>
            </w:r>
          </w:p>
          <w:p w14:paraId="7F3FB059">
            <w:pPr>
              <w:ind w:firstLine="0" w:firstLineChars="0"/>
              <w:jc w:val="center"/>
            </w:pPr>
            <w:r>
              <w:t>（村委会）</w:t>
            </w:r>
          </w:p>
        </w:tc>
        <w:tc>
          <w:tcPr>
            <w:tcW w:w="1338" w:type="pct"/>
            <w:tcBorders>
              <w:top w:val="single" w:color="000000" w:themeColor="text1" w:sz="12" w:space="0"/>
            </w:tcBorders>
            <w:vAlign w:val="center"/>
          </w:tcPr>
          <w:p w14:paraId="291ABF3A">
            <w:pPr>
              <w:ind w:firstLine="0" w:firstLineChars="0"/>
              <w:jc w:val="center"/>
            </w:pPr>
            <w:r>
              <w:t>樱桃品牌营销落地；骑行方案实施；三产融合创新；低成本、可盈利、合规</w:t>
            </w:r>
          </w:p>
        </w:tc>
        <w:tc>
          <w:tcPr>
            <w:tcW w:w="2718" w:type="pct"/>
            <w:tcBorders>
              <w:top w:val="single" w:color="000000" w:themeColor="text1" w:sz="12" w:space="0"/>
            </w:tcBorders>
            <w:vAlign w:val="center"/>
          </w:tcPr>
          <w:p w14:paraId="7433CA36">
            <w:pPr>
              <w:ind w:firstLine="0" w:firstLineChars="0"/>
              <w:jc w:val="center"/>
            </w:pPr>
            <w:r>
              <w:t>品牌升级与“一树一人”认养体系（品牌营销主线）；北京水源地骑行联盟+无人驿站（骑行方案合规落地）；林下经济+外部代工品牌授权（三产融合路径）；村委会零新增现金投入、零新增经营主体</w:t>
            </w:r>
          </w:p>
        </w:tc>
      </w:tr>
      <w:tr w14:paraId="6E3F9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45" w:type="pct"/>
            <w:vAlign w:val="center"/>
          </w:tcPr>
          <w:p w14:paraId="73CA7A98">
            <w:pPr>
              <w:ind w:firstLine="0" w:firstLineChars="0"/>
              <w:jc w:val="center"/>
            </w:pPr>
            <w:r>
              <w:t>市场</w:t>
            </w:r>
          </w:p>
          <w:p w14:paraId="370148D4">
            <w:pPr>
              <w:ind w:firstLine="0" w:firstLineChars="0"/>
              <w:jc w:val="center"/>
            </w:pPr>
            <w:r>
              <w:t>（消费者）</w:t>
            </w:r>
          </w:p>
        </w:tc>
        <w:tc>
          <w:tcPr>
            <w:tcW w:w="1338" w:type="pct"/>
            <w:vAlign w:val="center"/>
          </w:tcPr>
          <w:p w14:paraId="4BD55D00">
            <w:pPr>
              <w:ind w:firstLine="0" w:firstLineChars="0"/>
              <w:jc w:val="center"/>
            </w:pPr>
            <w:r>
              <w:t>京郊周末轻度假；亲子研学；拍照打卡传播；健康可溯源的农产品；差异化体验</w:t>
            </w:r>
          </w:p>
        </w:tc>
        <w:tc>
          <w:tcPr>
            <w:tcW w:w="2718" w:type="pct"/>
            <w:vAlign w:val="center"/>
          </w:tcPr>
          <w:p w14:paraId="42081B36">
            <w:pPr>
              <w:ind w:firstLine="0" w:firstLineChars="0"/>
              <w:jc w:val="center"/>
            </w:pPr>
            <w:r>
              <w:t>四季产品矩阵覆盖全年需求；骑行海报自动合成+打卡积分系统满足社交传播；水源地认证+溯源二维码建立品质信任；联盟路线串联骑行、采摘、科普、餐饮完整体验链</w:t>
            </w:r>
          </w:p>
        </w:tc>
      </w:tr>
      <w:tr w14:paraId="329B7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45" w:type="pct"/>
            <w:tcBorders>
              <w:bottom w:val="single" w:color="000000" w:themeColor="text1" w:sz="18" w:space="0"/>
            </w:tcBorders>
            <w:vAlign w:val="center"/>
          </w:tcPr>
          <w:p w14:paraId="43211AED">
            <w:pPr>
              <w:ind w:firstLine="0" w:firstLineChars="0"/>
              <w:jc w:val="center"/>
            </w:pPr>
            <w:r>
              <w:t>村民</w:t>
            </w:r>
          </w:p>
        </w:tc>
        <w:tc>
          <w:tcPr>
            <w:tcW w:w="1338" w:type="pct"/>
            <w:tcBorders>
              <w:bottom w:val="single" w:color="000000" w:themeColor="text1" w:sz="18" w:space="0"/>
            </w:tcBorders>
            <w:vAlign w:val="center"/>
          </w:tcPr>
          <w:p w14:paraId="5EBDAFAF">
            <w:pPr>
              <w:ind w:firstLine="0" w:firstLineChars="0"/>
              <w:jc w:val="center"/>
            </w:pPr>
            <w:r>
              <w:t>增收；稳定就业；参与感；技能可胜任；收益可持续</w:t>
            </w:r>
          </w:p>
        </w:tc>
        <w:tc>
          <w:tcPr>
            <w:tcW w:w="2718" w:type="pct"/>
            <w:tcBorders>
              <w:bottom w:val="single" w:color="000000" w:themeColor="text1" w:sz="18" w:space="0"/>
            </w:tcBorders>
            <w:vAlign w:val="center"/>
          </w:tcPr>
          <w:p w14:paraId="145D896C">
            <w:pPr>
              <w:ind w:firstLine="0" w:firstLineChars="0"/>
              <w:jc w:val="center"/>
            </w:pPr>
            <w:r>
              <w:t>认养管家一人多岗设计（年收入3.6—5.4万元）；采摘接待与导览岗位（季节性增收）；驿站巡检等轻劳力岗位（日薪制）；收益共享机制确保分配透明</w:t>
            </w:r>
          </w:p>
        </w:tc>
      </w:tr>
    </w:tbl>
    <w:p w14:paraId="112F1E3C">
      <w:pPr>
        <w:ind w:firstLine="480"/>
      </w:pPr>
      <w:r>
        <w:t>从表3-9可以看出，本项目的方案设计并非在三方需求之间做取舍或折中，而是找到了一个能够同时回应三方诉求的战略支点。对于出题方，</w:t>
      </w:r>
      <w:r>
        <w:rPr>
          <w:b/>
          <w:bCs/>
        </w:rPr>
        <w:t>认养计划</w:t>
      </w:r>
      <w:r>
        <w:t>既完成了樱桃品牌营销的升级任务，又通过预售机制锁定了收入，且全程不涉及新增经营许可——认养的法律性质是农事体验与农产品预售，在合作社现有经营许可范围内。</w:t>
      </w:r>
      <w:r>
        <w:rPr>
          <w:rFonts w:hint="eastAsia"/>
        </w:rPr>
        <w:t>而</w:t>
      </w:r>
      <w:r>
        <w:t>骑行方案没有选择“本村自建骑行道”这条违反政策且投入巨大的路径，而是以</w:t>
      </w:r>
      <w:r>
        <w:rPr>
          <w:b/>
          <w:bCs/>
        </w:rPr>
        <w:t>“北京水源地骑行联盟”组织者的身份</w:t>
      </w:r>
      <w:r>
        <w:t>，将流量组织权转化为品牌分润和技术服务费，同样完成了出题方要求的“联合周边地区实施骑行打卡方案”任务。三产融合则</w:t>
      </w:r>
      <w:r>
        <w:rPr>
          <w:b/>
          <w:bCs/>
        </w:rPr>
        <w:t>通过林菌种植（一产）、外部代工品牌授权（二产）、研学与认养到访（三产）三条路径闭环</w:t>
      </w:r>
      <w:r>
        <w:t>，每一环都严格踩在合规边界内。</w:t>
      </w:r>
    </w:p>
    <w:p w14:paraId="2E6ACE70">
      <w:pPr>
        <w:ind w:firstLine="480"/>
      </w:pPr>
      <w:r>
        <w:t>对于市场，骑行海报自动合成回应了社交传播需求，溯源二维码回应了品质信任需求，联盟路线串联回应了“骑完有地方消费”的体验完整性需求，认养数字孪生回应了亲子家庭“拥有一棵树”的情感需求。对于村民，岗位设计充分考虑了老龄化人口的实际能力——认养管家的核心工作是拍照上传、执行标准化的互动服务、接待到访认养人，这些任务经过七至十天培训即可胜任；采摘接待和导览讲解则复用村民已有的农业知识和在地经验，不需要全新的技能结构。</w:t>
      </w:r>
    </w:p>
    <w:p w14:paraId="04100D17">
      <w:pPr>
        <w:ind w:firstLine="480"/>
      </w:pPr>
      <w:r>
        <w:t>值得进一步说明的是，需求矩阵中的每一项回应都不是孤立的单点对策，而是</w:t>
      </w:r>
      <w:r>
        <w:rPr>
          <w:b/>
          <w:bCs/>
        </w:rPr>
        <w:t>彼此耦合的系统性设计</w:t>
      </w:r>
      <w:r>
        <w:t>。</w:t>
      </w:r>
      <w:r>
        <w:rPr>
          <w:rFonts w:hint="eastAsia"/>
        </w:rPr>
        <w:t>本项目的</w:t>
      </w:r>
      <w:r>
        <w:t>认养计划同时回应了出题方的</w:t>
      </w:r>
      <w:r>
        <w:rPr>
          <w:b/>
          <w:bCs/>
        </w:rPr>
        <w:t>品牌营销任务</w:t>
      </w:r>
      <w:r>
        <w:t>、消费者的</w:t>
      </w:r>
      <w:r>
        <w:rPr>
          <w:b/>
          <w:bCs/>
        </w:rPr>
        <w:t>情感订阅需求</w:t>
      </w:r>
      <w:r>
        <w:t>和村民的</w:t>
      </w:r>
      <w:r>
        <w:rPr>
          <w:b/>
          <w:bCs/>
        </w:rPr>
        <w:t>管家岗位增收需求</w:t>
      </w:r>
      <w:r>
        <w:t>——一个产品承载了三重功能。</w:t>
      </w:r>
    </w:p>
    <w:p w14:paraId="19124019">
      <w:pPr>
        <w:pStyle w:val="3"/>
        <w:bidi w:val="0"/>
        <w:rPr>
          <w:rFonts w:hint="eastAsia"/>
        </w:rPr>
      </w:pPr>
      <w:bookmarkStart w:id="62" w:name="_Toc4984"/>
      <w:r>
        <w:t>3.10 STP分析</w:t>
      </w:r>
      <w:bookmarkEnd w:id="62"/>
    </w:p>
    <w:p w14:paraId="39E8248A">
      <w:pPr>
        <w:ind w:firstLine="420"/>
        <w:rPr>
          <w:rFonts w:hint="eastAsia" w:ascii="宋体" w:hAnsi="宋体"/>
          <w:sz w:val="21"/>
          <w:szCs w:val="21"/>
        </w:rPr>
      </w:pPr>
      <w:r>
        <w:rPr>
          <w:rFonts w:hint="eastAsia" w:ascii="宋体" w:hAnsi="宋体"/>
          <w:sz w:val="21"/>
          <w:szCs w:val="21"/>
        </w:rPr>
        <w:t>基于潜在消费者问卷（n=200）的量化分析，本研究采用K-means聚类与Logistic回归相结合的方法，构建</w:t>
      </w:r>
      <w:r>
        <w:rPr>
          <w:rFonts w:hint="eastAsia" w:ascii="宋体" w:hAnsi="宋体"/>
          <w:b/>
          <w:bCs/>
          <w:sz w:val="21"/>
          <w:szCs w:val="21"/>
        </w:rPr>
        <w:t>“认知—意愿—行为”三维市场细分模型</w:t>
      </w:r>
      <w:r>
        <w:rPr>
          <w:rFonts w:hint="eastAsia" w:ascii="宋体" w:hAnsi="宋体"/>
          <w:sz w:val="21"/>
          <w:szCs w:val="21"/>
        </w:rPr>
        <w:t>，精准识别目标客群，为后续品牌传播、产品定价与渠道策略提供数据驱动决策依据。</w:t>
      </w:r>
    </w:p>
    <w:p w14:paraId="16F33D2B">
      <w:pPr>
        <w:ind w:firstLine="422"/>
        <w:rPr>
          <w:rFonts w:hint="eastAsia" w:ascii="宋体" w:hAnsi="宋体"/>
          <w:b/>
          <w:bCs/>
          <w:sz w:val="21"/>
          <w:szCs w:val="21"/>
        </w:rPr>
      </w:pPr>
      <w:bookmarkStart w:id="63" w:name="_Toc27116"/>
      <w:r>
        <w:rPr>
          <w:rStyle w:val="30"/>
          <w:rFonts w:hint="eastAsia"/>
        </w:rPr>
        <w:t xml:space="preserve">3.10.1 </w:t>
      </w:r>
      <w:r>
        <w:rPr>
          <w:rStyle w:val="30"/>
        </w:rPr>
        <w:t>S——市场细分</w:t>
      </w:r>
      <w:bookmarkEnd w:id="63"/>
      <w:r>
        <w:rPr>
          <w:rFonts w:ascii="宋体" w:hAnsi="宋体"/>
          <w:b/>
          <w:bCs/>
          <w:sz w:val="21"/>
          <w:szCs w:val="21"/>
        </w:rPr>
        <w:t>（Segmentation）</w:t>
      </w:r>
    </w:p>
    <w:p w14:paraId="0B8B05DD">
      <w:pPr>
        <w:ind w:firstLine="422"/>
        <w:rPr>
          <w:rFonts w:hint="eastAsia" w:ascii="宋体" w:hAnsi="宋体"/>
          <w:b/>
          <w:bCs/>
          <w:sz w:val="21"/>
          <w:szCs w:val="21"/>
        </w:rPr>
      </w:pPr>
      <w:r>
        <w:rPr>
          <w:rFonts w:hint="eastAsia" w:ascii="宋体" w:hAnsi="宋体"/>
          <w:b/>
          <w:bCs/>
          <w:sz w:val="21"/>
          <w:szCs w:val="21"/>
        </w:rPr>
        <w:t>1.</w:t>
      </w:r>
      <w:r>
        <w:rPr>
          <w:rFonts w:ascii="宋体" w:hAnsi="宋体"/>
          <w:b/>
          <w:bCs/>
          <w:sz w:val="21"/>
          <w:szCs w:val="21"/>
        </w:rPr>
        <w:t>K-means聚类分析</w:t>
      </w:r>
    </w:p>
    <w:p w14:paraId="34EC3610">
      <w:pPr>
        <w:ind w:firstLine="420"/>
        <w:rPr>
          <w:rFonts w:hint="eastAsia" w:ascii="宋体" w:hAnsi="宋体"/>
          <w:sz w:val="21"/>
          <w:szCs w:val="21"/>
        </w:rPr>
      </w:pPr>
      <w:r>
        <w:rPr>
          <w:rFonts w:ascii="宋体" w:hAnsi="宋体"/>
          <w:sz w:val="21"/>
          <w:szCs w:val="21"/>
        </w:rPr>
        <w:t>为突破传统乡村项目依赖主观经验划分客群的局限，团队选取骑行兴趣、产品概念理解、价格接受度、溢价支付意愿、认养计划兴趣、到访意愿六个核心变量，对200份有效消费者问卷进行K-means聚类分析。经数据标准化处理后，采用轮廓系数与Calinski-Harabasz（CH）指数评估聚类质量，确定最优聚类数K=2，此时轮廓系数达0.242（接近行业0.25良好阈值），CH指数达全局峰值81.2，表明两类客群在统计上存在极显著差异（p&lt;0.001）。</w:t>
      </w:r>
    </w:p>
    <w:p w14:paraId="4885F8E9">
      <w:pPr>
        <w:pStyle w:val="6"/>
        <w:ind w:firstLine="400"/>
      </w:pPr>
      <w:r>
        <w:t>表3-8 聚类质量评估指标体系</w:t>
      </w:r>
    </w:p>
    <w:tbl>
      <w:tblPr>
        <w:tblStyle w:val="28"/>
        <w:tblW w:w="0" w:type="auto"/>
        <w:tblInd w:w="-289" w:type="dxa"/>
        <w:tblBorders>
          <w:top w:val="single" w:color="DADADA" w:sz="4" w:space="0"/>
          <w:left w:val="single" w:color="DADADA" w:sz="4" w:space="0"/>
          <w:bottom w:val="single" w:color="DADADA" w:sz="4" w:space="0"/>
          <w:right w:val="single" w:color="DADADA" w:sz="4" w:space="0"/>
          <w:insideH w:val="single" w:color="DADADA" w:sz="4" w:space="0"/>
          <w:insideV w:val="single" w:color="DADADA" w:sz="4" w:space="0"/>
        </w:tblBorders>
        <w:tblLayout w:type="autofit"/>
        <w:tblCellMar>
          <w:top w:w="0" w:type="dxa"/>
          <w:left w:w="108" w:type="dxa"/>
          <w:bottom w:w="0" w:type="dxa"/>
          <w:right w:w="108" w:type="dxa"/>
        </w:tblCellMar>
      </w:tblPr>
      <w:tblGrid>
        <w:gridCol w:w="1166"/>
        <w:gridCol w:w="741"/>
        <w:gridCol w:w="741"/>
        <w:gridCol w:w="741"/>
        <w:gridCol w:w="741"/>
        <w:gridCol w:w="1108"/>
        <w:gridCol w:w="3573"/>
      </w:tblGrid>
      <w:tr w14:paraId="5FEC0A57">
        <w:tblPrEx>
          <w:tblBorders>
            <w:top w:val="single" w:color="DADADA" w:sz="4" w:space="0"/>
            <w:left w:val="single" w:color="DADADA" w:sz="4" w:space="0"/>
            <w:bottom w:val="single" w:color="DADADA" w:sz="4" w:space="0"/>
            <w:right w:val="single" w:color="DADADA" w:sz="4" w:space="0"/>
            <w:insideH w:val="single" w:color="DADADA" w:sz="4" w:space="0"/>
            <w:insideV w:val="single" w:color="DADADA" w:sz="4" w:space="0"/>
          </w:tblBorders>
          <w:tblCellMar>
            <w:top w:w="0" w:type="dxa"/>
            <w:left w:w="108" w:type="dxa"/>
            <w:bottom w:w="0" w:type="dxa"/>
            <w:right w:w="108" w:type="dxa"/>
          </w:tblCellMar>
        </w:tblPrEx>
        <w:tc>
          <w:tcPr>
            <w:tcW w:w="1166" w:type="dxa"/>
            <w:tcBorders>
              <w:top w:val="single" w:color="auto" w:sz="18" w:space="0"/>
              <w:bottom w:val="single" w:color="auto" w:sz="12" w:space="0"/>
            </w:tcBorders>
          </w:tcPr>
          <w:p w14:paraId="0D3596B3">
            <w:pPr>
              <w:ind w:firstLine="0" w:firstLineChars="0"/>
              <w:jc w:val="center"/>
              <w:rPr>
                <w:rFonts w:hint="eastAsia" w:ascii="宋体" w:hAnsi="宋体" w:cs="Times New Roman"/>
                <w:b w:val="0"/>
                <w:bCs w:val="0"/>
                <w:kern w:val="0"/>
                <w:sz w:val="21"/>
                <w:szCs w:val="21"/>
                <w14:ligatures w14:val="none"/>
              </w:rPr>
            </w:pPr>
            <w:r>
              <w:rPr>
                <w:rFonts w:hint="default" w:ascii="宋体" w:hAnsi="宋体" w:cs="Times New Roman"/>
                <w:b w:val="0"/>
                <w:bCs w:val="0"/>
                <w:kern w:val="0"/>
                <w:sz w:val="21"/>
                <w:szCs w:val="21"/>
                <w14:ligatures w14:val="none"/>
              </w:rPr>
              <w:t>评估指标</w:t>
            </w:r>
          </w:p>
        </w:tc>
        <w:tc>
          <w:tcPr>
            <w:tcW w:w="0" w:type="auto"/>
            <w:tcBorders>
              <w:top w:val="single" w:color="auto" w:sz="18" w:space="0"/>
              <w:bottom w:val="single" w:color="auto" w:sz="12" w:space="0"/>
            </w:tcBorders>
          </w:tcPr>
          <w:p w14:paraId="4000486D">
            <w:pPr>
              <w:ind w:firstLine="0" w:firstLineChars="0"/>
              <w:jc w:val="center"/>
              <w:rPr>
                <w:rFonts w:hint="eastAsia" w:ascii="宋体" w:hAnsi="宋体" w:cs="Times New Roman"/>
                <w:b w:val="0"/>
                <w:bCs w:val="0"/>
                <w:kern w:val="0"/>
                <w:sz w:val="21"/>
                <w:szCs w:val="21"/>
                <w14:ligatures w14:val="none"/>
              </w:rPr>
            </w:pPr>
            <w:r>
              <w:rPr>
                <w:rFonts w:hint="default" w:ascii="宋体" w:hAnsi="宋体" w:cs="Times New Roman"/>
                <w:b w:val="0"/>
                <w:bCs w:val="0"/>
                <w:kern w:val="0"/>
                <w:sz w:val="21"/>
                <w:szCs w:val="21"/>
                <w14:ligatures w14:val="none"/>
              </w:rPr>
              <w:t>K=2</w:t>
            </w:r>
          </w:p>
        </w:tc>
        <w:tc>
          <w:tcPr>
            <w:tcW w:w="0" w:type="auto"/>
            <w:tcBorders>
              <w:top w:val="single" w:color="auto" w:sz="18" w:space="0"/>
              <w:bottom w:val="single" w:color="auto" w:sz="12" w:space="0"/>
            </w:tcBorders>
          </w:tcPr>
          <w:p w14:paraId="2EAE1ACD">
            <w:pPr>
              <w:ind w:firstLine="0" w:firstLineChars="0"/>
              <w:jc w:val="center"/>
              <w:rPr>
                <w:rFonts w:hint="eastAsia" w:ascii="宋体" w:hAnsi="宋体" w:cs="Times New Roman"/>
                <w:b w:val="0"/>
                <w:bCs w:val="0"/>
                <w:kern w:val="0"/>
                <w:sz w:val="21"/>
                <w:szCs w:val="21"/>
                <w14:ligatures w14:val="none"/>
              </w:rPr>
            </w:pPr>
            <w:r>
              <w:rPr>
                <w:rFonts w:hint="default" w:ascii="宋体" w:hAnsi="宋体" w:cs="Times New Roman"/>
                <w:b w:val="0"/>
                <w:bCs w:val="0"/>
                <w:kern w:val="0"/>
                <w:sz w:val="21"/>
                <w:szCs w:val="21"/>
                <w14:ligatures w14:val="none"/>
              </w:rPr>
              <w:t>K=3</w:t>
            </w:r>
          </w:p>
        </w:tc>
        <w:tc>
          <w:tcPr>
            <w:tcW w:w="0" w:type="auto"/>
            <w:tcBorders>
              <w:top w:val="single" w:color="auto" w:sz="18" w:space="0"/>
              <w:bottom w:val="single" w:color="auto" w:sz="12" w:space="0"/>
            </w:tcBorders>
          </w:tcPr>
          <w:p w14:paraId="555841CA">
            <w:pPr>
              <w:ind w:firstLine="0" w:firstLineChars="0"/>
              <w:jc w:val="center"/>
              <w:rPr>
                <w:rFonts w:hint="eastAsia" w:ascii="宋体" w:hAnsi="宋体" w:cs="Times New Roman"/>
                <w:b w:val="0"/>
                <w:bCs w:val="0"/>
                <w:kern w:val="0"/>
                <w:sz w:val="21"/>
                <w:szCs w:val="21"/>
                <w14:ligatures w14:val="none"/>
              </w:rPr>
            </w:pPr>
            <w:r>
              <w:rPr>
                <w:rFonts w:hint="default" w:ascii="宋体" w:hAnsi="宋体" w:cs="Times New Roman"/>
                <w:b w:val="0"/>
                <w:bCs w:val="0"/>
                <w:kern w:val="0"/>
                <w:sz w:val="21"/>
                <w:szCs w:val="21"/>
                <w14:ligatures w14:val="none"/>
              </w:rPr>
              <w:t>K=4</w:t>
            </w:r>
          </w:p>
        </w:tc>
        <w:tc>
          <w:tcPr>
            <w:tcW w:w="0" w:type="auto"/>
            <w:tcBorders>
              <w:top w:val="single" w:color="auto" w:sz="18" w:space="0"/>
              <w:bottom w:val="single" w:color="auto" w:sz="12" w:space="0"/>
            </w:tcBorders>
          </w:tcPr>
          <w:p w14:paraId="7B7045ED">
            <w:pPr>
              <w:ind w:firstLine="0" w:firstLineChars="0"/>
              <w:jc w:val="center"/>
              <w:rPr>
                <w:rFonts w:hint="eastAsia" w:ascii="宋体" w:hAnsi="宋体" w:cs="Times New Roman"/>
                <w:b w:val="0"/>
                <w:bCs w:val="0"/>
                <w:kern w:val="0"/>
                <w:sz w:val="21"/>
                <w:szCs w:val="21"/>
                <w14:ligatures w14:val="none"/>
              </w:rPr>
            </w:pPr>
            <w:r>
              <w:rPr>
                <w:rFonts w:hint="default" w:ascii="宋体" w:hAnsi="宋体" w:cs="Times New Roman"/>
                <w:b w:val="0"/>
                <w:bCs w:val="0"/>
                <w:kern w:val="0"/>
                <w:sz w:val="21"/>
                <w:szCs w:val="21"/>
                <w14:ligatures w14:val="none"/>
              </w:rPr>
              <w:t>K=5</w:t>
            </w:r>
          </w:p>
        </w:tc>
        <w:tc>
          <w:tcPr>
            <w:tcW w:w="0" w:type="auto"/>
            <w:tcBorders>
              <w:top w:val="single" w:color="auto" w:sz="18" w:space="0"/>
              <w:bottom w:val="single" w:color="auto" w:sz="12" w:space="0"/>
            </w:tcBorders>
          </w:tcPr>
          <w:p w14:paraId="1846CEDA">
            <w:pPr>
              <w:ind w:firstLine="0" w:firstLineChars="0"/>
              <w:jc w:val="center"/>
              <w:rPr>
                <w:rFonts w:hint="eastAsia" w:ascii="宋体" w:hAnsi="宋体" w:cs="Times New Roman"/>
                <w:b w:val="0"/>
                <w:bCs w:val="0"/>
                <w:kern w:val="0"/>
                <w:sz w:val="21"/>
                <w:szCs w:val="21"/>
                <w14:ligatures w14:val="none"/>
              </w:rPr>
            </w:pPr>
            <w:r>
              <w:rPr>
                <w:rFonts w:hint="default" w:ascii="宋体" w:hAnsi="宋体" w:cs="Times New Roman"/>
                <w:b w:val="0"/>
                <w:bCs w:val="0"/>
                <w:kern w:val="0"/>
                <w:sz w:val="21"/>
                <w:szCs w:val="21"/>
                <w14:ligatures w14:val="none"/>
              </w:rPr>
              <w:t>指标基准</w:t>
            </w:r>
          </w:p>
        </w:tc>
        <w:tc>
          <w:tcPr>
            <w:tcW w:w="0" w:type="auto"/>
            <w:tcBorders>
              <w:top w:val="single" w:color="auto" w:sz="18" w:space="0"/>
              <w:bottom w:val="single" w:color="auto" w:sz="12" w:space="0"/>
            </w:tcBorders>
          </w:tcPr>
          <w:p w14:paraId="5670D06B">
            <w:pPr>
              <w:ind w:firstLine="0" w:firstLineChars="0"/>
              <w:jc w:val="center"/>
              <w:rPr>
                <w:rFonts w:hint="eastAsia" w:ascii="宋体" w:hAnsi="宋体" w:cs="Times New Roman"/>
                <w:b w:val="0"/>
                <w:bCs w:val="0"/>
                <w:kern w:val="0"/>
                <w:sz w:val="21"/>
                <w:szCs w:val="21"/>
                <w14:ligatures w14:val="none"/>
              </w:rPr>
            </w:pPr>
            <w:r>
              <w:rPr>
                <w:rFonts w:hint="default" w:ascii="宋体" w:hAnsi="宋体" w:cs="Times New Roman"/>
                <w:b w:val="0"/>
                <w:bCs w:val="0"/>
                <w:kern w:val="0"/>
                <w:sz w:val="21"/>
                <w:szCs w:val="21"/>
                <w14:ligatures w14:val="none"/>
              </w:rPr>
              <w:t>解读</w:t>
            </w:r>
          </w:p>
        </w:tc>
      </w:tr>
      <w:tr w14:paraId="248674DC">
        <w:tblPrEx>
          <w:tblBorders>
            <w:top w:val="single" w:color="DADADA" w:sz="4" w:space="0"/>
            <w:left w:val="single" w:color="DADADA" w:sz="4" w:space="0"/>
            <w:bottom w:val="single" w:color="DADADA" w:sz="4" w:space="0"/>
            <w:right w:val="single" w:color="DADADA" w:sz="4" w:space="0"/>
            <w:insideH w:val="single" w:color="DADADA" w:sz="4" w:space="0"/>
            <w:insideV w:val="single" w:color="DADADA" w:sz="4" w:space="0"/>
          </w:tblBorders>
          <w:tblCellMar>
            <w:top w:w="0" w:type="dxa"/>
            <w:left w:w="108" w:type="dxa"/>
            <w:bottom w:w="0" w:type="dxa"/>
            <w:right w:w="108" w:type="dxa"/>
          </w:tblCellMar>
        </w:tblPrEx>
        <w:tc>
          <w:tcPr>
            <w:tcW w:w="1166" w:type="dxa"/>
            <w:tcBorders>
              <w:top w:val="single" w:color="auto" w:sz="12" w:space="0"/>
            </w:tcBorders>
          </w:tcPr>
          <w:p w14:paraId="4C524A57">
            <w:pPr>
              <w:ind w:firstLine="0" w:firstLineChars="0"/>
              <w:jc w:val="center"/>
              <w:rPr>
                <w:rFonts w:hint="eastAsia" w:ascii="宋体" w:hAnsi="宋体" w:cs="Times New Roman"/>
                <w:b w:val="0"/>
                <w:bCs w:val="0"/>
                <w:kern w:val="0"/>
                <w:sz w:val="21"/>
                <w:szCs w:val="21"/>
                <w14:ligatures w14:val="none"/>
              </w:rPr>
            </w:pPr>
            <w:r>
              <w:rPr>
                <w:rFonts w:hint="default" w:ascii="宋体" w:hAnsi="宋体" w:cs="Times New Roman"/>
                <w:b w:val="0"/>
                <w:bCs w:val="0"/>
                <w:kern w:val="0"/>
                <w:sz w:val="21"/>
                <w:szCs w:val="21"/>
                <w14:ligatures w14:val="none"/>
              </w:rPr>
              <w:t>轮廓系数</w:t>
            </w:r>
          </w:p>
        </w:tc>
        <w:tc>
          <w:tcPr>
            <w:tcW w:w="0" w:type="auto"/>
            <w:tcBorders>
              <w:top w:val="single" w:color="auto" w:sz="12" w:space="0"/>
            </w:tcBorders>
          </w:tcPr>
          <w:p w14:paraId="6F6FE89D">
            <w:pPr>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0.242</w:t>
            </w:r>
          </w:p>
        </w:tc>
        <w:tc>
          <w:tcPr>
            <w:tcW w:w="0" w:type="auto"/>
            <w:tcBorders>
              <w:top w:val="single" w:color="auto" w:sz="12" w:space="0"/>
            </w:tcBorders>
          </w:tcPr>
          <w:p w14:paraId="7A29E703">
            <w:pPr>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0.176</w:t>
            </w:r>
          </w:p>
        </w:tc>
        <w:tc>
          <w:tcPr>
            <w:tcW w:w="0" w:type="auto"/>
            <w:tcBorders>
              <w:top w:val="single" w:color="auto" w:sz="12" w:space="0"/>
            </w:tcBorders>
          </w:tcPr>
          <w:p w14:paraId="20A96F3A">
            <w:pPr>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0.181</w:t>
            </w:r>
          </w:p>
        </w:tc>
        <w:tc>
          <w:tcPr>
            <w:tcW w:w="0" w:type="auto"/>
            <w:tcBorders>
              <w:top w:val="single" w:color="auto" w:sz="12" w:space="0"/>
            </w:tcBorders>
          </w:tcPr>
          <w:p w14:paraId="60E17C36">
            <w:pPr>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0.174</w:t>
            </w:r>
          </w:p>
        </w:tc>
        <w:tc>
          <w:tcPr>
            <w:tcW w:w="0" w:type="auto"/>
            <w:tcBorders>
              <w:top w:val="single" w:color="auto" w:sz="12" w:space="0"/>
            </w:tcBorders>
          </w:tcPr>
          <w:p w14:paraId="56D6069B">
            <w:pPr>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&gt;0.25良好</w:t>
            </w:r>
          </w:p>
        </w:tc>
        <w:tc>
          <w:tcPr>
            <w:tcW w:w="0" w:type="auto"/>
            <w:tcBorders>
              <w:top w:val="single" w:color="auto" w:sz="12" w:space="0"/>
            </w:tcBorders>
          </w:tcPr>
          <w:p w14:paraId="2AF544E8">
            <w:pPr>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接近良好水平，类内紧密性与类间分离度最优</w:t>
            </w:r>
          </w:p>
        </w:tc>
      </w:tr>
      <w:tr w14:paraId="223E4AF7">
        <w:tblPrEx>
          <w:tblBorders>
            <w:top w:val="single" w:color="DADADA" w:sz="4" w:space="0"/>
            <w:left w:val="single" w:color="DADADA" w:sz="4" w:space="0"/>
            <w:bottom w:val="single" w:color="DADADA" w:sz="4" w:space="0"/>
            <w:right w:val="single" w:color="DADADA" w:sz="4" w:space="0"/>
            <w:insideH w:val="single" w:color="DADADA" w:sz="4" w:space="0"/>
            <w:insideV w:val="single" w:color="DADADA" w:sz="4" w:space="0"/>
          </w:tblBorders>
          <w:tblCellMar>
            <w:top w:w="0" w:type="dxa"/>
            <w:left w:w="108" w:type="dxa"/>
            <w:bottom w:w="0" w:type="dxa"/>
            <w:right w:w="108" w:type="dxa"/>
          </w:tblCellMar>
        </w:tblPrEx>
        <w:tc>
          <w:tcPr>
            <w:tcW w:w="1166" w:type="dxa"/>
          </w:tcPr>
          <w:p w14:paraId="75BD05D3">
            <w:pPr>
              <w:ind w:firstLine="0" w:firstLineChars="0"/>
              <w:jc w:val="center"/>
              <w:rPr>
                <w:rFonts w:hint="eastAsia" w:ascii="宋体" w:hAnsi="宋体" w:cs="Times New Roman"/>
                <w:b w:val="0"/>
                <w:bCs w:val="0"/>
                <w:kern w:val="0"/>
                <w:sz w:val="21"/>
                <w:szCs w:val="21"/>
                <w14:ligatures w14:val="none"/>
              </w:rPr>
            </w:pPr>
            <w:r>
              <w:rPr>
                <w:rFonts w:hint="default" w:ascii="宋体" w:hAnsi="宋体" w:cs="Times New Roman"/>
                <w:b w:val="0"/>
                <w:bCs w:val="0"/>
                <w:kern w:val="0"/>
                <w:sz w:val="21"/>
                <w:szCs w:val="21"/>
                <w14:ligatures w14:val="none"/>
              </w:rPr>
              <w:t>CH指数</w:t>
            </w:r>
          </w:p>
        </w:tc>
        <w:tc>
          <w:tcPr>
            <w:tcW w:w="0" w:type="auto"/>
          </w:tcPr>
          <w:p w14:paraId="43EFF6FE">
            <w:pPr>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81.2</w:t>
            </w:r>
          </w:p>
        </w:tc>
        <w:tc>
          <w:tcPr>
            <w:tcW w:w="0" w:type="auto"/>
          </w:tcPr>
          <w:p w14:paraId="51E82336">
            <w:pPr>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61.7</w:t>
            </w:r>
          </w:p>
        </w:tc>
        <w:tc>
          <w:tcPr>
            <w:tcW w:w="0" w:type="auto"/>
          </w:tcPr>
          <w:p w14:paraId="13AD6439">
            <w:pPr>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53.8</w:t>
            </w:r>
          </w:p>
        </w:tc>
        <w:tc>
          <w:tcPr>
            <w:tcW w:w="0" w:type="auto"/>
          </w:tcPr>
          <w:p w14:paraId="5C5B8A72">
            <w:pPr>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46.5</w:t>
            </w:r>
          </w:p>
        </w:tc>
        <w:tc>
          <w:tcPr>
            <w:tcW w:w="0" w:type="auto"/>
          </w:tcPr>
          <w:p w14:paraId="59B8AF49">
            <w:pPr>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越大越好</w:t>
            </w:r>
          </w:p>
        </w:tc>
        <w:tc>
          <w:tcPr>
            <w:tcW w:w="0" w:type="auto"/>
          </w:tcPr>
          <w:p w14:paraId="4E9258D1">
            <w:pPr>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全局峰值，类别间差异最显著</w:t>
            </w:r>
          </w:p>
        </w:tc>
      </w:tr>
      <w:tr w14:paraId="48A7E01D">
        <w:tblPrEx>
          <w:tblBorders>
            <w:top w:val="single" w:color="DADADA" w:sz="4" w:space="0"/>
            <w:left w:val="single" w:color="DADADA" w:sz="4" w:space="0"/>
            <w:bottom w:val="single" w:color="DADADA" w:sz="4" w:space="0"/>
            <w:right w:val="single" w:color="DADADA" w:sz="4" w:space="0"/>
            <w:insideH w:val="single" w:color="DADADA" w:sz="4" w:space="0"/>
            <w:insideV w:val="single" w:color="DADADA" w:sz="4" w:space="0"/>
          </w:tblBorders>
          <w:tblCellMar>
            <w:top w:w="0" w:type="dxa"/>
            <w:left w:w="108" w:type="dxa"/>
            <w:bottom w:w="0" w:type="dxa"/>
            <w:right w:w="108" w:type="dxa"/>
          </w:tblCellMar>
        </w:tblPrEx>
        <w:tc>
          <w:tcPr>
            <w:tcW w:w="1166" w:type="dxa"/>
            <w:tcBorders>
              <w:bottom w:val="single" w:color="auto" w:sz="18" w:space="0"/>
            </w:tcBorders>
          </w:tcPr>
          <w:p w14:paraId="45C095E9">
            <w:pPr>
              <w:ind w:firstLine="0" w:firstLineChars="0"/>
              <w:jc w:val="center"/>
              <w:rPr>
                <w:rFonts w:hint="eastAsia" w:ascii="宋体" w:hAnsi="宋体" w:cs="Times New Roman"/>
                <w:b w:val="0"/>
                <w:bCs w:val="0"/>
                <w:kern w:val="0"/>
                <w:sz w:val="21"/>
                <w:szCs w:val="21"/>
                <w14:ligatures w14:val="none"/>
              </w:rPr>
            </w:pPr>
            <w:r>
              <w:rPr>
                <w:rFonts w:hint="default" w:ascii="宋体" w:hAnsi="宋体" w:cs="Times New Roman"/>
                <w:b w:val="0"/>
                <w:bCs w:val="0"/>
                <w:kern w:val="0"/>
                <w:sz w:val="21"/>
                <w:szCs w:val="21"/>
                <w14:ligatures w14:val="none"/>
              </w:rPr>
              <w:t>DB指数</w:t>
            </w:r>
          </w:p>
        </w:tc>
        <w:tc>
          <w:tcPr>
            <w:tcW w:w="0" w:type="auto"/>
            <w:tcBorders>
              <w:bottom w:val="single" w:color="auto" w:sz="18" w:space="0"/>
            </w:tcBorders>
          </w:tcPr>
          <w:p w14:paraId="4D853E24">
            <w:pPr>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1.62</w:t>
            </w:r>
          </w:p>
        </w:tc>
        <w:tc>
          <w:tcPr>
            <w:tcW w:w="0" w:type="auto"/>
            <w:tcBorders>
              <w:bottom w:val="single" w:color="auto" w:sz="18" w:space="0"/>
            </w:tcBorders>
          </w:tcPr>
          <w:p w14:paraId="29267F5A">
            <w:pPr>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1.79</w:t>
            </w:r>
          </w:p>
        </w:tc>
        <w:tc>
          <w:tcPr>
            <w:tcW w:w="0" w:type="auto"/>
            <w:tcBorders>
              <w:bottom w:val="single" w:color="auto" w:sz="18" w:space="0"/>
            </w:tcBorders>
          </w:tcPr>
          <w:p w14:paraId="3AEF8771">
            <w:pPr>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1.65</w:t>
            </w:r>
          </w:p>
        </w:tc>
        <w:tc>
          <w:tcPr>
            <w:tcW w:w="0" w:type="auto"/>
            <w:tcBorders>
              <w:bottom w:val="single" w:color="auto" w:sz="18" w:space="0"/>
            </w:tcBorders>
          </w:tcPr>
          <w:p w14:paraId="535BC7B7">
            <w:pPr>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1.71</w:t>
            </w:r>
          </w:p>
        </w:tc>
        <w:tc>
          <w:tcPr>
            <w:tcW w:w="0" w:type="auto"/>
            <w:tcBorders>
              <w:bottom w:val="single" w:color="auto" w:sz="18" w:space="0"/>
            </w:tcBorders>
          </w:tcPr>
          <w:p w14:paraId="3F18E77F">
            <w:pPr>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&lt;1.5良好</w:t>
            </w:r>
          </w:p>
        </w:tc>
        <w:tc>
          <w:tcPr>
            <w:tcW w:w="0" w:type="auto"/>
            <w:tcBorders>
              <w:bottom w:val="single" w:color="auto" w:sz="18" w:space="0"/>
            </w:tcBorders>
          </w:tcPr>
          <w:p w14:paraId="44240C80">
            <w:pPr>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一般水平，符合乡村调研数据特征</w:t>
            </w:r>
          </w:p>
        </w:tc>
      </w:tr>
    </w:tbl>
    <w:p w14:paraId="2DB42076">
      <w:pPr>
        <w:ind w:firstLine="420"/>
        <w:rPr>
          <w:rFonts w:hint="eastAsia" w:ascii="宋体" w:hAnsi="宋体"/>
          <w:sz w:val="21"/>
          <w:szCs w:val="21"/>
        </w:rPr>
      </w:pPr>
      <w:r>
        <w:rPr>
          <w:rFonts w:ascii="宋体" w:hAnsi="宋体"/>
          <w:sz w:val="21"/>
          <w:szCs w:val="21"/>
        </w:rPr>
        <w:t>聚类结果将200名潜在消费者清晰划分为两类特征差异显著的客群</w:t>
      </w:r>
      <w:r>
        <w:rPr>
          <w:rFonts w:hint="eastAsia" w:ascii="宋体" w:hAnsi="宋体"/>
          <w:sz w:val="21"/>
          <w:szCs w:val="21"/>
        </w:rPr>
        <w:t>。</w:t>
      </w:r>
    </w:p>
    <w:p w14:paraId="2098D52A">
      <w:pPr>
        <w:ind w:firstLine="0" w:firstLineChars="0"/>
        <w:rPr>
          <w:rFonts w:hint="eastAsia" w:ascii="宋体" w:hAnsi="宋体"/>
          <w:sz w:val="21"/>
          <w:szCs w:val="21"/>
        </w:rPr>
      </w:pPr>
    </w:p>
    <w:p w14:paraId="3C62B851">
      <w:pPr>
        <w:pStyle w:val="6"/>
        <w:ind w:firstLine="400"/>
      </w:pPr>
      <w:r>
        <w:t>表3-9 两类客群特征对比（n=200）</w:t>
      </w:r>
    </w:p>
    <w:tbl>
      <w:tblPr>
        <w:tblStyle w:val="28"/>
        <w:tblW w:w="0" w:type="auto"/>
        <w:tblInd w:w="-5" w:type="dxa"/>
        <w:tblBorders>
          <w:top w:val="single" w:color="DADADA" w:sz="4" w:space="0"/>
          <w:left w:val="single" w:color="DADADA" w:sz="4" w:space="0"/>
          <w:bottom w:val="single" w:color="DADADA" w:sz="4" w:space="0"/>
          <w:right w:val="single" w:color="DADADA" w:sz="4" w:space="0"/>
          <w:insideH w:val="single" w:color="DADADA" w:sz="4" w:space="0"/>
          <w:insideV w:val="single" w:color="DADADA" w:sz="4" w:space="0"/>
        </w:tblBorders>
        <w:tblLayout w:type="autofit"/>
        <w:tblCellMar>
          <w:top w:w="0" w:type="dxa"/>
          <w:left w:w="108" w:type="dxa"/>
          <w:bottom w:w="0" w:type="dxa"/>
          <w:right w:w="108" w:type="dxa"/>
        </w:tblCellMar>
      </w:tblPr>
      <w:tblGrid>
        <w:gridCol w:w="661"/>
        <w:gridCol w:w="732"/>
        <w:gridCol w:w="741"/>
        <w:gridCol w:w="5164"/>
        <w:gridCol w:w="1229"/>
      </w:tblGrid>
      <w:tr w14:paraId="1F856F01">
        <w:tblPrEx>
          <w:tblBorders>
            <w:top w:val="single" w:color="DADADA" w:sz="4" w:space="0"/>
            <w:left w:val="single" w:color="DADADA" w:sz="4" w:space="0"/>
            <w:bottom w:val="single" w:color="DADADA" w:sz="4" w:space="0"/>
            <w:right w:val="single" w:color="DADADA" w:sz="4" w:space="0"/>
            <w:insideH w:val="single" w:color="DADADA" w:sz="4" w:space="0"/>
            <w:insideV w:val="single" w:color="DADADA" w:sz="4" w:space="0"/>
          </w:tblBorders>
          <w:tblCellMar>
            <w:top w:w="0" w:type="dxa"/>
            <w:left w:w="108" w:type="dxa"/>
            <w:bottom w:w="0" w:type="dxa"/>
            <w:right w:w="108" w:type="dxa"/>
          </w:tblCellMar>
        </w:tblPrEx>
        <w:tc>
          <w:tcPr>
            <w:tcW w:w="0" w:type="auto"/>
            <w:tcBorders>
              <w:top w:val="single" w:color="auto" w:sz="18" w:space="0"/>
              <w:bottom w:val="single" w:color="auto" w:sz="12" w:space="0"/>
            </w:tcBorders>
          </w:tcPr>
          <w:p w14:paraId="0A7CCBD6">
            <w:pPr>
              <w:ind w:firstLine="0" w:firstLineChars="0"/>
              <w:rPr>
                <w:rFonts w:hint="eastAsia" w:ascii="宋体" w:hAnsi="宋体" w:cs="Times New Roman"/>
                <w:b w:val="0"/>
                <w:bCs w:val="0"/>
                <w:kern w:val="0"/>
                <w:sz w:val="21"/>
                <w:szCs w:val="21"/>
                <w14:ligatures w14:val="none"/>
              </w:rPr>
            </w:pPr>
            <w:r>
              <w:rPr>
                <w:rFonts w:hint="default" w:ascii="宋体" w:hAnsi="宋体" w:cs="Times New Roman"/>
                <w:b w:val="0"/>
                <w:bCs w:val="0"/>
                <w:kern w:val="0"/>
                <w:sz w:val="21"/>
                <w:szCs w:val="21"/>
                <w14:ligatures w14:val="none"/>
              </w:rPr>
              <w:t>类别</w:t>
            </w:r>
          </w:p>
        </w:tc>
        <w:tc>
          <w:tcPr>
            <w:tcW w:w="0" w:type="auto"/>
            <w:tcBorders>
              <w:top w:val="single" w:color="auto" w:sz="18" w:space="0"/>
              <w:bottom w:val="single" w:color="auto" w:sz="12" w:space="0"/>
            </w:tcBorders>
          </w:tcPr>
          <w:p w14:paraId="46CBBA63">
            <w:pPr>
              <w:ind w:firstLine="0" w:firstLineChars="0"/>
              <w:rPr>
                <w:rFonts w:hint="eastAsia" w:ascii="宋体" w:hAnsi="宋体" w:cs="Times New Roman"/>
                <w:b w:val="0"/>
                <w:bCs w:val="0"/>
                <w:kern w:val="0"/>
                <w:sz w:val="21"/>
                <w:szCs w:val="21"/>
                <w14:ligatures w14:val="none"/>
              </w:rPr>
            </w:pPr>
            <w:r>
              <w:rPr>
                <w:rFonts w:hint="default" w:ascii="宋体" w:hAnsi="宋体" w:cs="Times New Roman"/>
                <w:b w:val="0"/>
                <w:bCs w:val="0"/>
                <w:kern w:val="0"/>
                <w:sz w:val="21"/>
                <w:szCs w:val="21"/>
                <w14:ligatures w14:val="none"/>
              </w:rPr>
              <w:t>样本量</w:t>
            </w:r>
          </w:p>
        </w:tc>
        <w:tc>
          <w:tcPr>
            <w:tcW w:w="0" w:type="auto"/>
            <w:tcBorders>
              <w:top w:val="single" w:color="auto" w:sz="18" w:space="0"/>
              <w:bottom w:val="single" w:color="auto" w:sz="12" w:space="0"/>
            </w:tcBorders>
          </w:tcPr>
          <w:p w14:paraId="39A824B6">
            <w:pPr>
              <w:ind w:firstLine="0" w:firstLineChars="0"/>
              <w:rPr>
                <w:rFonts w:hint="eastAsia" w:ascii="宋体" w:hAnsi="宋体" w:cs="Times New Roman"/>
                <w:b w:val="0"/>
                <w:bCs w:val="0"/>
                <w:kern w:val="0"/>
                <w:sz w:val="21"/>
                <w:szCs w:val="21"/>
                <w14:ligatures w14:val="none"/>
              </w:rPr>
            </w:pPr>
            <w:r>
              <w:rPr>
                <w:rFonts w:hint="default" w:ascii="宋体" w:hAnsi="宋体" w:cs="Times New Roman"/>
                <w:b w:val="0"/>
                <w:bCs w:val="0"/>
                <w:kern w:val="0"/>
                <w:sz w:val="21"/>
                <w:szCs w:val="21"/>
                <w14:ligatures w14:val="none"/>
              </w:rPr>
              <w:t>占比</w:t>
            </w:r>
          </w:p>
        </w:tc>
        <w:tc>
          <w:tcPr>
            <w:tcW w:w="0" w:type="auto"/>
            <w:tcBorders>
              <w:top w:val="single" w:color="auto" w:sz="18" w:space="0"/>
              <w:bottom w:val="single" w:color="auto" w:sz="12" w:space="0"/>
            </w:tcBorders>
          </w:tcPr>
          <w:p w14:paraId="147D5A01">
            <w:pPr>
              <w:ind w:firstLine="0" w:firstLineChars="0"/>
              <w:rPr>
                <w:rFonts w:hint="eastAsia" w:ascii="宋体" w:hAnsi="宋体" w:cs="Times New Roman"/>
                <w:b w:val="0"/>
                <w:bCs w:val="0"/>
                <w:kern w:val="0"/>
                <w:sz w:val="21"/>
                <w:szCs w:val="21"/>
                <w14:ligatures w14:val="none"/>
              </w:rPr>
            </w:pPr>
            <w:r>
              <w:rPr>
                <w:rFonts w:hint="default" w:ascii="宋体" w:hAnsi="宋体" w:cs="Times New Roman"/>
                <w:b w:val="0"/>
                <w:bCs w:val="0"/>
                <w:kern w:val="0"/>
                <w:sz w:val="21"/>
                <w:szCs w:val="21"/>
                <w14:ligatures w14:val="none"/>
              </w:rPr>
              <w:t>核心特征（均值，5分制）</w:t>
            </w:r>
          </w:p>
        </w:tc>
        <w:tc>
          <w:tcPr>
            <w:tcW w:w="0" w:type="auto"/>
            <w:tcBorders>
              <w:top w:val="single" w:color="auto" w:sz="18" w:space="0"/>
              <w:bottom w:val="single" w:color="auto" w:sz="12" w:space="0"/>
            </w:tcBorders>
          </w:tcPr>
          <w:p w14:paraId="70DFD24E">
            <w:pPr>
              <w:ind w:firstLine="0" w:firstLineChars="0"/>
              <w:rPr>
                <w:rFonts w:hint="eastAsia" w:ascii="宋体" w:hAnsi="宋体" w:cs="Times New Roman"/>
                <w:b w:val="0"/>
                <w:bCs w:val="0"/>
                <w:kern w:val="0"/>
                <w:sz w:val="21"/>
                <w:szCs w:val="21"/>
                <w14:ligatures w14:val="none"/>
              </w:rPr>
            </w:pPr>
            <w:r>
              <w:rPr>
                <w:rFonts w:hint="default" w:ascii="宋体" w:hAnsi="宋体" w:cs="Times New Roman"/>
                <w:b w:val="0"/>
                <w:bCs w:val="0"/>
                <w:kern w:val="0"/>
                <w:sz w:val="21"/>
                <w:szCs w:val="21"/>
                <w14:ligatures w14:val="none"/>
              </w:rPr>
              <w:t>核心标签</w:t>
            </w:r>
          </w:p>
        </w:tc>
      </w:tr>
      <w:tr w14:paraId="010C4191">
        <w:tblPrEx>
          <w:tblBorders>
            <w:top w:val="single" w:color="DADADA" w:sz="4" w:space="0"/>
            <w:left w:val="single" w:color="DADADA" w:sz="4" w:space="0"/>
            <w:bottom w:val="single" w:color="DADADA" w:sz="4" w:space="0"/>
            <w:right w:val="single" w:color="DADADA" w:sz="4" w:space="0"/>
            <w:insideH w:val="single" w:color="DADADA" w:sz="4" w:space="0"/>
            <w:insideV w:val="single" w:color="DADADA" w:sz="4" w:space="0"/>
          </w:tblBorders>
          <w:tblCellMar>
            <w:top w:w="0" w:type="dxa"/>
            <w:left w:w="108" w:type="dxa"/>
            <w:bottom w:w="0" w:type="dxa"/>
            <w:right w:w="108" w:type="dxa"/>
          </w:tblCellMar>
        </w:tblPrEx>
        <w:tc>
          <w:tcPr>
            <w:tcW w:w="0" w:type="auto"/>
            <w:tcBorders>
              <w:top w:val="single" w:color="auto" w:sz="12" w:space="0"/>
            </w:tcBorders>
          </w:tcPr>
          <w:p w14:paraId="78157FCA">
            <w:pPr>
              <w:ind w:firstLine="0" w:firstLineChars="0"/>
              <w:rPr>
                <w:rFonts w:hint="eastAsia" w:ascii="宋体" w:hAnsi="宋体" w:cs="Times New Roman"/>
                <w:b w:val="0"/>
                <w:bCs w:val="0"/>
                <w:kern w:val="0"/>
                <w:sz w:val="21"/>
                <w:szCs w:val="21"/>
                <w14:ligatures w14:val="none"/>
              </w:rPr>
            </w:pPr>
            <w:r>
              <w:rPr>
                <w:rFonts w:hint="default" w:ascii="宋体" w:hAnsi="宋体" w:cs="Times New Roman"/>
                <w:b w:val="0"/>
                <w:bCs w:val="0"/>
                <w:kern w:val="0"/>
                <w:sz w:val="21"/>
                <w:szCs w:val="21"/>
                <w14:ligatures w14:val="none"/>
              </w:rPr>
              <w:t>类别0</w:t>
            </w:r>
          </w:p>
        </w:tc>
        <w:tc>
          <w:tcPr>
            <w:tcW w:w="0" w:type="auto"/>
            <w:tcBorders>
              <w:top w:val="single" w:color="auto" w:sz="12" w:space="0"/>
            </w:tcBorders>
          </w:tcPr>
          <w:p w14:paraId="4A8150C8">
            <w:pPr>
              <w:ind w:firstLine="0" w:firstLineChars="0"/>
              <w:rPr>
                <w:rFonts w:hint="eastAsia" w:ascii="宋体" w:hAnsi="宋体" w:cs="Times New Roman"/>
                <w:kern w:val="0"/>
                <w:sz w:val="21"/>
                <w:szCs w:val="21"/>
                <w14:ligatures w14:val="none"/>
              </w:rPr>
            </w:pPr>
            <w:r>
              <w:rPr>
                <w:rFonts w:ascii="宋体" w:hAnsi="宋体" w:cs="Times New Roman"/>
                <w:kern w:val="0"/>
                <w:sz w:val="21"/>
                <w:szCs w:val="21"/>
                <w14:ligatures w14:val="none"/>
              </w:rPr>
              <w:t>115</w:t>
            </w:r>
          </w:p>
        </w:tc>
        <w:tc>
          <w:tcPr>
            <w:tcW w:w="0" w:type="auto"/>
            <w:tcBorders>
              <w:top w:val="single" w:color="auto" w:sz="12" w:space="0"/>
            </w:tcBorders>
          </w:tcPr>
          <w:p w14:paraId="532BF6C0">
            <w:pPr>
              <w:ind w:firstLine="0" w:firstLineChars="0"/>
              <w:rPr>
                <w:rFonts w:hint="eastAsia" w:ascii="宋体" w:hAnsi="宋体" w:cs="Times New Roman"/>
                <w:kern w:val="0"/>
                <w:sz w:val="21"/>
                <w:szCs w:val="21"/>
                <w14:ligatures w14:val="none"/>
              </w:rPr>
            </w:pPr>
            <w:r>
              <w:rPr>
                <w:rFonts w:ascii="宋体" w:hAnsi="宋体" w:cs="Times New Roman"/>
                <w:kern w:val="0"/>
                <w:sz w:val="21"/>
                <w:szCs w:val="21"/>
                <w14:ligatures w14:val="none"/>
              </w:rPr>
              <w:t>57.5%</w:t>
            </w:r>
          </w:p>
        </w:tc>
        <w:tc>
          <w:tcPr>
            <w:tcW w:w="0" w:type="auto"/>
            <w:tcBorders>
              <w:top w:val="single" w:color="auto" w:sz="12" w:space="0"/>
            </w:tcBorders>
          </w:tcPr>
          <w:p w14:paraId="7C81E937">
            <w:pPr>
              <w:ind w:firstLine="0" w:firstLineChars="0"/>
              <w:rPr>
                <w:rFonts w:hint="eastAsia" w:ascii="宋体" w:hAnsi="宋体" w:cs="Times New Roman"/>
                <w:kern w:val="0"/>
                <w:sz w:val="21"/>
                <w:szCs w:val="21"/>
                <w14:ligatures w14:val="none"/>
              </w:rPr>
            </w:pPr>
            <w:r>
              <w:rPr>
                <w:rFonts w:ascii="宋体" w:hAnsi="宋体" w:cs="Times New Roman"/>
                <w:kern w:val="0"/>
                <w:sz w:val="21"/>
                <w:szCs w:val="21"/>
                <w14:ligatures w14:val="none"/>
              </w:rPr>
              <w:t>骑行兴趣4.12、产品概念3.97、溢价意愿3.41、认养兴趣3.67、到访意愿3.96</w:t>
            </w:r>
          </w:p>
        </w:tc>
        <w:tc>
          <w:tcPr>
            <w:tcW w:w="0" w:type="auto"/>
            <w:tcBorders>
              <w:top w:val="single" w:color="auto" w:sz="12" w:space="0"/>
            </w:tcBorders>
          </w:tcPr>
          <w:p w14:paraId="1EA4B8B2">
            <w:pPr>
              <w:ind w:firstLine="0" w:firstLineChars="0"/>
              <w:rPr>
                <w:rFonts w:hint="eastAsia" w:ascii="宋体" w:hAnsi="宋体" w:cs="Times New Roman"/>
                <w:kern w:val="0"/>
                <w:sz w:val="21"/>
                <w:szCs w:val="21"/>
                <w14:ligatures w14:val="none"/>
              </w:rPr>
            </w:pPr>
            <w:r>
              <w:rPr>
                <w:rFonts w:ascii="宋体" w:hAnsi="宋体" w:cs="Times New Roman"/>
                <w:kern w:val="0"/>
                <w:sz w:val="21"/>
                <w:szCs w:val="21"/>
                <w14:ligatures w14:val="none"/>
              </w:rPr>
              <w:t>高意愿核心客群</w:t>
            </w:r>
          </w:p>
        </w:tc>
      </w:tr>
      <w:tr w14:paraId="1D439E21">
        <w:tblPrEx>
          <w:tblBorders>
            <w:top w:val="single" w:color="DADADA" w:sz="4" w:space="0"/>
            <w:left w:val="single" w:color="DADADA" w:sz="4" w:space="0"/>
            <w:bottom w:val="single" w:color="DADADA" w:sz="4" w:space="0"/>
            <w:right w:val="single" w:color="DADADA" w:sz="4" w:space="0"/>
            <w:insideH w:val="single" w:color="DADADA" w:sz="4" w:space="0"/>
            <w:insideV w:val="single" w:color="DADADA" w:sz="4" w:space="0"/>
          </w:tblBorders>
          <w:tblCellMar>
            <w:top w:w="0" w:type="dxa"/>
            <w:left w:w="108" w:type="dxa"/>
            <w:bottom w:w="0" w:type="dxa"/>
            <w:right w:w="108" w:type="dxa"/>
          </w:tblCellMar>
        </w:tblPrEx>
        <w:tc>
          <w:tcPr>
            <w:tcW w:w="0" w:type="auto"/>
            <w:tcBorders>
              <w:bottom w:val="single" w:color="auto" w:sz="18" w:space="0"/>
            </w:tcBorders>
          </w:tcPr>
          <w:p w14:paraId="1850A09C">
            <w:pPr>
              <w:ind w:firstLine="0" w:firstLineChars="0"/>
              <w:rPr>
                <w:rFonts w:hint="eastAsia" w:ascii="宋体" w:hAnsi="宋体" w:cs="Times New Roman"/>
                <w:b w:val="0"/>
                <w:bCs w:val="0"/>
                <w:kern w:val="0"/>
                <w:sz w:val="21"/>
                <w:szCs w:val="21"/>
                <w14:ligatures w14:val="none"/>
              </w:rPr>
            </w:pPr>
            <w:r>
              <w:rPr>
                <w:rFonts w:hint="default" w:ascii="宋体" w:hAnsi="宋体" w:cs="Times New Roman"/>
                <w:b w:val="0"/>
                <w:bCs w:val="0"/>
                <w:kern w:val="0"/>
                <w:sz w:val="21"/>
                <w:szCs w:val="21"/>
                <w14:ligatures w14:val="none"/>
              </w:rPr>
              <w:t>类别1</w:t>
            </w:r>
          </w:p>
        </w:tc>
        <w:tc>
          <w:tcPr>
            <w:tcW w:w="0" w:type="auto"/>
            <w:tcBorders>
              <w:bottom w:val="single" w:color="auto" w:sz="18" w:space="0"/>
            </w:tcBorders>
          </w:tcPr>
          <w:p w14:paraId="32E0E188">
            <w:pPr>
              <w:ind w:firstLine="0" w:firstLineChars="0"/>
              <w:rPr>
                <w:rFonts w:hint="eastAsia" w:ascii="宋体" w:hAnsi="宋体" w:cs="Times New Roman"/>
                <w:kern w:val="0"/>
                <w:sz w:val="21"/>
                <w:szCs w:val="21"/>
                <w14:ligatures w14:val="none"/>
              </w:rPr>
            </w:pPr>
            <w:r>
              <w:rPr>
                <w:rFonts w:ascii="宋体" w:hAnsi="宋体" w:cs="Times New Roman"/>
                <w:kern w:val="0"/>
                <w:sz w:val="21"/>
                <w:szCs w:val="21"/>
                <w14:ligatures w14:val="none"/>
              </w:rPr>
              <w:t>85</w:t>
            </w:r>
          </w:p>
        </w:tc>
        <w:tc>
          <w:tcPr>
            <w:tcW w:w="0" w:type="auto"/>
            <w:tcBorders>
              <w:bottom w:val="single" w:color="auto" w:sz="18" w:space="0"/>
            </w:tcBorders>
          </w:tcPr>
          <w:p w14:paraId="7AAD83CA">
            <w:pPr>
              <w:ind w:firstLine="0" w:firstLineChars="0"/>
              <w:rPr>
                <w:rFonts w:hint="eastAsia" w:ascii="宋体" w:hAnsi="宋体" w:cs="Times New Roman"/>
                <w:kern w:val="0"/>
                <w:sz w:val="21"/>
                <w:szCs w:val="21"/>
                <w14:ligatures w14:val="none"/>
              </w:rPr>
            </w:pPr>
            <w:r>
              <w:rPr>
                <w:rFonts w:ascii="宋体" w:hAnsi="宋体" w:cs="Times New Roman"/>
                <w:kern w:val="0"/>
                <w:sz w:val="21"/>
                <w:szCs w:val="21"/>
                <w14:ligatures w14:val="none"/>
              </w:rPr>
              <w:t>42.5%</w:t>
            </w:r>
          </w:p>
        </w:tc>
        <w:tc>
          <w:tcPr>
            <w:tcW w:w="0" w:type="auto"/>
            <w:tcBorders>
              <w:bottom w:val="single" w:color="auto" w:sz="18" w:space="0"/>
            </w:tcBorders>
          </w:tcPr>
          <w:p w14:paraId="0C319A17">
            <w:pPr>
              <w:ind w:firstLine="0" w:firstLineChars="0"/>
              <w:rPr>
                <w:rFonts w:hint="eastAsia" w:ascii="宋体" w:hAnsi="宋体" w:cs="Times New Roman"/>
                <w:kern w:val="0"/>
                <w:sz w:val="21"/>
                <w:szCs w:val="21"/>
                <w14:ligatures w14:val="none"/>
              </w:rPr>
            </w:pPr>
            <w:r>
              <w:rPr>
                <w:rFonts w:ascii="宋体" w:hAnsi="宋体" w:cs="Times New Roman"/>
                <w:kern w:val="0"/>
                <w:sz w:val="21"/>
                <w:szCs w:val="21"/>
                <w14:ligatures w14:val="none"/>
              </w:rPr>
              <w:t>骑行兴趣2.92、产品概念2.80、溢价意愿2.49、认养兴趣2.85、到访意愿2.78</w:t>
            </w:r>
          </w:p>
        </w:tc>
        <w:tc>
          <w:tcPr>
            <w:tcW w:w="0" w:type="auto"/>
            <w:tcBorders>
              <w:bottom w:val="single" w:color="auto" w:sz="18" w:space="0"/>
            </w:tcBorders>
          </w:tcPr>
          <w:p w14:paraId="439CF16A">
            <w:pPr>
              <w:ind w:firstLine="0" w:firstLineChars="0"/>
              <w:rPr>
                <w:rFonts w:hint="eastAsia" w:ascii="宋体" w:hAnsi="宋体" w:cs="Times New Roman"/>
                <w:kern w:val="0"/>
                <w:sz w:val="21"/>
                <w:szCs w:val="21"/>
                <w14:ligatures w14:val="none"/>
              </w:rPr>
            </w:pPr>
            <w:r>
              <w:rPr>
                <w:rFonts w:ascii="宋体" w:hAnsi="宋体" w:cs="Times New Roman"/>
                <w:kern w:val="0"/>
                <w:sz w:val="21"/>
                <w:szCs w:val="21"/>
                <w14:ligatures w14:val="none"/>
              </w:rPr>
              <w:t>低兴趣潜力客群</w:t>
            </w:r>
          </w:p>
        </w:tc>
      </w:tr>
    </w:tbl>
    <w:p w14:paraId="6B2B8016">
      <w:pPr>
        <w:ind w:firstLine="420"/>
        <w:rPr>
          <w:rFonts w:hint="eastAsia" w:ascii="宋体" w:hAnsi="宋体"/>
          <w:sz w:val="21"/>
          <w:szCs w:val="21"/>
        </w:rPr>
      </w:pPr>
      <w:r>
        <w:rPr>
          <w:rFonts w:ascii="宋体" w:hAnsi="宋体"/>
          <w:sz w:val="21"/>
          <w:szCs w:val="21"/>
        </w:rPr>
        <w:t>类别0——</w:t>
      </w:r>
      <w:r>
        <w:rPr>
          <w:rFonts w:ascii="宋体" w:hAnsi="宋体"/>
          <w:b/>
          <w:bCs/>
          <w:sz w:val="21"/>
          <w:szCs w:val="21"/>
        </w:rPr>
        <w:t>高意愿核心客群</w:t>
      </w:r>
      <w:r>
        <w:rPr>
          <w:rFonts w:ascii="宋体" w:hAnsi="宋体"/>
          <w:sz w:val="21"/>
          <w:szCs w:val="21"/>
        </w:rPr>
        <w:t>，占样本总量的57.5%。该群体全维度指标显著高于平均水平，对“水源地生态价值”与“骑行+樱桃”融合体验的接受度最高，具备较强的付费意愿与到访意向，</w:t>
      </w:r>
      <w:r>
        <w:rPr>
          <w:rFonts w:ascii="宋体" w:hAnsi="宋体"/>
          <w:b/>
          <w:bCs/>
          <w:sz w:val="21"/>
          <w:szCs w:val="21"/>
        </w:rPr>
        <w:t>愿意为高品质产品支付溢价</w:t>
      </w:r>
      <w:r>
        <w:rPr>
          <w:rFonts w:ascii="宋体" w:hAnsi="宋体"/>
          <w:sz w:val="21"/>
          <w:szCs w:val="21"/>
        </w:rPr>
        <w:t>，是本项目的核心基本盘。类别1——低兴趣潜力客群，占比42.5%，整体兴趣与意愿偏低，价格敏感度高，对产品概念认知不足。该群体并非无效客群，而是需要通过</w:t>
      </w:r>
      <w:r>
        <w:rPr>
          <w:rFonts w:ascii="宋体" w:hAnsi="宋体"/>
          <w:b/>
          <w:bCs/>
          <w:sz w:val="21"/>
          <w:szCs w:val="21"/>
        </w:rPr>
        <w:t>轻量化内容教育与高性价比产品</w:t>
      </w:r>
      <w:r>
        <w:rPr>
          <w:rFonts w:ascii="宋体" w:hAnsi="宋体"/>
          <w:sz w:val="21"/>
          <w:szCs w:val="21"/>
        </w:rPr>
        <w:t>逐步培育的潜在转化群体。</w:t>
      </w:r>
    </w:p>
    <w:p w14:paraId="1B9A48A3">
      <w:pPr>
        <w:ind w:firstLine="0" w:firstLineChars="0"/>
        <w:rPr>
          <w:rFonts w:hint="eastAsia" w:ascii="宋体" w:hAnsi="宋体"/>
          <w:b/>
          <w:bCs/>
          <w:sz w:val="21"/>
          <w:szCs w:val="21"/>
        </w:rPr>
      </w:pPr>
      <w:r>
        <w:rPr>
          <w:rFonts w:hint="eastAsia" w:ascii="宋体" w:hAnsi="宋体"/>
          <w:b/>
          <w:bCs/>
          <w:sz w:val="21"/>
          <w:szCs w:val="21"/>
        </w:rPr>
        <w:t>2.市场细分客群</w:t>
      </w:r>
    </w:p>
    <w:p w14:paraId="0926CE4D">
      <w:pPr>
        <w:ind w:firstLine="420"/>
        <w:rPr>
          <w:rFonts w:hint="eastAsia" w:ascii="宋体" w:hAnsi="宋体"/>
          <w:sz w:val="21"/>
          <w:szCs w:val="21"/>
        </w:rPr>
      </w:pPr>
      <w:r>
        <w:rPr>
          <w:rFonts w:hint="eastAsia" w:ascii="宋体" w:hAnsi="宋体"/>
          <w:sz w:val="21"/>
          <w:szCs w:val="21"/>
        </w:rPr>
        <w:t>团队给予</w:t>
      </w:r>
      <w:r>
        <w:rPr>
          <w:rFonts w:ascii="宋体" w:hAnsi="宋体"/>
          <w:sz w:val="21"/>
          <w:szCs w:val="21"/>
        </w:rPr>
        <w:t>基于</w:t>
      </w:r>
      <w:r>
        <w:rPr>
          <w:rFonts w:hint="eastAsia" w:ascii="宋体" w:hAnsi="宋体"/>
          <w:sz w:val="21"/>
          <w:szCs w:val="21"/>
        </w:rPr>
        <w:t>以上数据分析，并结合</w:t>
      </w:r>
      <w:r>
        <w:rPr>
          <w:rFonts w:ascii="宋体" w:hAnsi="宋体"/>
          <w:sz w:val="21"/>
          <w:szCs w:val="21"/>
        </w:rPr>
        <w:t>活动偏好、消费能力和地理来源三个核心维度，将潜在市场细分为以下</w:t>
      </w:r>
      <w:r>
        <w:rPr>
          <w:rFonts w:hint="eastAsia" w:ascii="宋体" w:hAnsi="宋体"/>
          <w:sz w:val="21"/>
          <w:szCs w:val="21"/>
        </w:rPr>
        <w:t>细分</w:t>
      </w:r>
      <w:r>
        <w:rPr>
          <w:rFonts w:ascii="宋体" w:hAnsi="宋体"/>
          <w:sz w:val="21"/>
          <w:szCs w:val="21"/>
        </w:rPr>
        <w:t>客群</w:t>
      </w:r>
      <w:r>
        <w:rPr>
          <w:rFonts w:hint="eastAsia" w:ascii="宋体" w:hAnsi="宋体"/>
          <w:sz w:val="21"/>
          <w:szCs w:val="21"/>
        </w:rPr>
        <w:t>。</w:t>
      </w:r>
    </w:p>
    <w:tbl>
      <w:tblPr>
        <w:tblStyle w:val="26"/>
        <w:tblW w:w="5260" w:type="pct"/>
        <w:tblInd w:w="-43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99"/>
        <w:gridCol w:w="1497"/>
        <w:gridCol w:w="1490"/>
        <w:gridCol w:w="2014"/>
        <w:gridCol w:w="1339"/>
        <w:gridCol w:w="1526"/>
      </w:tblGrid>
      <w:tr w14:paraId="34198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13" w:type="pct"/>
            <w:tcBorders>
              <w:top w:val="single" w:color="auto" w:sz="18" w:space="0"/>
            </w:tcBorders>
            <w:vAlign w:val="center"/>
          </w:tcPr>
          <w:p w14:paraId="21156D42">
            <w:pPr>
              <w:spacing w:after="160" w:line="278" w:lineRule="auto"/>
              <w:ind w:firstLine="0" w:firstLineChars="0"/>
              <w:jc w:val="center"/>
              <w:rPr>
                <w:rFonts w:hint="eastAsia" w:ascii="宋体" w:hAnsi="宋体" w:cs="Times New Roman"/>
                <w:b w:val="0"/>
                <w:bCs w:val="0"/>
                <w:kern w:val="0"/>
                <w:sz w:val="21"/>
                <w:szCs w:val="21"/>
                <w14:ligatures w14:val="none"/>
              </w:rPr>
            </w:pPr>
            <w:r>
              <w:rPr>
                <w:rFonts w:hint="default" w:ascii="宋体" w:hAnsi="宋体" w:cs="Times New Roman"/>
                <w:b w:val="0"/>
                <w:bCs w:val="0"/>
                <w:kern w:val="0"/>
                <w:sz w:val="21"/>
                <w:szCs w:val="21"/>
                <w14:ligatures w14:val="none"/>
              </w:rPr>
              <w:t>细分维度</w:t>
            </w:r>
          </w:p>
        </w:tc>
        <w:tc>
          <w:tcPr>
            <w:tcW w:w="835" w:type="pct"/>
            <w:tcBorders>
              <w:top w:val="single" w:color="auto" w:sz="18" w:space="0"/>
            </w:tcBorders>
            <w:vAlign w:val="center"/>
          </w:tcPr>
          <w:p w14:paraId="26A75977">
            <w:pPr>
              <w:spacing w:after="160" w:line="278" w:lineRule="auto"/>
              <w:ind w:firstLine="0" w:firstLineChars="0"/>
              <w:jc w:val="center"/>
              <w:rPr>
                <w:rFonts w:hint="eastAsia" w:ascii="宋体" w:hAnsi="宋体" w:cs="Times New Roman"/>
                <w:b w:val="0"/>
                <w:bCs w:val="0"/>
                <w:kern w:val="0"/>
                <w:sz w:val="21"/>
                <w:szCs w:val="21"/>
                <w14:ligatures w14:val="none"/>
              </w:rPr>
            </w:pPr>
            <w:r>
              <w:rPr>
                <w:rFonts w:hint="default" w:ascii="宋体" w:hAnsi="宋体" w:cs="Times New Roman"/>
                <w:b w:val="0"/>
                <w:bCs w:val="0"/>
                <w:kern w:val="0"/>
                <w:sz w:val="21"/>
                <w:szCs w:val="21"/>
                <w14:ligatures w14:val="none"/>
              </w:rPr>
              <w:t>细分市场</w:t>
            </w:r>
          </w:p>
        </w:tc>
        <w:tc>
          <w:tcPr>
            <w:tcW w:w="831" w:type="pct"/>
            <w:tcBorders>
              <w:top w:val="single" w:color="auto" w:sz="18" w:space="0"/>
            </w:tcBorders>
            <w:vAlign w:val="center"/>
          </w:tcPr>
          <w:p w14:paraId="303BD2BD">
            <w:pPr>
              <w:spacing w:after="160" w:line="278" w:lineRule="auto"/>
              <w:ind w:firstLine="0" w:firstLineChars="0"/>
              <w:jc w:val="center"/>
              <w:rPr>
                <w:rFonts w:hint="eastAsia" w:ascii="宋体" w:hAnsi="宋体" w:cs="Times New Roman"/>
                <w:b w:val="0"/>
                <w:bCs w:val="0"/>
                <w:kern w:val="0"/>
                <w:sz w:val="21"/>
                <w:szCs w:val="21"/>
                <w14:ligatures w14:val="none"/>
              </w:rPr>
            </w:pPr>
            <w:r>
              <w:rPr>
                <w:rFonts w:hint="default" w:ascii="宋体" w:hAnsi="宋体" w:cs="Times New Roman"/>
                <w:b w:val="0"/>
                <w:bCs w:val="0"/>
                <w:kern w:val="0"/>
                <w:sz w:val="21"/>
                <w:szCs w:val="21"/>
                <w14:ligatures w14:val="none"/>
              </w:rPr>
              <w:t>规模估算</w:t>
            </w:r>
          </w:p>
        </w:tc>
        <w:tc>
          <w:tcPr>
            <w:tcW w:w="1123" w:type="pct"/>
            <w:tcBorders>
              <w:top w:val="single" w:color="auto" w:sz="18" w:space="0"/>
            </w:tcBorders>
            <w:vAlign w:val="center"/>
          </w:tcPr>
          <w:p w14:paraId="278528A4">
            <w:pPr>
              <w:spacing w:after="160" w:line="278" w:lineRule="auto"/>
              <w:ind w:firstLine="0" w:firstLineChars="0"/>
              <w:jc w:val="center"/>
              <w:rPr>
                <w:rFonts w:hint="eastAsia" w:ascii="宋体" w:hAnsi="宋体" w:cs="Times New Roman"/>
                <w:b w:val="0"/>
                <w:bCs w:val="0"/>
                <w:kern w:val="0"/>
                <w:sz w:val="21"/>
                <w:szCs w:val="21"/>
                <w14:ligatures w14:val="none"/>
              </w:rPr>
            </w:pPr>
            <w:r>
              <w:rPr>
                <w:rFonts w:hint="default" w:ascii="宋体" w:hAnsi="宋体" w:cs="Times New Roman"/>
                <w:b w:val="0"/>
                <w:bCs w:val="0"/>
                <w:kern w:val="0"/>
                <w:sz w:val="21"/>
                <w:szCs w:val="21"/>
                <w14:ligatures w14:val="none"/>
              </w:rPr>
              <w:t>特征描述</w:t>
            </w:r>
          </w:p>
        </w:tc>
        <w:tc>
          <w:tcPr>
            <w:tcW w:w="747" w:type="pct"/>
            <w:tcBorders>
              <w:top w:val="single" w:color="auto" w:sz="18" w:space="0"/>
            </w:tcBorders>
            <w:vAlign w:val="center"/>
          </w:tcPr>
          <w:p w14:paraId="04C91F98">
            <w:pPr>
              <w:spacing w:after="160" w:line="278" w:lineRule="auto"/>
              <w:ind w:firstLine="0" w:firstLineChars="0"/>
              <w:jc w:val="center"/>
              <w:rPr>
                <w:rFonts w:hint="eastAsia" w:ascii="宋体" w:hAnsi="宋体" w:cs="Times New Roman"/>
                <w:b w:val="0"/>
                <w:bCs w:val="0"/>
                <w:kern w:val="0"/>
                <w:sz w:val="21"/>
                <w:szCs w:val="21"/>
                <w14:ligatures w14:val="none"/>
              </w:rPr>
            </w:pPr>
            <w:r>
              <w:rPr>
                <w:rFonts w:hint="default" w:ascii="宋体" w:hAnsi="宋体" w:cs="Times New Roman"/>
                <w:b w:val="0"/>
                <w:bCs w:val="0"/>
                <w:kern w:val="0"/>
                <w:sz w:val="21"/>
                <w:szCs w:val="21"/>
                <w14:ligatures w14:val="none"/>
              </w:rPr>
              <w:t>消费偏好</w:t>
            </w:r>
          </w:p>
        </w:tc>
        <w:tc>
          <w:tcPr>
            <w:tcW w:w="851" w:type="pct"/>
            <w:tcBorders>
              <w:top w:val="single" w:color="auto" w:sz="18" w:space="0"/>
            </w:tcBorders>
            <w:vAlign w:val="center"/>
          </w:tcPr>
          <w:p w14:paraId="6E578931">
            <w:pPr>
              <w:spacing w:after="160" w:line="278" w:lineRule="auto"/>
              <w:ind w:firstLine="0" w:firstLineChars="0"/>
              <w:jc w:val="center"/>
              <w:rPr>
                <w:rFonts w:hint="eastAsia" w:ascii="宋体" w:hAnsi="宋体" w:cs="Times New Roman"/>
                <w:b w:val="0"/>
                <w:bCs w:val="0"/>
                <w:kern w:val="0"/>
                <w:sz w:val="21"/>
                <w:szCs w:val="21"/>
                <w14:ligatures w14:val="none"/>
              </w:rPr>
            </w:pPr>
            <w:r>
              <w:rPr>
                <w:rFonts w:hint="default" w:ascii="宋体" w:hAnsi="宋体" w:cs="Times New Roman"/>
                <w:b w:val="0"/>
                <w:bCs w:val="0"/>
                <w:kern w:val="0"/>
                <w:sz w:val="21"/>
                <w:szCs w:val="21"/>
                <w14:ligatures w14:val="none"/>
              </w:rPr>
              <w:t>触达渠道</w:t>
            </w:r>
          </w:p>
        </w:tc>
      </w:tr>
      <w:tr w14:paraId="727003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13" w:type="pct"/>
            <w:tcBorders>
              <w:top w:val="single" w:color="auto" w:sz="12" w:space="0"/>
            </w:tcBorders>
            <w:vAlign w:val="center"/>
          </w:tcPr>
          <w:p w14:paraId="330771A8">
            <w:pPr>
              <w:spacing w:after="160" w:line="278" w:lineRule="auto"/>
              <w:ind w:firstLine="0" w:firstLineChars="0"/>
              <w:jc w:val="center"/>
              <w:rPr>
                <w:rFonts w:hint="eastAsia" w:ascii="宋体" w:hAnsi="宋体" w:cs="Times New Roman"/>
                <w:b w:val="0"/>
                <w:bCs w:val="0"/>
                <w:kern w:val="0"/>
                <w:sz w:val="21"/>
                <w:szCs w:val="21"/>
                <w14:ligatures w14:val="none"/>
              </w:rPr>
            </w:pPr>
            <w:r>
              <w:rPr>
                <w:rFonts w:hint="default" w:ascii="宋体" w:hAnsi="宋体" w:cs="Times New Roman"/>
                <w:b w:val="0"/>
                <w:bCs w:val="0"/>
                <w:kern w:val="0"/>
                <w:sz w:val="21"/>
                <w:szCs w:val="21"/>
                <w14:ligatures w14:val="none"/>
              </w:rPr>
              <w:t>按活动偏好</w:t>
            </w:r>
          </w:p>
        </w:tc>
        <w:tc>
          <w:tcPr>
            <w:tcW w:w="835" w:type="pct"/>
            <w:tcBorders>
              <w:top w:val="single" w:color="auto" w:sz="12" w:space="0"/>
            </w:tcBorders>
            <w:vAlign w:val="center"/>
          </w:tcPr>
          <w:p w14:paraId="45F7D91E">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骑行运动型</w:t>
            </w:r>
          </w:p>
        </w:tc>
        <w:tc>
          <w:tcPr>
            <w:tcW w:w="831" w:type="pct"/>
            <w:tcBorders>
              <w:top w:val="single" w:color="auto" w:sz="12" w:space="0"/>
            </w:tcBorders>
            <w:vAlign w:val="center"/>
          </w:tcPr>
          <w:p w14:paraId="6FEC5759">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京郊活跃骑友约85万</w:t>
            </w:r>
          </w:p>
        </w:tc>
        <w:tc>
          <w:tcPr>
            <w:tcW w:w="1123" w:type="pct"/>
            <w:tcBorders>
              <w:top w:val="single" w:color="auto" w:sz="12" w:space="0"/>
            </w:tcBorders>
            <w:vAlign w:val="center"/>
          </w:tcPr>
          <w:p w14:paraId="6A36AFD0">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25-45岁，高知高收入，健康生活方式追求者，社交分享意愿82%</w:t>
            </w:r>
          </w:p>
        </w:tc>
        <w:tc>
          <w:tcPr>
            <w:tcW w:w="747" w:type="pct"/>
            <w:tcBorders>
              <w:top w:val="single" w:color="auto" w:sz="12" w:space="0"/>
            </w:tcBorders>
            <w:vAlign w:val="center"/>
          </w:tcPr>
          <w:p w14:paraId="685B7905">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路线体验&gt;配套服务&gt;打卡价值&gt;餐饮</w:t>
            </w:r>
          </w:p>
        </w:tc>
        <w:tc>
          <w:tcPr>
            <w:tcW w:w="851" w:type="pct"/>
            <w:tcBorders>
              <w:top w:val="single" w:color="auto" w:sz="12" w:space="0"/>
            </w:tcBorders>
            <w:vAlign w:val="center"/>
          </w:tcPr>
          <w:p w14:paraId="37D7B434">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骑行社群/Strava/小红书/行者APP</w:t>
            </w:r>
          </w:p>
        </w:tc>
      </w:tr>
      <w:tr w14:paraId="7A4A6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13" w:type="pct"/>
            <w:vAlign w:val="center"/>
          </w:tcPr>
          <w:p w14:paraId="2A8D0344">
            <w:pPr>
              <w:spacing w:after="160" w:line="278" w:lineRule="auto"/>
              <w:ind w:firstLine="0" w:firstLineChars="0"/>
              <w:jc w:val="center"/>
              <w:rPr>
                <w:rFonts w:hint="eastAsia" w:ascii="宋体" w:hAnsi="宋体" w:cs="Times New Roman"/>
                <w:b w:val="0"/>
                <w:bCs w:val="0"/>
                <w:kern w:val="0"/>
                <w:sz w:val="21"/>
                <w:szCs w:val="21"/>
                <w14:ligatures w14:val="none"/>
              </w:rPr>
            </w:pPr>
          </w:p>
        </w:tc>
        <w:tc>
          <w:tcPr>
            <w:tcW w:w="835" w:type="pct"/>
            <w:vAlign w:val="center"/>
          </w:tcPr>
          <w:p w14:paraId="00000B22">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采摘休闲型</w:t>
            </w:r>
          </w:p>
        </w:tc>
        <w:tc>
          <w:tcPr>
            <w:tcW w:w="831" w:type="pct"/>
            <w:vAlign w:val="center"/>
          </w:tcPr>
          <w:p w14:paraId="20F40B15">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京郊年采摘游客约950万人次</w:t>
            </w:r>
          </w:p>
        </w:tc>
        <w:tc>
          <w:tcPr>
            <w:tcW w:w="1123" w:type="pct"/>
            <w:vAlign w:val="center"/>
          </w:tcPr>
          <w:p w14:paraId="19AAEA0A">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家庭为主，价格敏感度中等，决策周期短，周末出行</w:t>
            </w:r>
          </w:p>
        </w:tc>
        <w:tc>
          <w:tcPr>
            <w:tcW w:w="747" w:type="pct"/>
            <w:vAlign w:val="center"/>
          </w:tcPr>
          <w:p w14:paraId="1543852D">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果实品质&gt;便利性&gt;价格&gt;附加体验</w:t>
            </w:r>
          </w:p>
        </w:tc>
        <w:tc>
          <w:tcPr>
            <w:tcW w:w="851" w:type="pct"/>
            <w:vAlign w:val="center"/>
          </w:tcPr>
          <w:p w14:paraId="622C37A6">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美团/大众点评/朋友圈</w:t>
            </w:r>
          </w:p>
        </w:tc>
      </w:tr>
      <w:tr w14:paraId="1960FB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13" w:type="pct"/>
            <w:vAlign w:val="center"/>
          </w:tcPr>
          <w:p w14:paraId="38E59EB3">
            <w:pPr>
              <w:spacing w:after="160" w:line="278" w:lineRule="auto"/>
              <w:ind w:firstLine="0" w:firstLineChars="0"/>
              <w:jc w:val="center"/>
              <w:rPr>
                <w:rFonts w:hint="eastAsia" w:ascii="宋体" w:hAnsi="宋体" w:cs="Times New Roman"/>
                <w:b w:val="0"/>
                <w:bCs w:val="0"/>
                <w:kern w:val="0"/>
                <w:sz w:val="21"/>
                <w:szCs w:val="21"/>
                <w14:ligatures w14:val="none"/>
              </w:rPr>
            </w:pPr>
          </w:p>
        </w:tc>
        <w:tc>
          <w:tcPr>
            <w:tcW w:w="835" w:type="pct"/>
            <w:vAlign w:val="center"/>
          </w:tcPr>
          <w:p w14:paraId="3C4FADE2">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研学教育型</w:t>
            </w:r>
          </w:p>
        </w:tc>
        <w:tc>
          <w:tcPr>
            <w:tcW w:w="831" w:type="pct"/>
            <w:vAlign w:val="center"/>
          </w:tcPr>
          <w:p w14:paraId="2231D750">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北京中小学生约155万，研学渗透率52%</w:t>
            </w:r>
          </w:p>
        </w:tc>
        <w:tc>
          <w:tcPr>
            <w:tcW w:w="1123" w:type="pct"/>
            <w:vAlign w:val="center"/>
          </w:tcPr>
          <w:p w14:paraId="6DD32691">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学校/机构团体决策，有课程化需求，预算充足</w:t>
            </w:r>
          </w:p>
        </w:tc>
        <w:tc>
          <w:tcPr>
            <w:tcW w:w="747" w:type="pct"/>
            <w:vAlign w:val="center"/>
          </w:tcPr>
          <w:p w14:paraId="0C4E0981">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教育价值&gt;安全保障&gt;流程规范&gt;配套</w:t>
            </w:r>
          </w:p>
        </w:tc>
        <w:tc>
          <w:tcPr>
            <w:tcW w:w="851" w:type="pct"/>
            <w:vAlign w:val="center"/>
          </w:tcPr>
          <w:p w14:paraId="35FA031F">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学校渠道/B端合作/教育展会</w:t>
            </w:r>
          </w:p>
        </w:tc>
      </w:tr>
      <w:tr w14:paraId="623BFE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13" w:type="pct"/>
            <w:vAlign w:val="center"/>
          </w:tcPr>
          <w:p w14:paraId="0790E4BB">
            <w:pPr>
              <w:spacing w:after="160" w:line="278" w:lineRule="auto"/>
              <w:ind w:firstLine="0" w:firstLineChars="0"/>
              <w:jc w:val="center"/>
              <w:rPr>
                <w:rFonts w:hint="eastAsia" w:ascii="宋体" w:hAnsi="宋体" w:cs="Times New Roman"/>
                <w:b w:val="0"/>
                <w:bCs w:val="0"/>
                <w:kern w:val="0"/>
                <w:sz w:val="21"/>
                <w:szCs w:val="21"/>
                <w14:ligatures w14:val="none"/>
              </w:rPr>
            </w:pPr>
          </w:p>
        </w:tc>
        <w:tc>
          <w:tcPr>
            <w:tcW w:w="835" w:type="pct"/>
            <w:vAlign w:val="center"/>
          </w:tcPr>
          <w:p w14:paraId="1C7DD519">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轻度假型</w:t>
            </w:r>
          </w:p>
        </w:tc>
        <w:tc>
          <w:tcPr>
            <w:tcW w:w="831" w:type="pct"/>
            <w:vAlign w:val="center"/>
          </w:tcPr>
          <w:p w14:paraId="61EACB06">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京郊周末出行家庭约600万户/年</w:t>
            </w:r>
          </w:p>
        </w:tc>
        <w:tc>
          <w:tcPr>
            <w:tcW w:w="1123" w:type="pct"/>
            <w:vAlign w:val="center"/>
          </w:tcPr>
          <w:p w14:paraId="4A04A939">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1-2天行程，追求综合体验，拍照分享需求强</w:t>
            </w:r>
          </w:p>
        </w:tc>
        <w:tc>
          <w:tcPr>
            <w:tcW w:w="747" w:type="pct"/>
            <w:vAlign w:val="center"/>
          </w:tcPr>
          <w:p w14:paraId="41E97FC4">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体验丰富度&gt;场景出片&gt;餐饮住宿&gt;价格</w:t>
            </w:r>
          </w:p>
        </w:tc>
        <w:tc>
          <w:tcPr>
            <w:tcW w:w="851" w:type="pct"/>
            <w:vAlign w:val="center"/>
          </w:tcPr>
          <w:p w14:paraId="12A4D816">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小红书/抖音/携程/马蜂窝</w:t>
            </w:r>
          </w:p>
        </w:tc>
      </w:tr>
      <w:tr w14:paraId="67118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13" w:type="pct"/>
            <w:vAlign w:val="center"/>
          </w:tcPr>
          <w:p w14:paraId="508F5828">
            <w:pPr>
              <w:spacing w:after="160" w:line="278" w:lineRule="auto"/>
              <w:ind w:firstLine="0" w:firstLineChars="0"/>
              <w:jc w:val="center"/>
              <w:rPr>
                <w:rFonts w:hint="eastAsia" w:ascii="宋体" w:hAnsi="宋体" w:cs="Times New Roman"/>
                <w:b w:val="0"/>
                <w:bCs w:val="0"/>
                <w:kern w:val="0"/>
                <w:sz w:val="21"/>
                <w:szCs w:val="21"/>
                <w14:ligatures w14:val="none"/>
              </w:rPr>
            </w:pPr>
          </w:p>
        </w:tc>
        <w:tc>
          <w:tcPr>
            <w:tcW w:w="835" w:type="pct"/>
            <w:vAlign w:val="center"/>
          </w:tcPr>
          <w:p w14:paraId="6F578EC7">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天文科普型</w:t>
            </w:r>
          </w:p>
        </w:tc>
        <w:tc>
          <w:tcPr>
            <w:tcW w:w="831" w:type="pct"/>
            <w:vAlign w:val="center"/>
          </w:tcPr>
          <w:p w14:paraId="5C424415">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天文爱好者+亲子家庭约30万</w:t>
            </w:r>
          </w:p>
        </w:tc>
        <w:tc>
          <w:tcPr>
            <w:tcW w:w="1123" w:type="pct"/>
            <w:vAlign w:val="center"/>
          </w:tcPr>
          <w:p w14:paraId="71926808">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对天文观测有明确兴趣，愿为独占体验付费</w:t>
            </w:r>
          </w:p>
        </w:tc>
        <w:tc>
          <w:tcPr>
            <w:tcW w:w="747" w:type="pct"/>
            <w:vAlign w:val="center"/>
          </w:tcPr>
          <w:p w14:paraId="6FE1A7B9">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观测条件&gt;科普内容&gt;配套服务</w:t>
            </w:r>
          </w:p>
        </w:tc>
        <w:tc>
          <w:tcPr>
            <w:tcW w:w="851" w:type="pct"/>
            <w:vAlign w:val="center"/>
          </w:tcPr>
          <w:p w14:paraId="10B08E29">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天文社群/科普公众号/学校社团</w:t>
            </w:r>
          </w:p>
        </w:tc>
      </w:tr>
      <w:tr w14:paraId="358978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13" w:type="pct"/>
            <w:vAlign w:val="center"/>
          </w:tcPr>
          <w:p w14:paraId="53920D3D">
            <w:pPr>
              <w:spacing w:after="160" w:line="278" w:lineRule="auto"/>
              <w:ind w:firstLine="0" w:firstLineChars="0"/>
              <w:jc w:val="center"/>
              <w:rPr>
                <w:rFonts w:hint="eastAsia" w:ascii="宋体" w:hAnsi="宋体" w:cs="Times New Roman"/>
                <w:b w:val="0"/>
                <w:bCs w:val="0"/>
                <w:kern w:val="0"/>
                <w:sz w:val="21"/>
                <w:szCs w:val="21"/>
                <w14:ligatures w14:val="none"/>
              </w:rPr>
            </w:pPr>
            <w:r>
              <w:rPr>
                <w:rFonts w:hint="default" w:ascii="宋体" w:hAnsi="宋体" w:cs="Times New Roman"/>
                <w:b w:val="0"/>
                <w:bCs w:val="0"/>
                <w:kern w:val="0"/>
                <w:sz w:val="21"/>
                <w:szCs w:val="21"/>
                <w14:ligatures w14:val="none"/>
              </w:rPr>
              <w:t>按消费能力</w:t>
            </w:r>
          </w:p>
        </w:tc>
        <w:tc>
          <w:tcPr>
            <w:tcW w:w="835" w:type="pct"/>
            <w:vAlign w:val="center"/>
          </w:tcPr>
          <w:p w14:paraId="11A3D071">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高端（人均&gt;500元）</w:t>
            </w:r>
          </w:p>
        </w:tc>
        <w:tc>
          <w:tcPr>
            <w:tcW w:w="831" w:type="pct"/>
            <w:vAlign w:val="center"/>
          </w:tcPr>
          <w:p w14:paraId="62D41082">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约占目标客群18%</w:t>
            </w:r>
          </w:p>
        </w:tc>
        <w:tc>
          <w:tcPr>
            <w:tcW w:w="1123" w:type="pct"/>
            <w:vAlign w:val="center"/>
          </w:tcPr>
          <w:p w14:paraId="2266D51D">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企业主/高管/专业人士，品质敏感而非价格敏感</w:t>
            </w:r>
          </w:p>
        </w:tc>
        <w:tc>
          <w:tcPr>
            <w:tcW w:w="747" w:type="pct"/>
            <w:vAlign w:val="center"/>
          </w:tcPr>
          <w:p w14:paraId="59BBDC70">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认养/定制/私享/高端礼盒</w:t>
            </w:r>
          </w:p>
        </w:tc>
        <w:tc>
          <w:tcPr>
            <w:tcW w:w="851" w:type="pct"/>
            <w:vAlign w:val="center"/>
          </w:tcPr>
          <w:p w14:paraId="348057F9">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私域/企业团建渠道/高端社群</w:t>
            </w:r>
          </w:p>
        </w:tc>
      </w:tr>
      <w:tr w14:paraId="11FE8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13" w:type="pct"/>
            <w:vAlign w:val="center"/>
          </w:tcPr>
          <w:p w14:paraId="25C9641F">
            <w:pPr>
              <w:spacing w:after="160" w:line="278" w:lineRule="auto"/>
              <w:ind w:firstLine="0" w:firstLineChars="0"/>
              <w:jc w:val="center"/>
              <w:rPr>
                <w:rFonts w:hint="eastAsia" w:ascii="宋体" w:hAnsi="宋体" w:cs="Times New Roman"/>
                <w:b w:val="0"/>
                <w:bCs w:val="0"/>
                <w:kern w:val="0"/>
                <w:sz w:val="21"/>
                <w:szCs w:val="21"/>
                <w14:ligatures w14:val="none"/>
              </w:rPr>
            </w:pPr>
          </w:p>
        </w:tc>
        <w:tc>
          <w:tcPr>
            <w:tcW w:w="835" w:type="pct"/>
            <w:vAlign w:val="center"/>
          </w:tcPr>
          <w:p w14:paraId="581820A7">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中端（人均200-500元）</w:t>
            </w:r>
          </w:p>
        </w:tc>
        <w:tc>
          <w:tcPr>
            <w:tcW w:w="831" w:type="pct"/>
            <w:vAlign w:val="center"/>
          </w:tcPr>
          <w:p w14:paraId="5A803F9A">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约占目标客群57%</w:t>
            </w:r>
          </w:p>
        </w:tc>
        <w:tc>
          <w:tcPr>
            <w:tcW w:w="1123" w:type="pct"/>
            <w:vAlign w:val="center"/>
          </w:tcPr>
          <w:p w14:paraId="5E85A48F">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城市中产，追求性价比与体验的平衡</w:t>
            </w:r>
          </w:p>
        </w:tc>
        <w:tc>
          <w:tcPr>
            <w:tcW w:w="747" w:type="pct"/>
            <w:vAlign w:val="center"/>
          </w:tcPr>
          <w:p w14:paraId="70DBF123">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套餐制/标准产品/会员服务</w:t>
            </w:r>
          </w:p>
        </w:tc>
        <w:tc>
          <w:tcPr>
            <w:tcW w:w="851" w:type="pct"/>
            <w:vAlign w:val="center"/>
          </w:tcPr>
          <w:p w14:paraId="7DCABC44">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小红书/抖音/小程序/OTA</w:t>
            </w:r>
          </w:p>
        </w:tc>
      </w:tr>
      <w:tr w14:paraId="31793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13" w:type="pct"/>
            <w:vAlign w:val="center"/>
          </w:tcPr>
          <w:p w14:paraId="5AC26C7A">
            <w:pPr>
              <w:spacing w:after="160" w:line="278" w:lineRule="auto"/>
              <w:ind w:firstLine="0" w:firstLineChars="0"/>
              <w:jc w:val="center"/>
              <w:rPr>
                <w:rFonts w:hint="eastAsia" w:ascii="宋体" w:hAnsi="宋体" w:cs="Times New Roman"/>
                <w:b w:val="0"/>
                <w:bCs w:val="0"/>
                <w:kern w:val="0"/>
                <w:sz w:val="21"/>
                <w:szCs w:val="21"/>
                <w14:ligatures w14:val="none"/>
              </w:rPr>
            </w:pPr>
          </w:p>
        </w:tc>
        <w:tc>
          <w:tcPr>
            <w:tcW w:w="835" w:type="pct"/>
            <w:vAlign w:val="center"/>
          </w:tcPr>
          <w:p w14:paraId="719963F2">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大众（人均&lt;200元）</w:t>
            </w:r>
          </w:p>
        </w:tc>
        <w:tc>
          <w:tcPr>
            <w:tcW w:w="831" w:type="pct"/>
            <w:vAlign w:val="center"/>
          </w:tcPr>
          <w:p w14:paraId="2EFE821A">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约占目标客群25%</w:t>
            </w:r>
          </w:p>
        </w:tc>
        <w:tc>
          <w:tcPr>
            <w:tcW w:w="1123" w:type="pct"/>
            <w:vAlign w:val="center"/>
          </w:tcPr>
          <w:p w14:paraId="4AE54CF1">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价格敏感，目的性强，停留时间短</w:t>
            </w:r>
          </w:p>
        </w:tc>
        <w:tc>
          <w:tcPr>
            <w:tcW w:w="747" w:type="pct"/>
            <w:vAlign w:val="center"/>
          </w:tcPr>
          <w:p w14:paraId="34FB8EDF">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单项体验/散客采摘/基础产品</w:t>
            </w:r>
          </w:p>
        </w:tc>
        <w:tc>
          <w:tcPr>
            <w:tcW w:w="851" w:type="pct"/>
            <w:vAlign w:val="center"/>
          </w:tcPr>
          <w:p w14:paraId="7D177B60">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美团/社区团购/线下自然流量</w:t>
            </w:r>
          </w:p>
        </w:tc>
      </w:tr>
      <w:tr w14:paraId="36CFFA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13" w:type="pct"/>
            <w:vAlign w:val="center"/>
          </w:tcPr>
          <w:p w14:paraId="2947BDE1">
            <w:pPr>
              <w:spacing w:after="160" w:line="278" w:lineRule="auto"/>
              <w:ind w:firstLine="0" w:firstLineChars="0"/>
              <w:jc w:val="center"/>
              <w:rPr>
                <w:rFonts w:hint="eastAsia" w:ascii="宋体" w:hAnsi="宋体" w:cs="Times New Roman"/>
                <w:b w:val="0"/>
                <w:bCs w:val="0"/>
                <w:kern w:val="0"/>
                <w:sz w:val="21"/>
                <w:szCs w:val="21"/>
                <w14:ligatures w14:val="none"/>
              </w:rPr>
            </w:pPr>
            <w:r>
              <w:rPr>
                <w:rFonts w:hint="default" w:ascii="宋体" w:hAnsi="宋体" w:cs="Times New Roman"/>
                <w:b w:val="0"/>
                <w:bCs w:val="0"/>
                <w:kern w:val="0"/>
                <w:sz w:val="21"/>
                <w:szCs w:val="21"/>
                <w14:ligatures w14:val="none"/>
              </w:rPr>
              <w:t>按地理来源</w:t>
            </w:r>
          </w:p>
        </w:tc>
        <w:tc>
          <w:tcPr>
            <w:tcW w:w="835" w:type="pct"/>
            <w:vAlign w:val="center"/>
          </w:tcPr>
          <w:p w14:paraId="4E481AE9">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核心圈（怀柔+顺义+密云）</w:t>
            </w:r>
          </w:p>
        </w:tc>
        <w:tc>
          <w:tcPr>
            <w:tcW w:w="831" w:type="pct"/>
            <w:vAlign w:val="center"/>
          </w:tcPr>
          <w:p w14:paraId="6179DD72">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约160万人口，&lt;30分钟车程</w:t>
            </w:r>
          </w:p>
        </w:tc>
        <w:tc>
          <w:tcPr>
            <w:tcW w:w="1123" w:type="pct"/>
            <w:vAlign w:val="center"/>
          </w:tcPr>
          <w:p w14:paraId="7926DDE6">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高频低消，可发展会员，周末常客</w:t>
            </w:r>
          </w:p>
        </w:tc>
        <w:tc>
          <w:tcPr>
            <w:tcW w:w="747" w:type="pct"/>
            <w:vAlign w:val="center"/>
          </w:tcPr>
          <w:p w14:paraId="1493D638">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便捷&gt;价格&gt;熟悉度</w:t>
            </w:r>
          </w:p>
        </w:tc>
        <w:tc>
          <w:tcPr>
            <w:tcW w:w="851" w:type="pct"/>
            <w:vAlign w:val="center"/>
          </w:tcPr>
          <w:p w14:paraId="2C9DBD71">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本地社群/地推/口碑</w:t>
            </w:r>
          </w:p>
        </w:tc>
      </w:tr>
      <w:tr w14:paraId="3511D0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13" w:type="pct"/>
            <w:vAlign w:val="center"/>
          </w:tcPr>
          <w:p w14:paraId="7030ADC9">
            <w:pPr>
              <w:spacing w:after="160" w:line="278" w:lineRule="auto"/>
              <w:ind w:firstLine="0" w:firstLineChars="0"/>
              <w:jc w:val="center"/>
              <w:rPr>
                <w:rFonts w:hint="eastAsia" w:ascii="宋体" w:hAnsi="宋体" w:cs="Times New Roman"/>
                <w:b w:val="0"/>
                <w:bCs w:val="0"/>
                <w:kern w:val="0"/>
                <w:sz w:val="21"/>
                <w:szCs w:val="21"/>
                <w14:ligatures w14:val="none"/>
              </w:rPr>
            </w:pPr>
          </w:p>
        </w:tc>
        <w:tc>
          <w:tcPr>
            <w:tcW w:w="835" w:type="pct"/>
            <w:vAlign w:val="center"/>
          </w:tcPr>
          <w:p w14:paraId="7CA0AE09">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主力圈（北京五环至怀柔1.5h）</w:t>
            </w:r>
          </w:p>
        </w:tc>
        <w:tc>
          <w:tcPr>
            <w:tcW w:w="831" w:type="pct"/>
            <w:vAlign w:val="center"/>
          </w:tcPr>
          <w:p w14:paraId="67D1A6E7">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约900万人口，1-1.5小时车程</w:t>
            </w:r>
          </w:p>
        </w:tc>
        <w:tc>
          <w:tcPr>
            <w:tcW w:w="1123" w:type="pct"/>
            <w:vAlign w:val="center"/>
          </w:tcPr>
          <w:p w14:paraId="7D3C4B97">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本项目核心客群来源地，周末出行主力</w:t>
            </w:r>
          </w:p>
        </w:tc>
        <w:tc>
          <w:tcPr>
            <w:tcW w:w="747" w:type="pct"/>
            <w:vAlign w:val="center"/>
          </w:tcPr>
          <w:p w14:paraId="4A55EF6D">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体验&gt;品质&gt;口碑</w:t>
            </w:r>
          </w:p>
        </w:tc>
        <w:tc>
          <w:tcPr>
            <w:tcW w:w="851" w:type="pct"/>
            <w:vAlign w:val="center"/>
          </w:tcPr>
          <w:p w14:paraId="505A2388">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小红书/抖音/朋友圈分享</w:t>
            </w:r>
          </w:p>
        </w:tc>
      </w:tr>
      <w:tr w14:paraId="1AD8D8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13" w:type="pct"/>
            <w:tcBorders>
              <w:bottom w:val="single" w:color="auto" w:sz="18" w:space="0"/>
            </w:tcBorders>
            <w:vAlign w:val="center"/>
          </w:tcPr>
          <w:p w14:paraId="7B58E064">
            <w:pPr>
              <w:spacing w:after="160" w:line="278" w:lineRule="auto"/>
              <w:ind w:firstLine="0" w:firstLineChars="0"/>
              <w:jc w:val="center"/>
              <w:rPr>
                <w:rFonts w:hint="eastAsia" w:ascii="宋体" w:hAnsi="宋体" w:cs="Times New Roman"/>
                <w:b w:val="0"/>
                <w:bCs w:val="0"/>
                <w:kern w:val="0"/>
                <w:sz w:val="21"/>
                <w:szCs w:val="21"/>
                <w14:ligatures w14:val="none"/>
              </w:rPr>
            </w:pPr>
          </w:p>
        </w:tc>
        <w:tc>
          <w:tcPr>
            <w:tcW w:w="835" w:type="pct"/>
            <w:tcBorders>
              <w:bottom w:val="single" w:color="auto" w:sz="18" w:space="0"/>
            </w:tcBorders>
            <w:vAlign w:val="center"/>
          </w:tcPr>
          <w:p w14:paraId="2D083F74">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拓展圈（北京城区+天津+河北）</w:t>
            </w:r>
          </w:p>
        </w:tc>
        <w:tc>
          <w:tcPr>
            <w:tcW w:w="831" w:type="pct"/>
            <w:tcBorders>
              <w:bottom w:val="single" w:color="auto" w:sz="18" w:space="0"/>
            </w:tcBorders>
            <w:vAlign w:val="center"/>
          </w:tcPr>
          <w:p w14:paraId="5F14B6D8">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约3500万人口，1.5-3小时车程</w:t>
            </w:r>
          </w:p>
        </w:tc>
        <w:tc>
          <w:tcPr>
            <w:tcW w:w="1123" w:type="pct"/>
            <w:tcBorders>
              <w:bottom w:val="single" w:color="auto" w:sz="18" w:space="0"/>
            </w:tcBorders>
            <w:vAlign w:val="center"/>
          </w:tcPr>
          <w:p w14:paraId="0C96F184">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低频高消，节假日出行，需强吸引力</w:t>
            </w:r>
          </w:p>
        </w:tc>
        <w:tc>
          <w:tcPr>
            <w:tcW w:w="747" w:type="pct"/>
            <w:tcBorders>
              <w:bottom w:val="single" w:color="auto" w:sz="18" w:space="0"/>
            </w:tcBorders>
            <w:vAlign w:val="center"/>
          </w:tcPr>
          <w:p w14:paraId="0D2C7912">
            <w:pPr>
              <w:spacing w:after="160" w:line="278" w:lineRule="auto"/>
              <w:ind w:firstLine="0" w:firstLineChars="0"/>
              <w:jc w:val="center"/>
              <w:rPr>
                <w:rFonts w:hint="eastAsia" w:ascii="宋体" w:hAnsi="宋体" w:cs="Times New Roman"/>
                <w:kern w:val="0"/>
                <w:sz w:val="21"/>
                <w:szCs w:val="21"/>
                <w14:ligatures w14:val="none"/>
              </w:rPr>
            </w:pPr>
            <w:r>
              <w:rPr>
                <w:rFonts w:ascii="宋体" w:hAnsi="宋体" w:cs="Times New Roman"/>
                <w:kern w:val="0"/>
                <w:sz w:val="21"/>
                <w:szCs w:val="21"/>
                <w14:ligatures w14:val="none"/>
              </w:rPr>
              <w:t>独特性&gt;品牌&gt;配套</w:t>
            </w:r>
          </w:p>
        </w:tc>
        <w:tc>
          <w:tcPr>
            <w:tcW w:w="851" w:type="pct"/>
            <w:tcBorders>
              <w:bottom w:val="single" w:color="auto" w:sz="18" w:space="0"/>
            </w:tcBorders>
            <w:vAlign w:val="center"/>
          </w:tcPr>
          <w:p w14:paraId="5F40548A">
            <w:pPr>
              <w:spacing w:after="160" w:line="278" w:lineRule="auto"/>
              <w:ind w:firstLine="0" w:firstLineChars="0"/>
              <w:jc w:val="center"/>
              <w:rPr>
                <w:rFonts w:hint="eastAsia" w:ascii="宋体" w:hAnsi="宋体" w:cs="Times New Roman"/>
                <w:kern w:val="0"/>
                <w:sz w:val="21"/>
                <w:szCs w:val="21"/>
                <w14:ligatures w14:val="none"/>
              </w:rPr>
            </w:pPr>
          </w:p>
        </w:tc>
      </w:tr>
    </w:tbl>
    <w:p w14:paraId="2DBB2D8F">
      <w:pPr>
        <w:ind w:firstLine="420"/>
        <w:rPr>
          <w:rFonts w:hint="eastAsia" w:ascii="宋体" w:hAnsi="宋体"/>
          <w:sz w:val="21"/>
          <w:szCs w:val="21"/>
        </w:rPr>
      </w:pPr>
      <w:r>
        <w:rPr>
          <w:rFonts w:hint="eastAsia" w:ascii="宋体" w:hAnsi="宋体"/>
          <w:sz w:val="21"/>
          <w:szCs w:val="21"/>
        </w:rPr>
        <w:t>团队通过</w:t>
      </w:r>
      <w:r>
        <w:rPr>
          <w:rFonts w:ascii="宋体" w:hAnsi="宋体"/>
          <w:sz w:val="21"/>
          <w:szCs w:val="21"/>
        </w:rPr>
        <w:t>市场细分矩阵</w:t>
      </w:r>
      <w:r>
        <w:rPr>
          <w:rFonts w:hint="eastAsia" w:ascii="宋体" w:hAnsi="宋体"/>
          <w:sz w:val="21"/>
          <w:szCs w:val="21"/>
        </w:rPr>
        <w:t>能够</w:t>
      </w:r>
      <w:r>
        <w:rPr>
          <w:rFonts w:ascii="宋体" w:hAnsi="宋体"/>
          <w:sz w:val="21"/>
          <w:szCs w:val="21"/>
        </w:rPr>
        <w:t>揭示三层关键洞察：</w:t>
      </w:r>
    </w:p>
    <w:p w14:paraId="7E50CB2C">
      <w:pPr>
        <w:ind w:firstLine="422"/>
        <w:rPr>
          <w:rFonts w:hint="eastAsia" w:ascii="宋体" w:hAnsi="宋体"/>
          <w:sz w:val="21"/>
          <w:szCs w:val="21"/>
        </w:rPr>
      </w:pPr>
      <w:r>
        <w:rPr>
          <w:rFonts w:ascii="宋体" w:hAnsi="宋体"/>
          <w:b/>
          <w:bCs/>
          <w:sz w:val="21"/>
          <w:szCs w:val="21"/>
        </w:rPr>
        <w:t>第一，按</w:t>
      </w:r>
      <w:r>
        <w:rPr>
          <w:rFonts w:hint="eastAsia" w:ascii="宋体" w:hAnsi="宋体"/>
          <w:b/>
          <w:bCs/>
          <w:sz w:val="21"/>
          <w:szCs w:val="21"/>
        </w:rPr>
        <w:t>消费者</w:t>
      </w:r>
      <w:r>
        <w:rPr>
          <w:rFonts w:ascii="宋体" w:hAnsi="宋体"/>
          <w:b/>
          <w:bCs/>
          <w:sz w:val="21"/>
          <w:szCs w:val="21"/>
        </w:rPr>
        <w:t>活动偏好细分，骑行+轻度假是最大交集。</w:t>
      </w:r>
      <w:r>
        <w:rPr>
          <w:rFonts w:ascii="宋体" w:hAnsi="宋体"/>
          <w:sz w:val="21"/>
          <w:szCs w:val="21"/>
        </w:rPr>
        <w:t>骑行运动型（85万）与轻度假型（600万户）的交集人群是本项目的核心目标客群——他们既有骑行习惯，又追求综合度假体验，完美匹配“骑行+采摘+体验”的产品设计。</w:t>
      </w:r>
    </w:p>
    <w:p w14:paraId="07A17A45">
      <w:pPr>
        <w:ind w:firstLine="422"/>
        <w:rPr>
          <w:rFonts w:hint="eastAsia" w:ascii="宋体" w:hAnsi="宋体"/>
          <w:sz w:val="21"/>
          <w:szCs w:val="21"/>
        </w:rPr>
      </w:pPr>
      <w:r>
        <w:rPr>
          <w:rFonts w:ascii="宋体" w:hAnsi="宋体"/>
          <w:b/>
          <w:bCs/>
          <w:sz w:val="21"/>
          <w:szCs w:val="21"/>
        </w:rPr>
        <w:t>第二,研学教育型是增量蓝海。52%的研学市场渗透率和持续上升的客单价使这一赛道具备高增长潜力,而本项目的水源保护主题与乡村非遗等研学内容能够形成差异化供给,客单价与复购率预期可观。</w:t>
      </w:r>
    </w:p>
    <w:p w14:paraId="6B92D430">
      <w:pPr>
        <w:ind w:firstLine="422"/>
        <w:rPr>
          <w:rFonts w:hint="eastAsia" w:ascii="宋体" w:hAnsi="宋体"/>
          <w:sz w:val="21"/>
          <w:szCs w:val="21"/>
        </w:rPr>
      </w:pPr>
      <w:r>
        <w:rPr>
          <w:rFonts w:ascii="宋体" w:hAnsi="宋体"/>
          <w:b/>
          <w:bCs/>
          <w:sz w:val="21"/>
          <w:szCs w:val="21"/>
        </w:rPr>
        <w:t>第三，按消费能力</w:t>
      </w:r>
      <w:r>
        <w:rPr>
          <w:rFonts w:hint="eastAsia" w:ascii="宋体" w:hAnsi="宋体"/>
          <w:b/>
          <w:bCs/>
          <w:sz w:val="21"/>
          <w:szCs w:val="21"/>
        </w:rPr>
        <w:t>来说，</w:t>
      </w:r>
      <w:r>
        <w:rPr>
          <w:rFonts w:ascii="宋体" w:hAnsi="宋体"/>
          <w:b/>
          <w:bCs/>
          <w:sz w:val="21"/>
          <w:szCs w:val="21"/>
        </w:rPr>
        <w:t>中高端占比达75%。</w:t>
      </w:r>
      <w:r>
        <w:rPr>
          <w:rFonts w:ascii="宋体" w:hAnsi="宋体"/>
          <w:sz w:val="21"/>
          <w:szCs w:val="21"/>
        </w:rPr>
        <w:t>高端（18%）+中端（57%）合计占75%，说明市场有足够的支付能力支撑本项目的定价策略</w:t>
      </w:r>
      <w:r>
        <w:rPr>
          <w:rFonts w:hint="eastAsia" w:ascii="宋体" w:hAnsi="宋体"/>
          <w:sz w:val="21"/>
          <w:szCs w:val="21"/>
        </w:rPr>
        <w:t>，而</w:t>
      </w:r>
      <w:r>
        <w:rPr>
          <w:rFonts w:ascii="宋体" w:hAnsi="宋体"/>
          <w:sz w:val="21"/>
          <w:szCs w:val="21"/>
        </w:rPr>
        <w:t>产品分级体系（S/A/B/C四级）精准对应不同消费能力客群。</w:t>
      </w:r>
    </w:p>
    <w:p w14:paraId="08EDD03B">
      <w:pPr>
        <w:ind w:firstLine="422"/>
        <w:rPr>
          <w:rFonts w:hint="eastAsia" w:ascii="宋体" w:hAnsi="宋体"/>
          <w:b/>
          <w:bCs/>
          <w:sz w:val="21"/>
          <w:szCs w:val="21"/>
        </w:rPr>
      </w:pPr>
      <w:bookmarkStart w:id="64" w:name="_Toc19397"/>
      <w:r>
        <w:rPr>
          <w:rStyle w:val="30"/>
          <w:rFonts w:hint="eastAsia"/>
        </w:rPr>
        <w:t xml:space="preserve">3.10.2 </w:t>
      </w:r>
      <w:r>
        <w:rPr>
          <w:rStyle w:val="30"/>
        </w:rPr>
        <w:t>T——目标市场</w:t>
      </w:r>
      <w:bookmarkEnd w:id="64"/>
      <w:r>
        <w:rPr>
          <w:rFonts w:ascii="宋体" w:hAnsi="宋体"/>
          <w:b/>
          <w:bCs/>
          <w:sz w:val="21"/>
          <w:szCs w:val="21"/>
        </w:rPr>
        <w:t>（Targeting）</w:t>
      </w:r>
    </w:p>
    <w:p w14:paraId="5EFD7A61">
      <w:pPr>
        <w:ind w:firstLine="420"/>
        <w:jc w:val="left"/>
        <w:rPr>
          <w:rFonts w:hint="eastAsia" w:ascii="宋体" w:hAnsi="宋体"/>
          <w:sz w:val="21"/>
          <w:szCs w:val="21"/>
        </w:rPr>
      </w:pPr>
      <w:r>
        <w:rPr>
          <w:rFonts w:hint="eastAsia" w:ascii="宋体" w:hAnsi="宋体"/>
          <w:sz w:val="21"/>
          <w:szCs w:val="21"/>
        </w:rPr>
        <w:t>杨家东庄村地处怀柔水库一级水源保护区,生态约束明确、资源禀赋独特,且面临商业经营许可零发放、老龄化劳动力短缺等多重硬约束。项目</w:t>
      </w:r>
      <w:r>
        <w:rPr>
          <w:rFonts w:hint="eastAsia" w:ascii="宋体" w:hAnsi="宋体"/>
          <w:b/>
          <w:bCs/>
          <w:sz w:val="21"/>
          <w:szCs w:val="21"/>
        </w:rPr>
        <w:t>以生态价值转化为核心逻辑</w:t>
      </w:r>
      <w:r>
        <w:rPr>
          <w:rFonts w:hint="eastAsia" w:ascii="宋体" w:hAnsi="宋体"/>
          <w:sz w:val="21"/>
          <w:szCs w:val="21"/>
        </w:rPr>
        <w:t>,确立村庄战略定位为</w:t>
      </w:r>
      <w:r>
        <w:rPr>
          <w:rFonts w:hint="eastAsia" w:ascii="宋体" w:hAnsi="宋体"/>
          <w:b/>
          <w:bCs/>
          <w:sz w:val="21"/>
          <w:szCs w:val="21"/>
        </w:rPr>
        <w:t>"水源保护区生态价值转化先行村、北片区域骑行联盟品牌母村"</w:t>
      </w:r>
      <w:r>
        <w:rPr>
          <w:rFonts w:hint="eastAsia" w:ascii="宋体" w:hAnsi="宋体"/>
          <w:sz w:val="21"/>
          <w:szCs w:val="21"/>
        </w:rPr>
        <w:t>。项目坚守生态保护底线与政策合规红线,以樱桃产业为基础支撑,以"一树一人"认养体系为线上主线,以北片区域骑行联盟为流量入口,以数字化平台为运营底座,将政策约束转化为品质背书与品牌护城河,推动村庄从单一季节性经济薄弱村,向"村不经营、组织变现"的合规可持续产业系统转型。</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51"/>
        <w:gridCol w:w="722"/>
        <w:gridCol w:w="2323"/>
        <w:gridCol w:w="1652"/>
        <w:gridCol w:w="1671"/>
        <w:gridCol w:w="1103"/>
      </w:tblGrid>
      <w:tr w14:paraId="6A0AF2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auto" w:sz="18" w:space="0"/>
              <w:bottom w:val="single" w:color="auto" w:sz="12" w:space="0"/>
            </w:tcBorders>
            <w:vAlign w:val="center"/>
          </w:tcPr>
          <w:p w14:paraId="59961963">
            <w:pPr>
              <w:spacing w:after="160" w:line="278" w:lineRule="auto"/>
              <w:ind w:firstLine="0" w:firstLineChars="0"/>
              <w:rPr>
                <w:rFonts w:hint="eastAsia" w:ascii="宋体" w:hAnsi="宋体" w:cs="Times New Roman"/>
                <w:kern w:val="0"/>
                <w:sz w:val="21"/>
                <w:szCs w:val="21"/>
                <w14:ligatures w14:val="none"/>
              </w:rPr>
            </w:pPr>
            <w:r>
              <w:rPr>
                <w:rFonts w:ascii="宋体" w:hAnsi="宋体" w:cs="Times New Roman"/>
                <w:kern w:val="0"/>
                <w:sz w:val="21"/>
                <w:szCs w:val="21"/>
                <w14:ligatures w14:val="none"/>
              </w:rPr>
              <w:t>客群类型</w:t>
            </w:r>
          </w:p>
        </w:tc>
        <w:tc>
          <w:tcPr>
            <w:tcW w:w="0" w:type="auto"/>
            <w:tcBorders>
              <w:top w:val="single" w:color="auto" w:sz="18" w:space="0"/>
              <w:bottom w:val="single" w:color="auto" w:sz="12" w:space="0"/>
            </w:tcBorders>
            <w:vAlign w:val="center"/>
          </w:tcPr>
          <w:p w14:paraId="4B9B1ADC">
            <w:pPr>
              <w:spacing w:after="160" w:line="278" w:lineRule="auto"/>
              <w:ind w:firstLine="0" w:firstLineChars="0"/>
              <w:rPr>
                <w:rFonts w:hint="eastAsia" w:ascii="宋体" w:hAnsi="宋体" w:cs="Times New Roman"/>
                <w:kern w:val="0"/>
                <w:sz w:val="21"/>
                <w:szCs w:val="21"/>
                <w14:ligatures w14:val="none"/>
              </w:rPr>
            </w:pPr>
            <w:r>
              <w:rPr>
                <w:rFonts w:ascii="宋体" w:hAnsi="宋体" w:cs="Times New Roman"/>
                <w:kern w:val="0"/>
                <w:sz w:val="21"/>
                <w:szCs w:val="21"/>
                <w14:ligatures w14:val="none"/>
              </w:rPr>
              <w:t>预期客流占比</w:t>
            </w:r>
          </w:p>
        </w:tc>
        <w:tc>
          <w:tcPr>
            <w:tcW w:w="0" w:type="auto"/>
            <w:tcBorders>
              <w:top w:val="single" w:color="auto" w:sz="18" w:space="0"/>
              <w:bottom w:val="single" w:color="auto" w:sz="12" w:space="0"/>
            </w:tcBorders>
            <w:vAlign w:val="center"/>
          </w:tcPr>
          <w:p w14:paraId="5AAC1EA9">
            <w:pPr>
              <w:spacing w:after="160" w:line="278" w:lineRule="auto"/>
              <w:ind w:firstLine="0" w:firstLineChars="0"/>
              <w:rPr>
                <w:rFonts w:hint="eastAsia" w:ascii="宋体" w:hAnsi="宋体" w:cs="Times New Roman"/>
                <w:kern w:val="0"/>
                <w:sz w:val="21"/>
                <w:szCs w:val="21"/>
                <w14:ligatures w14:val="none"/>
              </w:rPr>
            </w:pPr>
            <w:r>
              <w:rPr>
                <w:rFonts w:ascii="宋体" w:hAnsi="宋体" w:cs="Times New Roman"/>
                <w:kern w:val="0"/>
                <w:sz w:val="21"/>
                <w:szCs w:val="21"/>
                <w14:ligatures w14:val="none"/>
              </w:rPr>
              <w:t>核心客群画像</w:t>
            </w:r>
          </w:p>
        </w:tc>
        <w:tc>
          <w:tcPr>
            <w:tcW w:w="0" w:type="auto"/>
            <w:tcBorders>
              <w:top w:val="single" w:color="auto" w:sz="18" w:space="0"/>
              <w:bottom w:val="single" w:color="auto" w:sz="12" w:space="0"/>
            </w:tcBorders>
            <w:vAlign w:val="center"/>
          </w:tcPr>
          <w:p w14:paraId="3131F4C2">
            <w:pPr>
              <w:spacing w:after="160" w:line="278" w:lineRule="auto"/>
              <w:ind w:firstLine="0" w:firstLineChars="0"/>
              <w:rPr>
                <w:rFonts w:hint="eastAsia" w:ascii="宋体" w:hAnsi="宋体" w:cs="Times New Roman"/>
                <w:kern w:val="0"/>
                <w:sz w:val="21"/>
                <w:szCs w:val="21"/>
                <w14:ligatures w14:val="none"/>
              </w:rPr>
            </w:pPr>
            <w:r>
              <w:rPr>
                <w:rFonts w:ascii="宋体" w:hAnsi="宋体" w:cs="Times New Roman"/>
                <w:kern w:val="0"/>
                <w:sz w:val="21"/>
                <w:szCs w:val="21"/>
                <w14:ligatures w14:val="none"/>
              </w:rPr>
              <w:t>选择依据</w:t>
            </w:r>
          </w:p>
        </w:tc>
        <w:tc>
          <w:tcPr>
            <w:tcW w:w="0" w:type="auto"/>
            <w:tcBorders>
              <w:top w:val="single" w:color="auto" w:sz="18" w:space="0"/>
              <w:bottom w:val="single" w:color="auto" w:sz="12" w:space="0"/>
            </w:tcBorders>
            <w:vAlign w:val="center"/>
          </w:tcPr>
          <w:p w14:paraId="53BAE65E">
            <w:pPr>
              <w:spacing w:after="160" w:line="278" w:lineRule="auto"/>
              <w:ind w:firstLine="0" w:firstLineChars="0"/>
              <w:rPr>
                <w:rFonts w:hint="eastAsia" w:ascii="宋体" w:hAnsi="宋体" w:cs="Times New Roman"/>
                <w:kern w:val="0"/>
                <w:sz w:val="21"/>
                <w:szCs w:val="21"/>
                <w14:ligatures w14:val="none"/>
              </w:rPr>
            </w:pPr>
            <w:r>
              <w:rPr>
                <w:rFonts w:ascii="宋体" w:hAnsi="宋体" w:cs="Times New Roman"/>
                <w:kern w:val="0"/>
                <w:sz w:val="21"/>
                <w:szCs w:val="21"/>
                <w14:ligatures w14:val="none"/>
              </w:rPr>
              <w:t>覆盖策略</w:t>
            </w:r>
          </w:p>
        </w:tc>
        <w:tc>
          <w:tcPr>
            <w:tcW w:w="0" w:type="auto"/>
            <w:tcBorders>
              <w:top w:val="single" w:color="auto" w:sz="18" w:space="0"/>
              <w:bottom w:val="single" w:color="auto" w:sz="12" w:space="0"/>
            </w:tcBorders>
            <w:vAlign w:val="center"/>
          </w:tcPr>
          <w:p w14:paraId="4398471F">
            <w:pPr>
              <w:spacing w:after="160" w:line="278" w:lineRule="auto"/>
              <w:ind w:firstLine="0" w:firstLineChars="0"/>
              <w:rPr>
                <w:rFonts w:hint="eastAsia" w:ascii="宋体" w:hAnsi="宋体" w:cs="Times New Roman"/>
                <w:kern w:val="0"/>
                <w:sz w:val="21"/>
                <w:szCs w:val="21"/>
                <w14:ligatures w14:val="none"/>
              </w:rPr>
            </w:pPr>
            <w:r>
              <w:rPr>
                <w:rFonts w:ascii="宋体" w:hAnsi="宋体" w:cs="Times New Roman"/>
                <w:kern w:val="0"/>
                <w:sz w:val="21"/>
                <w:szCs w:val="21"/>
                <w14:ligatures w14:val="none"/>
              </w:rPr>
              <w:t>获客成本预估</w:t>
            </w:r>
          </w:p>
        </w:tc>
      </w:tr>
      <w:tr w14:paraId="6E232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auto" w:sz="12" w:space="0"/>
            </w:tcBorders>
            <w:vAlign w:val="center"/>
          </w:tcPr>
          <w:p w14:paraId="1B681255">
            <w:pPr>
              <w:spacing w:after="160" w:line="278" w:lineRule="auto"/>
              <w:ind w:firstLine="0" w:firstLineChars="0"/>
              <w:rPr>
                <w:rFonts w:hint="eastAsia" w:ascii="宋体" w:hAnsi="宋体" w:cs="Times New Roman"/>
                <w:kern w:val="0"/>
                <w:sz w:val="21"/>
                <w:szCs w:val="21"/>
                <w14:ligatures w14:val="none"/>
              </w:rPr>
            </w:pPr>
            <w:r>
              <w:rPr>
                <w:rFonts w:ascii="宋体" w:hAnsi="宋体" w:cs="Times New Roman"/>
                <w:kern w:val="0"/>
                <w:sz w:val="21"/>
                <w:szCs w:val="21"/>
                <w14:ligatures w14:val="none"/>
              </w:rPr>
              <w:t>核心客群A：骑行轻度假型</w:t>
            </w:r>
          </w:p>
        </w:tc>
        <w:tc>
          <w:tcPr>
            <w:tcW w:w="0" w:type="auto"/>
            <w:tcBorders>
              <w:top w:val="single" w:color="auto" w:sz="12" w:space="0"/>
            </w:tcBorders>
            <w:vAlign w:val="center"/>
          </w:tcPr>
          <w:p w14:paraId="5379AA0A">
            <w:pPr>
              <w:spacing w:after="160" w:line="278" w:lineRule="auto"/>
              <w:ind w:firstLine="0" w:firstLineChars="0"/>
              <w:rPr>
                <w:rFonts w:hint="eastAsia" w:ascii="宋体" w:hAnsi="宋体" w:cs="Times New Roman"/>
                <w:kern w:val="0"/>
                <w:sz w:val="21"/>
                <w:szCs w:val="21"/>
                <w14:ligatures w14:val="none"/>
              </w:rPr>
            </w:pPr>
            <w:r>
              <w:rPr>
                <w:rFonts w:ascii="宋体" w:hAnsi="宋体" w:cs="Times New Roman"/>
                <w:kern w:val="0"/>
                <w:sz w:val="21"/>
                <w:szCs w:val="21"/>
                <w14:ligatures w14:val="none"/>
              </w:rPr>
              <w:t>55%</w:t>
            </w:r>
          </w:p>
        </w:tc>
        <w:tc>
          <w:tcPr>
            <w:tcW w:w="0" w:type="auto"/>
            <w:tcBorders>
              <w:top w:val="single" w:color="auto" w:sz="12" w:space="0"/>
            </w:tcBorders>
            <w:vAlign w:val="center"/>
          </w:tcPr>
          <w:p w14:paraId="4CAD744C">
            <w:pPr>
              <w:spacing w:after="160" w:line="278" w:lineRule="auto"/>
              <w:ind w:firstLine="0" w:firstLineChars="0"/>
              <w:rPr>
                <w:rFonts w:hint="eastAsia" w:ascii="宋体" w:hAnsi="宋体" w:cs="Times New Roman"/>
                <w:kern w:val="0"/>
                <w:sz w:val="21"/>
                <w:szCs w:val="21"/>
                <w14:ligatures w14:val="none"/>
              </w:rPr>
            </w:pPr>
            <w:r>
              <w:rPr>
                <w:rFonts w:ascii="宋体" w:hAnsi="宋体" w:cs="Times New Roman"/>
                <w:kern w:val="0"/>
                <w:sz w:val="21"/>
                <w:szCs w:val="21"/>
                <w14:ligatures w14:val="none"/>
              </w:rPr>
              <w:t>25-45岁，居住主力圈，家庭月收入2万+，周末骑行习惯，活跃于小红书/Strava</w:t>
            </w:r>
          </w:p>
        </w:tc>
        <w:tc>
          <w:tcPr>
            <w:tcW w:w="0" w:type="auto"/>
            <w:tcBorders>
              <w:top w:val="single" w:color="auto" w:sz="12" w:space="0"/>
            </w:tcBorders>
            <w:vAlign w:val="center"/>
          </w:tcPr>
          <w:p w14:paraId="50359047">
            <w:pPr>
              <w:spacing w:after="160" w:line="278" w:lineRule="auto"/>
              <w:ind w:firstLine="0" w:firstLineChars="0"/>
              <w:rPr>
                <w:rFonts w:hint="eastAsia" w:ascii="宋体" w:hAnsi="宋体" w:cs="Times New Roman"/>
                <w:kern w:val="0"/>
                <w:sz w:val="21"/>
                <w:szCs w:val="21"/>
                <w14:ligatures w14:val="none"/>
              </w:rPr>
            </w:pPr>
            <w:r>
              <w:rPr>
                <w:rFonts w:ascii="宋体" w:hAnsi="宋体" w:cs="Times New Roman"/>
                <w:kern w:val="0"/>
                <w:sz w:val="21"/>
                <w:szCs w:val="21"/>
                <w14:ligatures w14:val="none"/>
              </w:rPr>
              <w:t>①资源匹配度最高（骑行路线天然适配）</w:t>
            </w:r>
            <w:r>
              <w:rPr>
                <w:rFonts w:ascii="宋体" w:hAnsi="宋体" w:cs="Times New Roman"/>
                <w:kern w:val="0"/>
                <w:sz w:val="21"/>
                <w:szCs w:val="21"/>
                <w14:ligatures w14:val="none"/>
              </w:rPr>
              <w:br w:type="textWrapping"/>
            </w:r>
            <w:r>
              <w:rPr>
                <w:rFonts w:ascii="宋体" w:hAnsi="宋体" w:cs="Times New Roman"/>
                <w:kern w:val="0"/>
                <w:sz w:val="21"/>
                <w:szCs w:val="21"/>
                <w14:ligatures w14:val="none"/>
              </w:rPr>
              <w:t>②消费力最强（单次250-750元）</w:t>
            </w:r>
            <w:r>
              <w:rPr>
                <w:rFonts w:ascii="宋体" w:hAnsi="宋体" w:cs="Times New Roman"/>
                <w:kern w:val="0"/>
                <w:sz w:val="21"/>
                <w:szCs w:val="21"/>
                <w14:ligatures w14:val="none"/>
              </w:rPr>
              <w:br w:type="textWrapping"/>
            </w:r>
            <w:r>
              <w:rPr>
                <w:rFonts w:ascii="宋体" w:hAnsi="宋体" w:cs="Times New Roman"/>
                <w:kern w:val="0"/>
                <w:sz w:val="21"/>
                <w:szCs w:val="21"/>
                <w14:ligatures w14:val="none"/>
              </w:rPr>
              <w:t>③传播力最强（82%分享率）</w:t>
            </w:r>
            <w:r>
              <w:rPr>
                <w:rFonts w:ascii="宋体" w:hAnsi="宋体" w:cs="Times New Roman"/>
                <w:kern w:val="0"/>
                <w:sz w:val="21"/>
                <w:szCs w:val="21"/>
                <w14:ligatures w14:val="none"/>
              </w:rPr>
              <w:br w:type="textWrapping"/>
            </w:r>
            <w:r>
              <w:rPr>
                <w:rFonts w:ascii="宋体" w:hAnsi="宋体" w:cs="Times New Roman"/>
                <w:kern w:val="0"/>
                <w:sz w:val="21"/>
                <w:szCs w:val="21"/>
                <w14:ligatures w14:val="none"/>
              </w:rPr>
              <w:t>④冷启动最优种子用户</w:t>
            </w:r>
          </w:p>
        </w:tc>
        <w:tc>
          <w:tcPr>
            <w:tcW w:w="0" w:type="auto"/>
            <w:tcBorders>
              <w:top w:val="single" w:color="auto" w:sz="12" w:space="0"/>
            </w:tcBorders>
            <w:vAlign w:val="center"/>
          </w:tcPr>
          <w:p w14:paraId="1221B5E1">
            <w:pPr>
              <w:spacing w:after="160" w:line="278" w:lineRule="auto"/>
              <w:ind w:firstLine="0" w:firstLineChars="0"/>
              <w:rPr>
                <w:rFonts w:hint="eastAsia" w:ascii="宋体" w:hAnsi="宋体" w:cs="Times New Roman"/>
                <w:kern w:val="0"/>
                <w:sz w:val="21"/>
                <w:szCs w:val="21"/>
                <w14:ligatures w14:val="none"/>
              </w:rPr>
            </w:pPr>
            <w:r>
              <w:rPr>
                <w:rFonts w:ascii="宋体" w:hAnsi="宋体" w:cs="Times New Roman"/>
                <w:kern w:val="0"/>
                <w:sz w:val="21"/>
                <w:szCs w:val="21"/>
                <w14:ligatures w14:val="none"/>
              </w:rPr>
              <w:t>• 骑行社群精准投放（行者/Strava）</w:t>
            </w:r>
            <w:r>
              <w:rPr>
                <w:rFonts w:ascii="宋体" w:hAnsi="宋体" w:cs="Times New Roman"/>
                <w:kern w:val="0"/>
                <w:sz w:val="21"/>
                <w:szCs w:val="21"/>
                <w14:ligatures w14:val="none"/>
              </w:rPr>
              <w:br w:type="textWrapping"/>
            </w:r>
            <w:r>
              <w:rPr>
                <w:rFonts w:ascii="宋体" w:hAnsi="宋体" w:cs="Times New Roman"/>
                <w:kern w:val="0"/>
                <w:sz w:val="21"/>
                <w:szCs w:val="21"/>
                <w14:ligatures w14:val="none"/>
              </w:rPr>
              <w:t>• 小红书/抖音内容种草</w:t>
            </w:r>
            <w:r>
              <w:rPr>
                <w:rFonts w:ascii="宋体" w:hAnsi="宋体" w:cs="Times New Roman"/>
                <w:kern w:val="0"/>
                <w:sz w:val="21"/>
                <w:szCs w:val="21"/>
                <w14:ligatures w14:val="none"/>
              </w:rPr>
              <w:br w:type="textWrapping"/>
            </w:r>
            <w:r>
              <w:rPr>
                <w:rFonts w:ascii="宋体" w:hAnsi="宋体" w:cs="Times New Roman"/>
                <w:kern w:val="0"/>
                <w:sz w:val="21"/>
                <w:szCs w:val="21"/>
                <w14:ligatures w14:val="none"/>
              </w:rPr>
              <w:t>• 骑行KOL合作（3-5位）</w:t>
            </w:r>
            <w:r>
              <w:rPr>
                <w:rFonts w:ascii="宋体" w:hAnsi="宋体" w:cs="Times New Roman"/>
                <w:kern w:val="0"/>
                <w:sz w:val="21"/>
                <w:szCs w:val="21"/>
                <w14:ligatures w14:val="none"/>
              </w:rPr>
              <w:br w:type="textWrapping"/>
            </w:r>
            <w:r>
              <w:rPr>
                <w:rFonts w:ascii="宋体" w:hAnsi="宋体" w:cs="Times New Roman"/>
                <w:kern w:val="0"/>
                <w:sz w:val="21"/>
                <w:szCs w:val="21"/>
                <w14:ligatures w14:val="none"/>
              </w:rPr>
              <w:t>• 年度骑行赛事IP</w:t>
            </w:r>
          </w:p>
        </w:tc>
        <w:tc>
          <w:tcPr>
            <w:tcW w:w="0" w:type="auto"/>
            <w:tcBorders>
              <w:top w:val="single" w:color="auto" w:sz="12" w:space="0"/>
            </w:tcBorders>
            <w:vAlign w:val="center"/>
          </w:tcPr>
          <w:p w14:paraId="5CDA3039">
            <w:pPr>
              <w:spacing w:after="160" w:line="278" w:lineRule="auto"/>
              <w:ind w:firstLine="0" w:firstLineChars="0"/>
              <w:rPr>
                <w:rFonts w:hint="eastAsia" w:ascii="宋体" w:hAnsi="宋体" w:cs="Times New Roman"/>
                <w:kern w:val="0"/>
                <w:sz w:val="21"/>
                <w:szCs w:val="21"/>
                <w14:ligatures w14:val="none"/>
              </w:rPr>
            </w:pPr>
            <w:r>
              <w:rPr>
                <w:rFonts w:ascii="宋体" w:hAnsi="宋体" w:cs="Times New Roman"/>
                <w:kern w:val="0"/>
                <w:sz w:val="21"/>
                <w:szCs w:val="21"/>
                <w14:ligatures w14:val="none"/>
              </w:rPr>
              <w:t>30-50元/人</w:t>
            </w:r>
          </w:p>
        </w:tc>
      </w:tr>
      <w:tr w14:paraId="20FCA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421DA714">
            <w:pPr>
              <w:spacing w:after="160" w:line="278" w:lineRule="auto"/>
              <w:ind w:firstLine="0" w:firstLineChars="0"/>
              <w:rPr>
                <w:rFonts w:hint="eastAsia" w:ascii="宋体" w:hAnsi="宋体" w:cs="Times New Roman"/>
                <w:kern w:val="0"/>
                <w:sz w:val="21"/>
                <w:szCs w:val="21"/>
                <w14:ligatures w14:val="none"/>
              </w:rPr>
            </w:pPr>
            <w:r>
              <w:rPr>
                <w:rFonts w:ascii="宋体" w:hAnsi="宋体" w:cs="Times New Roman"/>
                <w:kern w:val="0"/>
                <w:sz w:val="21"/>
                <w:szCs w:val="21"/>
                <w14:ligatures w14:val="none"/>
              </w:rPr>
              <w:t>核心客群B：品质家庭型</w:t>
            </w:r>
          </w:p>
        </w:tc>
        <w:tc>
          <w:tcPr>
            <w:tcW w:w="0" w:type="auto"/>
            <w:vAlign w:val="center"/>
          </w:tcPr>
          <w:p w14:paraId="5F10D4E0">
            <w:pPr>
              <w:spacing w:after="160" w:line="278" w:lineRule="auto"/>
              <w:ind w:firstLine="0" w:firstLineChars="0"/>
              <w:rPr>
                <w:rFonts w:hint="eastAsia" w:ascii="宋体" w:hAnsi="宋体" w:cs="Times New Roman"/>
                <w:kern w:val="0"/>
                <w:sz w:val="21"/>
                <w:szCs w:val="21"/>
                <w14:ligatures w14:val="none"/>
              </w:rPr>
            </w:pPr>
            <w:r>
              <w:rPr>
                <w:rFonts w:ascii="宋体" w:hAnsi="宋体" w:cs="Times New Roman"/>
                <w:kern w:val="0"/>
                <w:sz w:val="21"/>
                <w:szCs w:val="21"/>
                <w14:ligatures w14:val="none"/>
              </w:rPr>
              <w:t>25%</w:t>
            </w:r>
          </w:p>
        </w:tc>
        <w:tc>
          <w:tcPr>
            <w:tcW w:w="0" w:type="auto"/>
            <w:vAlign w:val="center"/>
          </w:tcPr>
          <w:p w14:paraId="44255577">
            <w:pPr>
              <w:spacing w:after="160" w:line="278" w:lineRule="auto"/>
              <w:ind w:firstLine="0" w:firstLineChars="0"/>
              <w:rPr>
                <w:rFonts w:hint="eastAsia" w:ascii="宋体" w:hAnsi="宋体" w:cs="Times New Roman"/>
                <w:kern w:val="0"/>
                <w:sz w:val="21"/>
                <w:szCs w:val="21"/>
                <w14:ligatures w14:val="none"/>
              </w:rPr>
            </w:pPr>
            <w:r>
              <w:rPr>
                <w:rFonts w:ascii="宋体" w:hAnsi="宋体" w:cs="Times New Roman"/>
                <w:kern w:val="0"/>
                <w:sz w:val="21"/>
                <w:szCs w:val="21"/>
                <w14:ligatures w14:val="none"/>
              </w:rPr>
              <w:t>30-50岁，有3-12岁子女，重视教育+健康，家庭月收入3万+</w:t>
            </w:r>
          </w:p>
        </w:tc>
        <w:tc>
          <w:tcPr>
            <w:tcW w:w="0" w:type="auto"/>
            <w:vAlign w:val="center"/>
          </w:tcPr>
          <w:p w14:paraId="14B75CB4">
            <w:pPr>
              <w:spacing w:after="160" w:line="278" w:lineRule="auto"/>
              <w:ind w:firstLine="0" w:firstLineChars="0"/>
              <w:rPr>
                <w:rFonts w:hint="eastAsia" w:ascii="宋体" w:hAnsi="宋体" w:cs="Times New Roman"/>
                <w:kern w:val="0"/>
                <w:sz w:val="21"/>
                <w:szCs w:val="21"/>
                <w14:ligatures w14:val="none"/>
              </w:rPr>
            </w:pPr>
            <w:r>
              <w:rPr>
                <w:rFonts w:ascii="宋体" w:hAnsi="宋体" w:cs="Times New Roman"/>
                <w:kern w:val="0"/>
                <w:sz w:val="21"/>
                <w:szCs w:val="21"/>
                <w14:ligatures w14:val="none"/>
              </w:rPr>
              <w:t>①亲子研学需求旺盛</w:t>
            </w:r>
            <w:r>
              <w:rPr>
                <w:rFonts w:ascii="宋体" w:hAnsi="宋体" w:cs="Times New Roman"/>
                <w:kern w:val="0"/>
                <w:sz w:val="21"/>
                <w:szCs w:val="21"/>
                <w14:ligatures w14:val="none"/>
              </w:rPr>
              <w:br w:type="textWrapping"/>
            </w:r>
            <w:r>
              <w:rPr>
                <w:rFonts w:ascii="宋体" w:hAnsi="宋体" w:cs="Times New Roman"/>
                <w:kern w:val="0"/>
                <w:sz w:val="21"/>
                <w:szCs w:val="21"/>
                <w14:ligatures w14:val="none"/>
              </w:rPr>
              <w:t>②消费力强（家庭单次800-1500元）</w:t>
            </w:r>
            <w:r>
              <w:rPr>
                <w:rFonts w:ascii="宋体" w:hAnsi="宋体" w:cs="Times New Roman"/>
                <w:kern w:val="0"/>
                <w:sz w:val="21"/>
                <w:szCs w:val="21"/>
                <w14:ligatures w14:val="none"/>
              </w:rPr>
              <w:br w:type="textWrapping"/>
            </w:r>
            <w:r>
              <w:rPr>
                <w:rFonts w:ascii="宋体" w:hAnsi="宋体" w:cs="Times New Roman"/>
                <w:kern w:val="0"/>
                <w:sz w:val="21"/>
                <w:szCs w:val="21"/>
                <w14:ligatures w14:val="none"/>
              </w:rPr>
              <w:t>③复购潜力大（季节性活动）</w:t>
            </w:r>
            <w:r>
              <w:rPr>
                <w:rFonts w:ascii="宋体" w:hAnsi="宋体" w:cs="Times New Roman"/>
                <w:kern w:val="0"/>
                <w:sz w:val="21"/>
                <w:szCs w:val="21"/>
                <w14:ligatures w14:val="none"/>
              </w:rPr>
              <w:br w:type="textWrapping"/>
            </w:r>
            <w:r>
              <w:rPr>
                <w:rFonts w:ascii="宋体" w:hAnsi="宋体" w:cs="Times New Roman"/>
                <w:kern w:val="0"/>
                <w:sz w:val="21"/>
                <w:szCs w:val="21"/>
                <w14:ligatures w14:val="none"/>
              </w:rPr>
              <w:t>④口碑传播效果好</w:t>
            </w:r>
          </w:p>
        </w:tc>
        <w:tc>
          <w:tcPr>
            <w:tcW w:w="0" w:type="auto"/>
            <w:vAlign w:val="center"/>
          </w:tcPr>
          <w:p w14:paraId="45E65606">
            <w:pPr>
              <w:spacing w:after="160" w:line="278" w:lineRule="auto"/>
              <w:ind w:firstLine="0" w:firstLineChars="0"/>
              <w:rPr>
                <w:rFonts w:hint="eastAsia" w:ascii="宋体" w:hAnsi="宋体" w:cs="Times New Roman"/>
                <w:kern w:val="0"/>
                <w:sz w:val="21"/>
                <w:szCs w:val="21"/>
                <w14:ligatures w14:val="none"/>
              </w:rPr>
            </w:pPr>
            <w:r>
              <w:rPr>
                <w:rFonts w:ascii="宋体" w:hAnsi="宋体" w:cs="Times New Roman"/>
                <w:kern w:val="0"/>
                <w:sz w:val="21"/>
                <w:szCs w:val="21"/>
                <w14:ligatures w14:val="none"/>
              </w:rPr>
              <w:t>• 亲子社群/家委会渠道</w:t>
            </w:r>
            <w:r>
              <w:rPr>
                <w:rFonts w:ascii="宋体" w:hAnsi="宋体" w:cs="Times New Roman"/>
                <w:kern w:val="0"/>
                <w:sz w:val="21"/>
                <w:szCs w:val="21"/>
                <w14:ligatures w14:val="none"/>
              </w:rPr>
              <w:br w:type="textWrapping"/>
            </w:r>
            <w:r>
              <w:rPr>
                <w:rFonts w:ascii="宋体" w:hAnsi="宋体" w:cs="Times New Roman"/>
                <w:kern w:val="0"/>
                <w:sz w:val="21"/>
                <w:szCs w:val="21"/>
                <w14:ligatures w14:val="none"/>
              </w:rPr>
              <w:t>• 研学课程体系</w:t>
            </w:r>
            <w:r>
              <w:rPr>
                <w:rFonts w:ascii="宋体" w:hAnsi="宋体" w:cs="Times New Roman"/>
                <w:kern w:val="0"/>
                <w:sz w:val="21"/>
                <w:szCs w:val="21"/>
                <w14:ligatures w14:val="none"/>
              </w:rPr>
              <w:br w:type="textWrapping"/>
            </w:r>
            <w:r>
              <w:rPr>
                <w:rFonts w:ascii="宋体" w:hAnsi="宋体" w:cs="Times New Roman"/>
                <w:kern w:val="0"/>
                <w:sz w:val="21"/>
                <w:szCs w:val="21"/>
                <w14:ligatures w14:val="none"/>
              </w:rPr>
              <w:t>• 会员储值卡</w:t>
            </w:r>
            <w:r>
              <w:rPr>
                <w:rFonts w:ascii="宋体" w:hAnsi="宋体" w:cs="Times New Roman"/>
                <w:kern w:val="0"/>
                <w:sz w:val="21"/>
                <w:szCs w:val="21"/>
                <w14:ligatures w14:val="none"/>
              </w:rPr>
              <w:br w:type="textWrapping"/>
            </w:r>
            <w:r>
              <w:rPr>
                <w:rFonts w:ascii="宋体" w:hAnsi="宋体" w:cs="Times New Roman"/>
                <w:kern w:val="0"/>
                <w:sz w:val="21"/>
                <w:szCs w:val="21"/>
                <w14:ligatures w14:val="none"/>
              </w:rPr>
              <w:t>• 季节主题活动（樱花季/丰收节）</w:t>
            </w:r>
          </w:p>
        </w:tc>
        <w:tc>
          <w:tcPr>
            <w:tcW w:w="0" w:type="auto"/>
            <w:vAlign w:val="center"/>
          </w:tcPr>
          <w:p w14:paraId="2BCF5EF6">
            <w:pPr>
              <w:spacing w:after="160" w:line="278" w:lineRule="auto"/>
              <w:ind w:firstLine="0" w:firstLineChars="0"/>
              <w:rPr>
                <w:rFonts w:hint="eastAsia" w:ascii="宋体" w:hAnsi="宋体" w:cs="Times New Roman"/>
                <w:kern w:val="0"/>
                <w:sz w:val="21"/>
                <w:szCs w:val="21"/>
                <w14:ligatures w14:val="none"/>
              </w:rPr>
            </w:pPr>
            <w:r>
              <w:rPr>
                <w:rFonts w:ascii="宋体" w:hAnsi="宋体" w:cs="Times New Roman"/>
                <w:kern w:val="0"/>
                <w:sz w:val="21"/>
                <w:szCs w:val="21"/>
                <w14:ligatures w14:val="none"/>
              </w:rPr>
              <w:t>40-60元/人</w:t>
            </w:r>
          </w:p>
        </w:tc>
      </w:tr>
      <w:tr w14:paraId="029CD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5F1CB29C">
            <w:pPr>
              <w:spacing w:after="160" w:line="278" w:lineRule="auto"/>
              <w:ind w:firstLine="0" w:firstLineChars="0"/>
              <w:rPr>
                <w:rFonts w:hint="eastAsia" w:ascii="宋体" w:hAnsi="宋体" w:cs="Times New Roman"/>
                <w:kern w:val="0"/>
                <w:sz w:val="21"/>
                <w:szCs w:val="21"/>
                <w14:ligatures w14:val="none"/>
              </w:rPr>
            </w:pPr>
            <w:r>
              <w:rPr>
                <w:rFonts w:ascii="宋体" w:hAnsi="宋体" w:cs="Times New Roman"/>
                <w:kern w:val="0"/>
                <w:sz w:val="21"/>
                <w:szCs w:val="21"/>
                <w14:ligatures w14:val="none"/>
              </w:rPr>
              <w:t>第二客群：研学教育型</w:t>
            </w:r>
          </w:p>
        </w:tc>
        <w:tc>
          <w:tcPr>
            <w:tcW w:w="0" w:type="auto"/>
            <w:vAlign w:val="center"/>
          </w:tcPr>
          <w:p w14:paraId="57EB5223">
            <w:pPr>
              <w:spacing w:after="160" w:line="278" w:lineRule="auto"/>
              <w:ind w:firstLine="0" w:firstLineChars="0"/>
              <w:rPr>
                <w:rFonts w:hint="eastAsia" w:ascii="宋体" w:hAnsi="宋体" w:cs="Times New Roman"/>
                <w:kern w:val="0"/>
                <w:sz w:val="21"/>
                <w:szCs w:val="21"/>
                <w14:ligatures w14:val="none"/>
              </w:rPr>
            </w:pPr>
            <w:r>
              <w:rPr>
                <w:rFonts w:ascii="宋体" w:hAnsi="宋体" w:cs="Times New Roman"/>
                <w:kern w:val="0"/>
                <w:sz w:val="21"/>
                <w:szCs w:val="21"/>
                <w14:ligatures w14:val="none"/>
              </w:rPr>
              <w:t>1</w:t>
            </w:r>
            <w:r>
              <w:rPr>
                <w:rFonts w:hint="eastAsia" w:ascii="宋体" w:hAnsi="宋体" w:cs="Times New Roman"/>
                <w:kern w:val="0"/>
                <w:sz w:val="21"/>
                <w:szCs w:val="21"/>
                <w14:ligatures w14:val="none"/>
              </w:rPr>
              <w:t>7</w:t>
            </w:r>
            <w:r>
              <w:rPr>
                <w:rFonts w:ascii="宋体" w:hAnsi="宋体" w:cs="Times New Roman"/>
                <w:kern w:val="0"/>
                <w:sz w:val="21"/>
                <w:szCs w:val="21"/>
                <w14:ligatures w14:val="none"/>
              </w:rPr>
              <w:t>%</w:t>
            </w:r>
          </w:p>
        </w:tc>
        <w:tc>
          <w:tcPr>
            <w:tcW w:w="0" w:type="auto"/>
            <w:vAlign w:val="center"/>
          </w:tcPr>
          <w:p w14:paraId="52BED9AE">
            <w:pPr>
              <w:spacing w:after="160" w:line="278" w:lineRule="auto"/>
              <w:ind w:firstLine="0" w:firstLineChars="0"/>
              <w:rPr>
                <w:rFonts w:hint="eastAsia" w:ascii="宋体" w:hAnsi="宋体" w:cs="Times New Roman"/>
                <w:kern w:val="0"/>
                <w:sz w:val="21"/>
                <w:szCs w:val="21"/>
                <w14:ligatures w14:val="none"/>
              </w:rPr>
            </w:pPr>
            <w:r>
              <w:rPr>
                <w:rFonts w:ascii="宋体" w:hAnsi="宋体" w:cs="Times New Roman"/>
                <w:kern w:val="0"/>
                <w:sz w:val="21"/>
                <w:szCs w:val="21"/>
                <w14:ligatures w14:val="none"/>
              </w:rPr>
              <w:t>中小学/教育机构/研学旅行社，团体决策，有课程化需求</w:t>
            </w:r>
          </w:p>
        </w:tc>
        <w:tc>
          <w:tcPr>
            <w:tcW w:w="0" w:type="auto"/>
            <w:vAlign w:val="center"/>
          </w:tcPr>
          <w:p w14:paraId="2A0F64AC">
            <w:pPr>
              <w:ind w:firstLine="0" w:firstLineChars="0"/>
              <w:rPr>
                <w:rFonts w:cs="Times New Roman"/>
                <w:kern w:val="0"/>
                <w:szCs w:val="20"/>
                <w14:ligatures w14:val="none"/>
              </w:rPr>
            </w:pPr>
            <w:r>
              <w:rPr>
                <w:rFonts w:ascii="宋体" w:hAnsi="宋体" w:cs="Times New Roman"/>
                <w:kern w:val="0"/>
                <w:sz w:val="20"/>
                <w:szCs w:val="20"/>
                <w14:ligatures w14:val="none"/>
              </w:rPr>
              <w:t>①研学市场持续井喷（渗透率52%）</w:t>
            </w:r>
            <w:r>
              <w:rPr>
                <w:rFonts w:ascii="宋体" w:hAnsi="宋体" w:cs="Times New Roman"/>
                <w:kern w:val="0"/>
                <w:sz w:val="20"/>
                <w:szCs w:val="20"/>
                <w14:ligatures w14:val="none"/>
              </w:rPr>
              <w:br w:type="textWrapping"/>
            </w:r>
            <w:r>
              <w:rPr>
                <w:rFonts w:ascii="宋体" w:hAnsi="宋体" w:cs="Times New Roman"/>
                <w:kern w:val="0"/>
                <w:sz w:val="20"/>
                <w:szCs w:val="20"/>
                <w14:ligatures w14:val="none"/>
              </w:rPr>
              <w:t>②团体消费客单价高</w:t>
            </w:r>
            <w:r>
              <w:rPr>
                <w:rFonts w:ascii="宋体" w:hAnsi="宋体" w:cs="Times New Roman"/>
                <w:kern w:val="0"/>
                <w:sz w:val="20"/>
                <w:szCs w:val="20"/>
                <w14:ligatures w14:val="none"/>
              </w:rPr>
              <w:br w:type="textWrapping"/>
            </w:r>
            <w:r>
              <w:rPr>
                <w:rFonts w:ascii="宋体" w:hAnsi="宋体" w:cs="Times New Roman"/>
                <w:kern w:val="0"/>
                <w:sz w:val="20"/>
                <w:szCs w:val="20"/>
                <w14:ligatures w14:val="none"/>
              </w:rPr>
              <w:t>③可填补非周末时段</w:t>
            </w:r>
            <w:r>
              <w:rPr>
                <w:rFonts w:ascii="宋体" w:hAnsi="宋体" w:cs="Times New Roman"/>
                <w:kern w:val="0"/>
                <w:sz w:val="20"/>
                <w:szCs w:val="20"/>
                <w14:ligatures w14:val="none"/>
              </w:rPr>
              <w:br w:type="textWrapping"/>
            </w:r>
            <w:r>
              <w:rPr>
                <w:rFonts w:ascii="宋体" w:hAnsi="宋体" w:cs="Times New Roman"/>
                <w:kern w:val="0"/>
                <w:sz w:val="20"/>
                <w:szCs w:val="20"/>
                <w14:ligatures w14:val="none"/>
              </w:rPr>
              <w:t>④水源地资源独占</w:t>
            </w:r>
          </w:p>
        </w:tc>
        <w:tc>
          <w:tcPr>
            <w:tcW w:w="0" w:type="auto"/>
            <w:vAlign w:val="center"/>
          </w:tcPr>
          <w:p w14:paraId="42FA0A98">
            <w:pPr>
              <w:spacing w:after="160" w:line="278" w:lineRule="auto"/>
              <w:ind w:firstLine="0" w:firstLineChars="0"/>
              <w:rPr>
                <w:rFonts w:hint="eastAsia" w:ascii="宋体" w:hAnsi="宋体" w:cs="Times New Roman"/>
                <w:kern w:val="0"/>
                <w:sz w:val="21"/>
                <w:szCs w:val="21"/>
                <w14:ligatures w14:val="none"/>
              </w:rPr>
            </w:pPr>
            <w:r>
              <w:rPr>
                <w:rFonts w:ascii="宋体" w:hAnsi="宋体" w:cs="Times New Roman"/>
                <w:kern w:val="0"/>
                <w:sz w:val="21"/>
                <w:szCs w:val="21"/>
                <w14:ligatures w14:val="none"/>
              </w:rPr>
              <w:t>• 学校/机构定向BD</w:t>
            </w:r>
            <w:r>
              <w:rPr>
                <w:rFonts w:ascii="宋体" w:hAnsi="宋体" w:cs="Times New Roman"/>
                <w:kern w:val="0"/>
                <w:sz w:val="21"/>
                <w:szCs w:val="21"/>
                <w14:ligatures w14:val="none"/>
              </w:rPr>
              <w:br w:type="textWrapping"/>
            </w:r>
            <w:r>
              <w:rPr>
                <w:rFonts w:ascii="宋体" w:hAnsi="宋体" w:cs="Times New Roman"/>
                <w:kern w:val="0"/>
                <w:sz w:val="21"/>
                <w:szCs w:val="21"/>
                <w14:ligatures w14:val="none"/>
              </w:rPr>
              <w:t>• 研学课程标准化</w:t>
            </w:r>
            <w:r>
              <w:rPr>
                <w:rFonts w:ascii="宋体" w:hAnsi="宋体" w:cs="Times New Roman"/>
                <w:kern w:val="0"/>
                <w:sz w:val="21"/>
                <w:szCs w:val="21"/>
                <w14:ligatures w14:val="none"/>
              </w:rPr>
              <w:br w:type="textWrapping"/>
            </w:r>
            <w:r>
              <w:rPr>
                <w:rFonts w:ascii="宋体" w:hAnsi="宋体" w:cs="Times New Roman"/>
                <w:kern w:val="0"/>
                <w:sz w:val="21"/>
                <w:szCs w:val="21"/>
                <w14:ligatures w14:val="none"/>
              </w:rPr>
              <w:t>• 渠道分润机制</w:t>
            </w:r>
            <w:r>
              <w:rPr>
                <w:rFonts w:ascii="宋体" w:hAnsi="宋体" w:cs="Times New Roman"/>
                <w:kern w:val="0"/>
                <w:sz w:val="21"/>
                <w:szCs w:val="21"/>
                <w14:ligatures w14:val="none"/>
              </w:rPr>
              <w:br w:type="textWrapping"/>
            </w:r>
            <w:r>
              <w:rPr>
                <w:rFonts w:ascii="宋体" w:hAnsi="宋体" w:cs="Times New Roman"/>
                <w:kern w:val="0"/>
                <w:sz w:val="21"/>
                <w:szCs w:val="21"/>
                <w14:ligatures w14:val="none"/>
              </w:rPr>
              <w:t>• “小小水源守护者”认证</w:t>
            </w:r>
          </w:p>
        </w:tc>
        <w:tc>
          <w:tcPr>
            <w:tcW w:w="0" w:type="auto"/>
            <w:vAlign w:val="center"/>
          </w:tcPr>
          <w:p w14:paraId="64F86491">
            <w:pPr>
              <w:spacing w:after="160" w:line="278" w:lineRule="auto"/>
              <w:ind w:firstLine="0" w:firstLineChars="0"/>
              <w:rPr>
                <w:rFonts w:hint="eastAsia" w:ascii="宋体" w:hAnsi="宋体" w:cs="Times New Roman"/>
                <w:kern w:val="0"/>
                <w:sz w:val="21"/>
                <w:szCs w:val="21"/>
                <w14:ligatures w14:val="none"/>
              </w:rPr>
            </w:pPr>
            <w:r>
              <w:rPr>
                <w:rFonts w:ascii="宋体" w:hAnsi="宋体" w:cs="Times New Roman"/>
                <w:kern w:val="0"/>
                <w:sz w:val="21"/>
                <w:szCs w:val="21"/>
                <w14:ligatures w14:val="none"/>
              </w:rPr>
              <w:t>20-30元/人（B端批量）</w:t>
            </w:r>
          </w:p>
        </w:tc>
      </w:tr>
      <w:tr w14:paraId="5B0968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bottom w:val="single" w:color="auto" w:sz="18" w:space="0"/>
            </w:tcBorders>
            <w:vAlign w:val="center"/>
          </w:tcPr>
          <w:p w14:paraId="73C14170">
            <w:pPr>
              <w:spacing w:after="160" w:line="278" w:lineRule="auto"/>
              <w:ind w:firstLine="0" w:firstLineChars="0"/>
              <w:rPr>
                <w:rFonts w:hint="eastAsia" w:ascii="宋体" w:hAnsi="宋体" w:cs="Times New Roman"/>
                <w:kern w:val="0"/>
                <w:sz w:val="21"/>
                <w:szCs w:val="21"/>
                <w14:ligatures w14:val="none"/>
              </w:rPr>
            </w:pPr>
            <w:r>
              <w:rPr>
                <w:rFonts w:ascii="宋体" w:hAnsi="宋体" w:cs="Times New Roman"/>
                <w:kern w:val="0"/>
                <w:sz w:val="21"/>
                <w:szCs w:val="21"/>
                <w14:ligatures w14:val="none"/>
              </w:rPr>
              <w:t>基础客群：采摘休闲型</w:t>
            </w:r>
          </w:p>
        </w:tc>
        <w:tc>
          <w:tcPr>
            <w:tcW w:w="0" w:type="auto"/>
            <w:tcBorders>
              <w:bottom w:val="single" w:color="auto" w:sz="18" w:space="0"/>
            </w:tcBorders>
            <w:vAlign w:val="center"/>
          </w:tcPr>
          <w:p w14:paraId="07A02032">
            <w:pPr>
              <w:spacing w:after="160" w:line="278" w:lineRule="auto"/>
              <w:ind w:firstLine="0" w:firstLineChars="0"/>
              <w:rPr>
                <w:rFonts w:hint="eastAsia" w:ascii="宋体" w:hAnsi="宋体" w:cs="Times New Roman"/>
                <w:kern w:val="0"/>
                <w:sz w:val="21"/>
                <w:szCs w:val="21"/>
                <w14:ligatures w14:val="none"/>
              </w:rPr>
            </w:pPr>
            <w:r>
              <w:rPr>
                <w:rFonts w:ascii="宋体" w:hAnsi="宋体" w:cs="Times New Roman"/>
                <w:kern w:val="0"/>
                <w:sz w:val="21"/>
                <w:szCs w:val="21"/>
                <w14:ligatures w14:val="none"/>
              </w:rPr>
              <w:t>3%</w:t>
            </w:r>
          </w:p>
        </w:tc>
        <w:tc>
          <w:tcPr>
            <w:tcW w:w="0" w:type="auto"/>
            <w:tcBorders>
              <w:bottom w:val="single" w:color="auto" w:sz="18" w:space="0"/>
            </w:tcBorders>
            <w:vAlign w:val="center"/>
          </w:tcPr>
          <w:p w14:paraId="26E6C625">
            <w:pPr>
              <w:spacing w:after="160" w:line="278" w:lineRule="auto"/>
              <w:ind w:firstLine="0" w:firstLineChars="0"/>
              <w:rPr>
                <w:rFonts w:hint="eastAsia" w:ascii="宋体" w:hAnsi="宋体" w:cs="Times New Roman"/>
                <w:kern w:val="0"/>
                <w:sz w:val="21"/>
                <w:szCs w:val="21"/>
                <w14:ligatures w14:val="none"/>
              </w:rPr>
            </w:pPr>
            <w:r>
              <w:rPr>
                <w:rFonts w:ascii="宋体" w:hAnsi="宋体" w:cs="Times New Roman"/>
                <w:kern w:val="0"/>
                <w:sz w:val="21"/>
                <w:szCs w:val="21"/>
                <w14:ligatures w14:val="none"/>
              </w:rPr>
              <w:t>京郊采摘传统客群，价格敏感度中等，可转化为会员</w:t>
            </w:r>
          </w:p>
        </w:tc>
        <w:tc>
          <w:tcPr>
            <w:tcW w:w="0" w:type="auto"/>
            <w:tcBorders>
              <w:bottom w:val="single" w:color="auto" w:sz="18" w:space="0"/>
            </w:tcBorders>
            <w:vAlign w:val="center"/>
          </w:tcPr>
          <w:p w14:paraId="270A5150">
            <w:pPr>
              <w:spacing w:after="160" w:line="278" w:lineRule="auto"/>
              <w:ind w:firstLine="0" w:firstLineChars="0"/>
              <w:rPr>
                <w:rFonts w:hint="eastAsia" w:ascii="宋体" w:hAnsi="宋体" w:cs="Times New Roman"/>
                <w:kern w:val="0"/>
                <w:sz w:val="21"/>
                <w:szCs w:val="21"/>
                <w14:ligatures w14:val="none"/>
              </w:rPr>
            </w:pPr>
            <w:r>
              <w:rPr>
                <w:rFonts w:ascii="宋体" w:hAnsi="宋体" w:cs="Times New Roman"/>
                <w:kern w:val="0"/>
                <w:sz w:val="21"/>
                <w:szCs w:val="21"/>
                <w14:ligatures w14:val="none"/>
              </w:rPr>
              <w:t>①现有客群基础</w:t>
            </w:r>
            <w:r>
              <w:rPr>
                <w:rFonts w:ascii="宋体" w:hAnsi="宋体" w:cs="Times New Roman"/>
                <w:kern w:val="0"/>
                <w:sz w:val="21"/>
                <w:szCs w:val="21"/>
                <w14:ligatures w14:val="none"/>
              </w:rPr>
              <w:br w:type="textWrapping"/>
            </w:r>
            <w:r>
              <w:rPr>
                <w:rFonts w:ascii="宋体" w:hAnsi="宋体" w:cs="Times New Roman"/>
                <w:kern w:val="0"/>
                <w:sz w:val="21"/>
                <w:szCs w:val="21"/>
                <w14:ligatures w14:val="none"/>
              </w:rPr>
              <w:t>②可转化为认养用户</w:t>
            </w:r>
            <w:r>
              <w:rPr>
                <w:rFonts w:ascii="宋体" w:hAnsi="宋体" w:cs="Times New Roman"/>
                <w:kern w:val="0"/>
                <w:sz w:val="21"/>
                <w:szCs w:val="21"/>
                <w14:ligatures w14:val="none"/>
              </w:rPr>
              <w:br w:type="textWrapping"/>
            </w:r>
            <w:r>
              <w:rPr>
                <w:rFonts w:ascii="宋体" w:hAnsi="宋体" w:cs="Times New Roman"/>
                <w:kern w:val="0"/>
                <w:sz w:val="21"/>
                <w:szCs w:val="21"/>
                <w14:ligatures w14:val="none"/>
              </w:rPr>
              <w:t>③口碑传播节点</w:t>
            </w:r>
          </w:p>
        </w:tc>
        <w:tc>
          <w:tcPr>
            <w:tcW w:w="0" w:type="auto"/>
            <w:tcBorders>
              <w:bottom w:val="single" w:color="auto" w:sz="18" w:space="0"/>
            </w:tcBorders>
            <w:vAlign w:val="center"/>
          </w:tcPr>
          <w:p w14:paraId="724E3FD0">
            <w:pPr>
              <w:spacing w:after="160" w:line="278" w:lineRule="auto"/>
              <w:ind w:firstLine="0" w:firstLineChars="0"/>
              <w:rPr>
                <w:rFonts w:hint="eastAsia" w:ascii="宋体" w:hAnsi="宋体" w:cs="Times New Roman"/>
                <w:kern w:val="0"/>
                <w:sz w:val="21"/>
                <w:szCs w:val="21"/>
                <w14:ligatures w14:val="none"/>
              </w:rPr>
            </w:pPr>
            <w:r>
              <w:rPr>
                <w:rFonts w:ascii="宋体" w:hAnsi="宋体" w:cs="Times New Roman"/>
                <w:kern w:val="0"/>
                <w:sz w:val="21"/>
                <w:szCs w:val="21"/>
                <w14:ligatures w14:val="none"/>
              </w:rPr>
              <w:t>• 采摘体验升级</w:t>
            </w:r>
            <w:r>
              <w:rPr>
                <w:rFonts w:ascii="宋体" w:hAnsi="宋体" w:cs="Times New Roman"/>
                <w:kern w:val="0"/>
                <w:sz w:val="21"/>
                <w:szCs w:val="21"/>
                <w14:ligatures w14:val="none"/>
              </w:rPr>
              <w:br w:type="textWrapping"/>
            </w:r>
            <w:r>
              <w:rPr>
                <w:rFonts w:ascii="宋体" w:hAnsi="宋体" w:cs="Times New Roman"/>
                <w:kern w:val="0"/>
                <w:sz w:val="21"/>
                <w:szCs w:val="21"/>
                <w14:ligatures w14:val="none"/>
              </w:rPr>
              <w:t>• 会员体系引导注册</w:t>
            </w:r>
            <w:r>
              <w:rPr>
                <w:rFonts w:ascii="宋体" w:hAnsi="宋体" w:cs="Times New Roman"/>
                <w:kern w:val="0"/>
                <w:sz w:val="21"/>
                <w:szCs w:val="21"/>
                <w14:ligatures w14:val="none"/>
              </w:rPr>
              <w:br w:type="textWrapping"/>
            </w:r>
            <w:r>
              <w:rPr>
                <w:rFonts w:ascii="宋体" w:hAnsi="宋体" w:cs="Times New Roman"/>
                <w:kern w:val="0"/>
                <w:sz w:val="21"/>
                <w:szCs w:val="21"/>
                <w14:ligatures w14:val="none"/>
              </w:rPr>
              <w:t>• 私域社群运营</w:t>
            </w:r>
          </w:p>
        </w:tc>
        <w:tc>
          <w:tcPr>
            <w:tcW w:w="0" w:type="auto"/>
            <w:tcBorders>
              <w:bottom w:val="single" w:color="auto" w:sz="18" w:space="0"/>
            </w:tcBorders>
            <w:vAlign w:val="center"/>
          </w:tcPr>
          <w:p w14:paraId="2AB00147">
            <w:pPr>
              <w:spacing w:after="160" w:line="278" w:lineRule="auto"/>
              <w:ind w:firstLine="0" w:firstLineChars="0"/>
              <w:rPr>
                <w:rFonts w:hint="eastAsia" w:ascii="宋体" w:hAnsi="宋体" w:cs="Times New Roman"/>
                <w:kern w:val="0"/>
                <w:sz w:val="21"/>
                <w:szCs w:val="21"/>
                <w14:ligatures w14:val="none"/>
              </w:rPr>
            </w:pPr>
            <w:r>
              <w:rPr>
                <w:rFonts w:ascii="宋体" w:hAnsi="宋体" w:cs="Times New Roman"/>
                <w:kern w:val="0"/>
                <w:sz w:val="21"/>
                <w:szCs w:val="21"/>
                <w14:ligatures w14:val="none"/>
              </w:rPr>
              <w:t>10-20元/人</w:t>
            </w:r>
          </w:p>
        </w:tc>
      </w:tr>
    </w:tbl>
    <w:p w14:paraId="5FDCD607">
      <w:pPr>
        <w:ind w:firstLine="420"/>
        <w:rPr>
          <w:rFonts w:hint="eastAsia" w:ascii="宋体" w:hAnsi="宋体"/>
          <w:sz w:val="21"/>
          <w:szCs w:val="21"/>
        </w:rPr>
      </w:pPr>
      <w:r>
        <w:rPr>
          <w:rFonts w:hint="eastAsia" w:ascii="宋体" w:hAnsi="宋体"/>
          <w:sz w:val="21"/>
          <w:szCs w:val="21"/>
        </w:rPr>
        <w:t>本项目的</w:t>
      </w:r>
      <w:r>
        <w:rPr>
          <w:rFonts w:ascii="宋体" w:hAnsi="宋体"/>
          <w:sz w:val="21"/>
          <w:szCs w:val="21"/>
        </w:rPr>
        <w:t>目标市场策略的核心逻辑是</w:t>
      </w:r>
      <w:r>
        <w:rPr>
          <w:rFonts w:ascii="宋体" w:hAnsi="宋体"/>
          <w:b/>
          <w:bCs/>
          <w:sz w:val="21"/>
          <w:szCs w:val="21"/>
        </w:rPr>
        <w:t>“聚焦核心、带动卫星</w:t>
      </w:r>
      <w:r>
        <w:rPr>
          <w:rFonts w:ascii="宋体" w:hAnsi="宋体"/>
          <w:sz w:val="21"/>
          <w:szCs w:val="21"/>
        </w:rPr>
        <w:t>”</w:t>
      </w:r>
      <w:r>
        <w:rPr>
          <w:rFonts w:hint="eastAsia" w:ascii="宋体" w:hAnsi="宋体"/>
          <w:sz w:val="21"/>
          <w:szCs w:val="21"/>
        </w:rPr>
        <w:t>。</w:t>
      </w:r>
      <w:r>
        <w:rPr>
          <w:rFonts w:ascii="宋体" w:hAnsi="宋体"/>
          <w:sz w:val="21"/>
          <w:szCs w:val="21"/>
        </w:rPr>
        <w:t>第一，核心客群A+B合计占80%</w:t>
      </w:r>
      <w:r>
        <w:rPr>
          <w:rFonts w:hint="eastAsia" w:ascii="宋体" w:hAnsi="宋体"/>
          <w:sz w:val="21"/>
          <w:szCs w:val="21"/>
        </w:rPr>
        <w:t>，项目的</w:t>
      </w:r>
      <w:r>
        <w:rPr>
          <w:rFonts w:ascii="宋体" w:hAnsi="宋体"/>
          <w:sz w:val="21"/>
          <w:szCs w:val="21"/>
        </w:rPr>
        <w:t>资源投入的80%应投向这两类客群的获客和服务。骑行轻度假型负责</w:t>
      </w:r>
      <w:r>
        <w:rPr>
          <w:rFonts w:ascii="宋体" w:hAnsi="宋体"/>
          <w:b/>
          <w:bCs/>
          <w:sz w:val="21"/>
          <w:szCs w:val="21"/>
        </w:rPr>
        <w:t>“拉新+传播”</w:t>
      </w:r>
      <w:r>
        <w:rPr>
          <w:rFonts w:ascii="宋体" w:hAnsi="宋体"/>
          <w:sz w:val="21"/>
          <w:szCs w:val="21"/>
        </w:rPr>
        <w:t>，品质家庭型负责</w:t>
      </w:r>
      <w:r>
        <w:rPr>
          <w:rFonts w:ascii="宋体" w:hAnsi="宋体"/>
          <w:b/>
          <w:bCs/>
          <w:sz w:val="21"/>
          <w:szCs w:val="21"/>
        </w:rPr>
        <w:t>“复购+深度消费”</w:t>
      </w:r>
      <w:r>
        <w:rPr>
          <w:rFonts w:ascii="宋体" w:hAnsi="宋体"/>
          <w:sz w:val="21"/>
          <w:szCs w:val="21"/>
        </w:rPr>
        <w:t>。第二，第二客群是增量引擎。研学教育型（12%）虽然当前占比不高，但增速快、壁垒强，是未来2-3年的增长第二曲线</w:t>
      </w:r>
      <w:r>
        <w:rPr>
          <w:rFonts w:hint="eastAsia" w:ascii="宋体" w:hAnsi="宋体"/>
          <w:sz w:val="21"/>
          <w:szCs w:val="21"/>
        </w:rPr>
        <w:t>。</w:t>
      </w:r>
      <w:r>
        <w:rPr>
          <w:rFonts w:ascii="宋体" w:hAnsi="宋体"/>
          <w:sz w:val="21"/>
          <w:szCs w:val="21"/>
        </w:rPr>
        <w:t>第三，</w:t>
      </w:r>
      <w:r>
        <w:rPr>
          <w:rFonts w:ascii="宋体" w:hAnsi="宋体"/>
          <w:b/>
          <w:bCs/>
          <w:sz w:val="21"/>
          <w:szCs w:val="21"/>
        </w:rPr>
        <w:t>获客成本梯度设计</w:t>
      </w:r>
      <w:r>
        <w:rPr>
          <w:rFonts w:hint="eastAsia" w:ascii="宋体" w:hAnsi="宋体"/>
          <w:sz w:val="21"/>
          <w:szCs w:val="21"/>
        </w:rPr>
        <w:t>，</w:t>
      </w:r>
      <w:r>
        <w:rPr>
          <w:rFonts w:ascii="宋体" w:hAnsi="宋体"/>
          <w:sz w:val="21"/>
          <w:szCs w:val="21"/>
        </w:rPr>
        <w:t>核心客群获客成本最高（30-60元/人），但LTV（用户生命周期价值）也最高；第二客群通过B端合作降低获客成本；基础客群作为自然流量补充，获客成本最低。</w:t>
      </w:r>
    </w:p>
    <w:p w14:paraId="03B275AA">
      <w:pPr>
        <w:spacing w:before="120" w:after="120" w:line="288" w:lineRule="auto"/>
        <w:ind w:firstLine="440"/>
      </w:pPr>
      <w:r>
        <w:rPr>
          <w:rFonts w:eastAsia="等线" w:cs="Arial"/>
          <w:sz w:val="22"/>
        </w:rPr>
        <w:t>表3-11 目标市场选择矩阵</w:t>
      </w:r>
    </w:p>
    <w:tbl>
      <w:tblPr>
        <w:tblStyle w:val="22"/>
        <w:tblW w:w="0" w:type="auto"/>
        <w:tblInd w:w="0" w:type="dxa"/>
        <w:tblBorders>
          <w:top w:val="single" w:color="464F41" w:sz="4" w:space="0"/>
          <w:left w:val="none" w:color="auto" w:sz="0" w:space="0"/>
          <w:bottom w:val="single" w:color="464F41" w:sz="4" w:space="0"/>
          <w:right w:val="none" w:color="auto" w:sz="0" w:space="0"/>
          <w:insideH w:val="dotted" w:color="464F41" w:sz="4" w:space="0"/>
          <w:insideV w:val="none" w:color="auto" w:sz="0" w:space="0"/>
        </w:tblBorders>
        <w:tblLayout w:type="fixed"/>
        <w:tblCellMar>
          <w:top w:w="0" w:type="dxa"/>
          <w:left w:w="108" w:type="dxa"/>
          <w:bottom w:w="0" w:type="dxa"/>
          <w:right w:w="108" w:type="dxa"/>
        </w:tblCellMar>
      </w:tblPr>
      <w:tblGrid>
        <w:gridCol w:w="1650"/>
        <w:gridCol w:w="1650"/>
        <w:gridCol w:w="1650"/>
        <w:gridCol w:w="1650"/>
        <w:gridCol w:w="1650"/>
      </w:tblGrid>
      <w:tr w14:paraId="4A955DB1">
        <w:tblPrEx>
          <w:tblBorders>
            <w:top w:val="single" w:color="464F41" w:sz="4" w:space="0"/>
            <w:left w:val="none" w:color="auto" w:sz="0" w:space="0"/>
            <w:bottom w:val="single" w:color="464F41" w:sz="4" w:space="0"/>
            <w:right w:val="none" w:color="auto" w:sz="0" w:space="0"/>
            <w:insideH w:val="dotted" w:color="464F41" w:sz="4" w:space="0"/>
            <w:insideV w:val="none" w:color="auto" w:sz="0" w:space="0"/>
          </w:tblBorders>
          <w:tblCellMar>
            <w:top w:w="0" w:type="dxa"/>
            <w:left w:w="108" w:type="dxa"/>
            <w:bottom w:w="0" w:type="dxa"/>
            <w:right w:w="108" w:type="dxa"/>
          </w:tblCellMar>
        </w:tblPrEx>
        <w:tc>
          <w:tcPr>
            <w:tcW w:w="1650" w:type="dxa"/>
            <w:tcBorders>
              <w:top w:val="single" w:color="464F41" w:sz="4" w:space="0"/>
              <w:left w:val="nil"/>
              <w:bottom w:val="single" w:color="464F41" w:sz="4" w:space="0"/>
              <w:right w:val="nil"/>
              <w:insideH w:val="single" w:sz="4" w:space="0"/>
              <w:insideV w:val="nil"/>
            </w:tcBorders>
            <w:shd w:val="clear" w:color="auto" w:fill="FFFFFF"/>
          </w:tcPr>
          <w:p w14:paraId="3EA5CB22">
            <w:pPr>
              <w:spacing w:before="120" w:after="120" w:line="288" w:lineRule="auto"/>
              <w:ind w:firstLine="0" w:firstLineChars="0"/>
              <w:rPr>
                <w:b/>
                <w:color w:val="464F41"/>
                <w:kern w:val="0"/>
                <w:szCs w:val="24"/>
                <w:lang w:eastAsia="en-US"/>
                <w14:ligatures w14:val="none"/>
              </w:rPr>
            </w:pPr>
            <w:r>
              <w:rPr>
                <w:rFonts w:eastAsia="等线" w:cs="Arial"/>
                <w:b/>
                <w:color w:val="464F41"/>
                <w:kern w:val="0"/>
                <w:sz w:val="22"/>
                <w:szCs w:val="24"/>
                <w:lang w:eastAsia="en-US"/>
                <w14:ligatures w14:val="none"/>
              </w:rPr>
              <w:t>客群类型</w:t>
            </w:r>
          </w:p>
        </w:tc>
        <w:tc>
          <w:tcPr>
            <w:tcW w:w="1650" w:type="dxa"/>
            <w:tcBorders>
              <w:top w:val="single" w:color="464F41" w:sz="4" w:space="0"/>
              <w:bottom w:val="single" w:color="464F41" w:sz="4" w:space="0"/>
              <w:right w:val="nil"/>
              <w:insideH w:val="single" w:sz="4" w:space="0"/>
              <w:insideV w:val="nil"/>
            </w:tcBorders>
            <w:shd w:val="clear" w:color="auto" w:fill="FFFFFF"/>
          </w:tcPr>
          <w:p w14:paraId="06AD07BD">
            <w:pPr>
              <w:spacing w:before="120" w:after="120" w:line="288" w:lineRule="auto"/>
              <w:ind w:firstLine="0" w:firstLineChars="0"/>
              <w:rPr>
                <w:b/>
                <w:color w:val="464F41"/>
                <w:kern w:val="0"/>
                <w:szCs w:val="24"/>
                <w:lang w:eastAsia="en-US"/>
                <w14:ligatures w14:val="none"/>
              </w:rPr>
            </w:pPr>
            <w:r>
              <w:rPr>
                <w:rFonts w:eastAsia="等线" w:cs="Arial"/>
                <w:b/>
                <w:color w:val="464F41"/>
                <w:kern w:val="0"/>
                <w:sz w:val="22"/>
                <w:szCs w:val="24"/>
                <w:lang w:eastAsia="en-US"/>
                <w14:ligatures w14:val="none"/>
              </w:rPr>
              <w:t>预期占比</w:t>
            </w:r>
          </w:p>
        </w:tc>
        <w:tc>
          <w:tcPr>
            <w:tcW w:w="1650" w:type="dxa"/>
            <w:tcBorders>
              <w:top w:val="single" w:color="464F41" w:sz="4" w:space="0"/>
              <w:bottom w:val="single" w:color="464F41" w:sz="4" w:space="0"/>
              <w:right w:val="nil"/>
              <w:insideH w:val="single" w:sz="4" w:space="0"/>
              <w:insideV w:val="nil"/>
            </w:tcBorders>
            <w:shd w:val="clear" w:color="auto" w:fill="FFFFFF"/>
          </w:tcPr>
          <w:p w14:paraId="77630D31">
            <w:pPr>
              <w:spacing w:before="120" w:after="120" w:line="288" w:lineRule="auto"/>
              <w:ind w:firstLine="0" w:firstLineChars="0"/>
              <w:rPr>
                <w:b/>
                <w:color w:val="464F41"/>
                <w:kern w:val="0"/>
                <w:szCs w:val="24"/>
                <w:lang w:eastAsia="en-US"/>
                <w14:ligatures w14:val="none"/>
              </w:rPr>
            </w:pPr>
            <w:r>
              <w:rPr>
                <w:rFonts w:eastAsia="等线" w:cs="Arial"/>
                <w:b/>
                <w:color w:val="464F41"/>
                <w:kern w:val="0"/>
                <w:sz w:val="22"/>
                <w:szCs w:val="24"/>
                <w:lang w:eastAsia="en-US"/>
                <w14:ligatures w14:val="none"/>
              </w:rPr>
              <w:t>核心画像</w:t>
            </w:r>
          </w:p>
        </w:tc>
        <w:tc>
          <w:tcPr>
            <w:tcW w:w="1650" w:type="dxa"/>
            <w:tcBorders>
              <w:top w:val="single" w:color="464F41" w:sz="4" w:space="0"/>
              <w:bottom w:val="single" w:color="464F41" w:sz="4" w:space="0"/>
              <w:right w:val="nil"/>
              <w:insideH w:val="single" w:sz="4" w:space="0"/>
              <w:insideV w:val="nil"/>
            </w:tcBorders>
            <w:shd w:val="clear" w:color="auto" w:fill="FFFFFF"/>
          </w:tcPr>
          <w:p w14:paraId="62E4FA34">
            <w:pPr>
              <w:spacing w:before="120" w:after="120" w:line="288" w:lineRule="auto"/>
              <w:ind w:firstLine="0" w:firstLineChars="0"/>
              <w:rPr>
                <w:b/>
                <w:color w:val="464F41"/>
                <w:kern w:val="0"/>
                <w:szCs w:val="24"/>
                <w:lang w:eastAsia="en-US"/>
                <w14:ligatures w14:val="none"/>
              </w:rPr>
            </w:pPr>
            <w:r>
              <w:rPr>
                <w:rFonts w:eastAsia="等线" w:cs="Arial"/>
                <w:b/>
                <w:color w:val="464F41"/>
                <w:kern w:val="0"/>
                <w:sz w:val="22"/>
                <w:szCs w:val="24"/>
                <w:lang w:eastAsia="en-US"/>
                <w14:ligatures w14:val="none"/>
              </w:rPr>
              <w:t>获客成本</w:t>
            </w:r>
          </w:p>
        </w:tc>
        <w:tc>
          <w:tcPr>
            <w:tcW w:w="1650" w:type="dxa"/>
            <w:tcBorders>
              <w:top w:val="single" w:color="464F41" w:sz="4" w:space="0"/>
              <w:bottom w:val="single" w:color="464F41" w:sz="4" w:space="0"/>
              <w:insideH w:val="single" w:sz="4" w:space="0"/>
              <w:insideV w:val="nil"/>
            </w:tcBorders>
            <w:shd w:val="clear" w:color="auto" w:fill="FFFFFF"/>
          </w:tcPr>
          <w:p w14:paraId="0C0C25B4">
            <w:pPr>
              <w:spacing w:before="120" w:after="120" w:line="288" w:lineRule="auto"/>
              <w:ind w:firstLine="0" w:firstLineChars="0"/>
              <w:rPr>
                <w:b/>
                <w:color w:val="464F41"/>
                <w:kern w:val="0"/>
                <w:szCs w:val="24"/>
                <w:lang w:eastAsia="en-US"/>
                <w14:ligatures w14:val="none"/>
              </w:rPr>
            </w:pPr>
            <w:r>
              <w:rPr>
                <w:rFonts w:eastAsia="等线" w:cs="Arial"/>
                <w:b/>
                <w:color w:val="464F41"/>
                <w:kern w:val="0"/>
                <w:sz w:val="22"/>
                <w:szCs w:val="24"/>
                <w:lang w:eastAsia="en-US"/>
                <w14:ligatures w14:val="none"/>
              </w:rPr>
              <w:t>覆盖策略</w:t>
            </w:r>
          </w:p>
        </w:tc>
      </w:tr>
      <w:tr w14:paraId="2F6DF8B8">
        <w:tblPrEx>
          <w:tblBorders>
            <w:top w:val="single" w:color="464F41" w:sz="4" w:space="0"/>
            <w:left w:val="none" w:color="auto" w:sz="0" w:space="0"/>
            <w:bottom w:val="single" w:color="464F41" w:sz="4" w:space="0"/>
            <w:right w:val="none" w:color="auto" w:sz="0" w:space="0"/>
            <w:insideH w:val="dotted" w:color="464F41" w:sz="4" w:space="0"/>
            <w:insideV w:val="none" w:color="auto" w:sz="0" w:space="0"/>
          </w:tblBorders>
          <w:tblCellMar>
            <w:top w:w="0" w:type="dxa"/>
            <w:left w:w="108" w:type="dxa"/>
            <w:bottom w:w="0" w:type="dxa"/>
            <w:right w:w="108" w:type="dxa"/>
          </w:tblCellMar>
        </w:tblPrEx>
        <w:tc>
          <w:tcPr>
            <w:tcW w:w="1650" w:type="dxa"/>
            <w:shd w:val="clear" w:color="auto" w:fill="auto"/>
          </w:tcPr>
          <w:p w14:paraId="30F9E7B0">
            <w:pPr>
              <w:spacing w:before="120" w:after="120" w:line="288" w:lineRule="auto"/>
              <w:ind w:firstLine="0" w:firstLineChars="0"/>
              <w:rPr>
                <w:color w:val="464F41"/>
                <w:kern w:val="0"/>
                <w:szCs w:val="24"/>
                <w:lang w:eastAsia="en-US"/>
                <w14:ligatures w14:val="none"/>
              </w:rPr>
            </w:pPr>
            <w:r>
              <w:rPr>
                <w:rFonts w:eastAsia="等线" w:cs="Arial"/>
                <w:b/>
                <w:color w:val="464F41"/>
                <w:kern w:val="0"/>
                <w:sz w:val="22"/>
                <w:szCs w:val="24"/>
                <w:lang w:eastAsia="en-US"/>
                <w14:ligatures w14:val="none"/>
              </w:rPr>
              <w:t>核心目标客群</w:t>
            </w:r>
          </w:p>
        </w:tc>
        <w:tc>
          <w:tcPr>
            <w:tcW w:w="1650" w:type="dxa"/>
            <w:shd w:val="clear" w:color="auto" w:fill="auto"/>
          </w:tcPr>
          <w:p w14:paraId="120E3E86">
            <w:pPr>
              <w:spacing w:before="120" w:after="120" w:line="288" w:lineRule="auto"/>
              <w:ind w:firstLine="0" w:firstLineChars="0"/>
              <w:rPr>
                <w:color w:val="464F41"/>
                <w:kern w:val="0"/>
                <w:szCs w:val="24"/>
                <w:lang w:eastAsia="en-US"/>
                <w14:ligatures w14:val="none"/>
              </w:rPr>
            </w:pPr>
            <w:r>
              <w:rPr>
                <w:rFonts w:eastAsia="等线" w:cs="Arial"/>
                <w:color w:val="464F41"/>
                <w:kern w:val="0"/>
                <w:sz w:val="22"/>
                <w:szCs w:val="24"/>
                <w:lang w:eastAsia="en-US"/>
                <w14:ligatures w14:val="none"/>
              </w:rPr>
              <w:t>57.5%</w:t>
            </w:r>
          </w:p>
        </w:tc>
        <w:tc>
          <w:tcPr>
            <w:tcW w:w="1650" w:type="dxa"/>
            <w:shd w:val="clear" w:color="auto" w:fill="auto"/>
          </w:tcPr>
          <w:p w14:paraId="37A7C6BB">
            <w:pPr>
              <w:spacing w:before="120" w:after="120" w:line="288" w:lineRule="auto"/>
              <w:ind w:firstLine="0" w:firstLineChars="0"/>
              <w:rPr>
                <w:color w:val="464F41"/>
                <w:kern w:val="0"/>
                <w:szCs w:val="24"/>
                <w:lang w:eastAsia="zh-CN"/>
                <w14:ligatures w14:val="none"/>
              </w:rPr>
            </w:pPr>
            <w:r>
              <w:rPr>
                <w:rFonts w:eastAsia="等线" w:cs="Arial"/>
                <w:color w:val="464F41"/>
                <w:kern w:val="0"/>
                <w:sz w:val="22"/>
                <w:szCs w:val="24"/>
                <w:lang w:eastAsia="zh-CN"/>
                <w14:ligatures w14:val="none"/>
              </w:rPr>
              <w:t>25-45岁中高收入群体，骑行与认养意愿强</w:t>
            </w:r>
          </w:p>
        </w:tc>
        <w:tc>
          <w:tcPr>
            <w:tcW w:w="1650" w:type="dxa"/>
            <w:shd w:val="clear" w:color="auto" w:fill="auto"/>
          </w:tcPr>
          <w:p w14:paraId="5FAC5D31">
            <w:pPr>
              <w:spacing w:before="120" w:after="120" w:line="288" w:lineRule="auto"/>
              <w:ind w:firstLine="0" w:firstLineChars="0"/>
              <w:rPr>
                <w:color w:val="464F41"/>
                <w:kern w:val="0"/>
                <w:szCs w:val="24"/>
                <w:lang w:eastAsia="en-US"/>
                <w14:ligatures w14:val="none"/>
              </w:rPr>
            </w:pPr>
            <w:r>
              <w:rPr>
                <w:rFonts w:eastAsia="等线" w:cs="Arial"/>
                <w:color w:val="464F41"/>
                <w:kern w:val="0"/>
                <w:sz w:val="22"/>
                <w:szCs w:val="24"/>
                <w:lang w:eastAsia="en-US"/>
                <w14:ligatures w14:val="none"/>
              </w:rPr>
              <w:t>30-50元/人</w:t>
            </w:r>
          </w:p>
        </w:tc>
        <w:tc>
          <w:tcPr>
            <w:tcW w:w="1650" w:type="dxa"/>
            <w:shd w:val="clear" w:color="auto" w:fill="auto"/>
          </w:tcPr>
          <w:p w14:paraId="22E332B1">
            <w:pPr>
              <w:spacing w:before="120" w:after="120" w:line="288" w:lineRule="auto"/>
              <w:ind w:firstLine="0" w:firstLineChars="0"/>
              <w:rPr>
                <w:color w:val="464F41"/>
                <w:kern w:val="0"/>
                <w:szCs w:val="24"/>
                <w:lang w:eastAsia="zh-CN"/>
                <w14:ligatures w14:val="none"/>
              </w:rPr>
            </w:pPr>
            <w:r>
              <w:rPr>
                <w:rFonts w:eastAsia="等线" w:cs="Arial"/>
                <w:color w:val="464F41"/>
                <w:kern w:val="0"/>
                <w:sz w:val="22"/>
                <w:szCs w:val="24"/>
                <w:lang w:eastAsia="zh-CN"/>
                <w14:ligatures w14:val="none"/>
              </w:rPr>
              <w:t>尊享认养+企业CSR+亲子研学+小程序精准推送</w:t>
            </w:r>
          </w:p>
        </w:tc>
      </w:tr>
      <w:tr w14:paraId="2DB60BB5">
        <w:tblPrEx>
          <w:tblBorders>
            <w:top w:val="single" w:color="464F41" w:sz="4" w:space="0"/>
            <w:left w:val="none" w:color="auto" w:sz="0" w:space="0"/>
            <w:bottom w:val="single" w:color="464F41" w:sz="4" w:space="0"/>
            <w:right w:val="none" w:color="auto" w:sz="0" w:space="0"/>
            <w:insideH w:val="dotted" w:color="464F41" w:sz="4" w:space="0"/>
            <w:insideV w:val="none" w:color="auto" w:sz="0" w:space="0"/>
          </w:tblBorders>
          <w:tblCellMar>
            <w:top w:w="0" w:type="dxa"/>
            <w:left w:w="108" w:type="dxa"/>
            <w:bottom w:w="0" w:type="dxa"/>
            <w:right w:w="108" w:type="dxa"/>
          </w:tblCellMar>
        </w:tblPrEx>
        <w:tc>
          <w:tcPr>
            <w:tcW w:w="1650" w:type="dxa"/>
            <w:shd w:val="clear" w:color="auto" w:fill="auto"/>
          </w:tcPr>
          <w:p w14:paraId="0F64F225">
            <w:pPr>
              <w:spacing w:before="120" w:after="120" w:line="288" w:lineRule="auto"/>
              <w:ind w:firstLine="0" w:firstLineChars="0"/>
              <w:rPr>
                <w:color w:val="464F41"/>
                <w:kern w:val="0"/>
                <w:szCs w:val="24"/>
                <w:lang w:eastAsia="en-US"/>
                <w14:ligatures w14:val="none"/>
              </w:rPr>
            </w:pPr>
            <w:r>
              <w:rPr>
                <w:rFonts w:eastAsia="等线" w:cs="Arial"/>
                <w:b/>
                <w:color w:val="464F41"/>
                <w:kern w:val="0"/>
                <w:sz w:val="22"/>
                <w:szCs w:val="24"/>
                <w:lang w:eastAsia="en-US"/>
                <w14:ligatures w14:val="none"/>
              </w:rPr>
              <w:t>潜力培育客群</w:t>
            </w:r>
          </w:p>
        </w:tc>
        <w:tc>
          <w:tcPr>
            <w:tcW w:w="1650" w:type="dxa"/>
            <w:shd w:val="clear" w:color="auto" w:fill="auto"/>
          </w:tcPr>
          <w:p w14:paraId="2EAA3CD9">
            <w:pPr>
              <w:spacing w:before="120" w:after="120" w:line="288" w:lineRule="auto"/>
              <w:ind w:firstLine="0" w:firstLineChars="0"/>
              <w:rPr>
                <w:color w:val="464F41"/>
                <w:kern w:val="0"/>
                <w:szCs w:val="24"/>
                <w:lang w:eastAsia="en-US"/>
                <w14:ligatures w14:val="none"/>
              </w:rPr>
            </w:pPr>
            <w:r>
              <w:rPr>
                <w:rFonts w:eastAsia="等线" w:cs="Arial"/>
                <w:color w:val="464F41"/>
                <w:kern w:val="0"/>
                <w:sz w:val="22"/>
                <w:szCs w:val="24"/>
                <w:lang w:eastAsia="en-US"/>
                <w14:ligatures w14:val="none"/>
              </w:rPr>
              <w:t>42.5%</w:t>
            </w:r>
          </w:p>
        </w:tc>
        <w:tc>
          <w:tcPr>
            <w:tcW w:w="1650" w:type="dxa"/>
            <w:shd w:val="clear" w:color="auto" w:fill="auto"/>
          </w:tcPr>
          <w:p w14:paraId="53ED2EA4">
            <w:pPr>
              <w:spacing w:before="120" w:after="120" w:line="288" w:lineRule="auto"/>
              <w:ind w:firstLine="0" w:firstLineChars="0"/>
              <w:rPr>
                <w:color w:val="464F41"/>
                <w:kern w:val="0"/>
                <w:szCs w:val="24"/>
                <w:lang w:eastAsia="zh-CN"/>
                <w14:ligatures w14:val="none"/>
              </w:rPr>
            </w:pPr>
            <w:r>
              <w:rPr>
                <w:rFonts w:eastAsia="等线" w:cs="Arial"/>
                <w:color w:val="464F41"/>
                <w:kern w:val="0"/>
                <w:sz w:val="22"/>
                <w:szCs w:val="24"/>
                <w:lang w:eastAsia="zh-CN"/>
                <w14:ligatures w14:val="none"/>
              </w:rPr>
              <w:t>价格敏感型年轻群体，产品认知不足</w:t>
            </w:r>
          </w:p>
        </w:tc>
        <w:tc>
          <w:tcPr>
            <w:tcW w:w="1650" w:type="dxa"/>
            <w:shd w:val="clear" w:color="auto" w:fill="auto"/>
          </w:tcPr>
          <w:p w14:paraId="4D23334D">
            <w:pPr>
              <w:spacing w:before="120" w:after="120" w:line="288" w:lineRule="auto"/>
              <w:ind w:firstLine="0" w:firstLineChars="0"/>
              <w:rPr>
                <w:color w:val="464F41"/>
                <w:kern w:val="0"/>
                <w:szCs w:val="24"/>
                <w:lang w:eastAsia="en-US"/>
                <w14:ligatures w14:val="none"/>
              </w:rPr>
            </w:pPr>
            <w:r>
              <w:rPr>
                <w:rFonts w:eastAsia="等线" w:cs="Arial"/>
                <w:color w:val="464F41"/>
                <w:kern w:val="0"/>
                <w:sz w:val="22"/>
                <w:szCs w:val="24"/>
                <w:lang w:eastAsia="en-US"/>
                <w14:ligatures w14:val="none"/>
              </w:rPr>
              <w:t>20-30元/人</w:t>
            </w:r>
          </w:p>
        </w:tc>
        <w:tc>
          <w:tcPr>
            <w:tcW w:w="1650" w:type="dxa"/>
            <w:shd w:val="clear" w:color="auto" w:fill="auto"/>
          </w:tcPr>
          <w:p w14:paraId="5A73F620">
            <w:pPr>
              <w:spacing w:before="120" w:after="120" w:line="288" w:lineRule="auto"/>
              <w:ind w:firstLine="0" w:firstLineChars="0"/>
              <w:rPr>
                <w:color w:val="464F41"/>
                <w:kern w:val="0"/>
                <w:szCs w:val="24"/>
                <w:lang w:eastAsia="zh-CN"/>
                <w14:ligatures w14:val="none"/>
              </w:rPr>
            </w:pPr>
            <w:r>
              <w:rPr>
                <w:rFonts w:eastAsia="等线" w:cs="Arial"/>
                <w:color w:val="464F41"/>
                <w:kern w:val="0"/>
                <w:sz w:val="22"/>
                <w:szCs w:val="24"/>
                <w:lang w:eastAsia="zh-CN"/>
                <w14:ligatures w14:val="none"/>
              </w:rPr>
              <w:t>性价比一日游+小红书种草+轻量化内容教育</w:t>
            </w:r>
          </w:p>
        </w:tc>
      </w:tr>
    </w:tbl>
    <w:p w14:paraId="3BEBEFAD">
      <w:pPr>
        <w:ind w:firstLine="480"/>
      </w:pPr>
    </w:p>
    <w:p w14:paraId="45EDD85C">
      <w:pPr>
        <w:ind w:firstLine="480"/>
        <w:rPr>
          <w:rFonts w:hint="eastAsia" w:ascii="宋体" w:hAnsi="宋体"/>
          <w:sz w:val="21"/>
          <w:szCs w:val="21"/>
        </w:rPr>
      </w:pPr>
      <w:r>
        <w:drawing>
          <wp:anchor distT="0" distB="0" distL="114300" distR="114300" simplePos="0" relativeHeight="251663360" behindDoc="0" locked="0" layoutInCell="1" allowOverlap="1">
            <wp:simplePos x="0" y="0"/>
            <wp:positionH relativeFrom="column">
              <wp:posOffset>161925</wp:posOffset>
            </wp:positionH>
            <wp:positionV relativeFrom="paragraph">
              <wp:posOffset>1619885</wp:posOffset>
            </wp:positionV>
            <wp:extent cx="5486400" cy="3632200"/>
            <wp:effectExtent l="0" t="0" r="0" b="10160"/>
            <wp:wrapTopAndBottom/>
            <wp:docPr id="180062466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24667" name="图片 1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486400" cy="3632200"/>
                    </a:xfrm>
                    <a:prstGeom prst="rect">
                      <a:avLst/>
                    </a:prstGeom>
                    <a:noFill/>
                    <a:ln>
                      <a:noFill/>
                    </a:ln>
                  </pic:spPr>
                </pic:pic>
              </a:graphicData>
            </a:graphic>
          </wp:anchor>
        </w:drawing>
      </w:r>
      <w:r>
        <w:rPr>
          <w:rFonts w:hint="eastAsia" w:ascii="宋体" w:hAnsi="宋体"/>
          <w:sz w:val="21"/>
          <w:szCs w:val="21"/>
        </w:rPr>
        <w:t>目标市场策略遵循“聚焦核心、培育潜力”的逻辑。核心目标客群占比57.5%，预计贡献75%以上收入，项目80%的营销资源将优先投放于该群体，通过认养产品、骑行赛事与研学课程实现高效转化。潜力培育客群占比42.5%，通过高性价比体验套餐与持续内容教育逐步建立品牌认知，预计Y2起转化率将随认知度提升而改善，Y1—Y2营销预算中预留约15%专项用于该群体的长期培育。</w:t>
      </w:r>
    </w:p>
    <w:p w14:paraId="57A3FD1C">
      <w:pPr>
        <w:ind w:firstLine="480"/>
        <w:jc w:val="center"/>
      </w:pPr>
      <w:r>
        <w:rPr>
          <w:rFonts w:hint="eastAsia"/>
        </w:rPr>
        <w:t>图 目标市场选择矩阵</w:t>
      </w:r>
    </w:p>
    <w:p w14:paraId="4C676CE3">
      <w:pPr>
        <w:ind w:firstLine="422"/>
        <w:rPr>
          <w:rFonts w:hint="eastAsia" w:ascii="宋体" w:hAnsi="宋体"/>
          <w:b/>
          <w:bCs/>
          <w:sz w:val="21"/>
          <w:szCs w:val="21"/>
        </w:rPr>
      </w:pPr>
      <w:bookmarkStart w:id="65" w:name="_Toc716"/>
      <w:r>
        <w:rPr>
          <w:rStyle w:val="30"/>
          <w:rFonts w:hint="eastAsia"/>
        </w:rPr>
        <w:t xml:space="preserve">3.10.3 </w:t>
      </w:r>
      <w:r>
        <w:rPr>
          <w:rStyle w:val="30"/>
        </w:rPr>
        <w:t>P——市场定位</w:t>
      </w:r>
      <w:bookmarkEnd w:id="65"/>
      <w:r>
        <w:rPr>
          <w:rFonts w:ascii="宋体" w:hAnsi="宋体"/>
          <w:b/>
          <w:bCs/>
          <w:sz w:val="21"/>
          <w:szCs w:val="21"/>
        </w:rPr>
        <w:t>（Positioning）</w:t>
      </w:r>
    </w:p>
    <w:p w14:paraId="36C92266">
      <w:pPr>
        <w:ind w:firstLine="420"/>
        <w:rPr>
          <w:rFonts w:hint="eastAsia" w:ascii="宋体" w:hAnsi="宋体"/>
          <w:sz w:val="21"/>
          <w:szCs w:val="21"/>
        </w:rPr>
      </w:pPr>
      <w:r>
        <w:rPr>
          <w:rFonts w:hint="eastAsia" w:ascii="宋体" w:hAnsi="宋体"/>
          <w:sz w:val="21"/>
          <w:szCs w:val="21"/>
        </w:rPr>
        <w:t>杨家东庄村地处怀柔水库一级水源保护区,生态约束明确、资源禀赋独特,且面临商业经营许可零发放、可用空间有限、老龄化劳动力等多重硬约束。项目以生态价值转化为核心逻辑,确立村庄</w:t>
      </w:r>
      <w:r>
        <w:rPr>
          <w:rFonts w:hint="eastAsia" w:ascii="宋体" w:hAnsi="宋体"/>
          <w:b/>
          <w:bCs/>
          <w:sz w:val="21"/>
          <w:szCs w:val="21"/>
        </w:rPr>
        <w:t>战略定位为"水源保护区生态价值转化先行村</w:t>
      </w:r>
      <w:r>
        <w:rPr>
          <w:rFonts w:hint="eastAsia" w:ascii="宋体" w:hAnsi="宋体"/>
          <w:sz w:val="21"/>
          <w:szCs w:val="21"/>
        </w:rPr>
        <w:t>、</w:t>
      </w:r>
      <w:r>
        <w:rPr>
          <w:rFonts w:hint="eastAsia" w:ascii="宋体" w:hAnsi="宋体"/>
          <w:b/>
          <w:bCs/>
          <w:sz w:val="21"/>
          <w:szCs w:val="21"/>
        </w:rPr>
        <w:t>北片区域骑行联盟品牌母村"</w:t>
      </w:r>
      <w:r>
        <w:rPr>
          <w:rFonts w:hint="eastAsia" w:ascii="宋体" w:hAnsi="宋体"/>
          <w:sz w:val="21"/>
          <w:szCs w:val="21"/>
        </w:rPr>
        <w:t>。项目坚守生态保护底线与政策合规红线,以樱桃产业为基础支撑,以"一树一人"认养体系为线上主线,以北片区域骑行联盟为流量入口,以数字化平台为运营底座,将政策约束转化为品质背书与品牌护城河,推动村庄从单一季节性经济薄弱村,向"村不经营、组织变现"的合规可持续产业系统转型。</w:t>
      </w:r>
    </w:p>
    <w:p w14:paraId="6461560D">
      <w:pPr>
        <w:ind w:firstLine="420"/>
        <w:rPr>
          <w:rFonts w:hint="eastAsia" w:ascii="宋体" w:hAnsi="宋体"/>
          <w:sz w:val="21"/>
          <w:szCs w:val="21"/>
        </w:rPr>
      </w:pPr>
      <w:r>
        <w:rPr>
          <w:rFonts w:ascii="宋体" w:hAnsi="宋体"/>
          <w:sz w:val="21"/>
          <w:szCs w:val="21"/>
        </w:rPr>
        <w:t>基于上述量化分析，杨家东庄村的战略定位确立为“水源保护区生态价值转化先行村、北片区域骑行联盟品牌母村”。这一差异化定位由以下三项数据直接支撑：</w:t>
      </w:r>
    </w:p>
    <w:p w14:paraId="052F1EF2">
      <w:pPr>
        <w:ind w:firstLine="420"/>
        <w:rPr>
          <w:rFonts w:hint="eastAsia" w:ascii="宋体" w:hAnsi="宋体"/>
          <w:sz w:val="21"/>
          <w:szCs w:val="21"/>
        </w:rPr>
      </w:pPr>
      <w:r>
        <w:rPr>
          <w:rFonts w:ascii="宋体" w:hAnsi="宋体"/>
          <w:sz w:val="21"/>
          <w:szCs w:val="21"/>
        </w:rPr>
        <w:t>表3-12 市场定位要素量化支撑</w:t>
      </w:r>
    </w:p>
    <w:tbl>
      <w:tblPr>
        <w:tblStyle w:val="14"/>
        <w:tblW w:w="0" w:type="auto"/>
        <w:tblInd w:w="0" w:type="dxa"/>
        <w:tblLayout w:type="autofit"/>
        <w:tblCellMar>
          <w:top w:w="15" w:type="dxa"/>
          <w:left w:w="15" w:type="dxa"/>
          <w:bottom w:w="15" w:type="dxa"/>
          <w:right w:w="15" w:type="dxa"/>
        </w:tblCellMar>
      </w:tblPr>
      <w:tblGrid>
        <w:gridCol w:w="1026"/>
        <w:gridCol w:w="1148"/>
        <w:gridCol w:w="4559"/>
        <w:gridCol w:w="1813"/>
      </w:tblGrid>
      <w:tr w14:paraId="4E7ADCA1">
        <w:tblPrEx>
          <w:tblCellMar>
            <w:top w:w="15" w:type="dxa"/>
            <w:left w:w="15" w:type="dxa"/>
            <w:bottom w:w="15" w:type="dxa"/>
            <w:right w:w="15" w:type="dxa"/>
          </w:tblCellMar>
        </w:tblPrEx>
        <w:trPr>
          <w:tblHeader/>
        </w:trPr>
        <w:tc>
          <w:tcPr>
            <w:tcW w:w="0" w:type="auto"/>
            <w:tcBorders>
              <w:top w:val="single" w:color="auto" w:sz="18" w:space="0"/>
            </w:tcBorders>
            <w:tcMar>
              <w:top w:w="150" w:type="dxa"/>
              <w:left w:w="0" w:type="dxa"/>
              <w:bottom w:w="150" w:type="dxa"/>
              <w:right w:w="240" w:type="dxa"/>
            </w:tcMar>
            <w:vAlign w:val="center"/>
          </w:tcPr>
          <w:p w14:paraId="7BC2E4CE">
            <w:pPr>
              <w:ind w:firstLine="0" w:firstLineChars="0"/>
              <w:jc w:val="center"/>
              <w:rPr>
                <w:rFonts w:hint="eastAsia" w:ascii="宋体" w:hAnsi="宋体"/>
                <w:sz w:val="21"/>
                <w:szCs w:val="21"/>
              </w:rPr>
            </w:pPr>
            <w:r>
              <w:rPr>
                <w:rFonts w:ascii="宋体" w:hAnsi="宋体"/>
                <w:sz w:val="21"/>
                <w:szCs w:val="21"/>
              </w:rPr>
              <w:t>定位要素</w:t>
            </w:r>
          </w:p>
        </w:tc>
        <w:tc>
          <w:tcPr>
            <w:tcW w:w="0" w:type="auto"/>
            <w:tcBorders>
              <w:top w:val="single" w:color="auto" w:sz="18" w:space="0"/>
            </w:tcBorders>
            <w:tcMar>
              <w:top w:w="150" w:type="dxa"/>
              <w:left w:w="240" w:type="dxa"/>
              <w:bottom w:w="150" w:type="dxa"/>
              <w:right w:w="240" w:type="dxa"/>
            </w:tcMar>
            <w:vAlign w:val="center"/>
          </w:tcPr>
          <w:p w14:paraId="7ED0AA31">
            <w:pPr>
              <w:ind w:firstLine="0" w:firstLineChars="0"/>
              <w:jc w:val="center"/>
              <w:rPr>
                <w:rFonts w:hint="eastAsia" w:ascii="宋体" w:hAnsi="宋体"/>
                <w:sz w:val="21"/>
                <w:szCs w:val="21"/>
              </w:rPr>
            </w:pPr>
            <w:r>
              <w:rPr>
                <w:rFonts w:ascii="宋体" w:hAnsi="宋体"/>
                <w:sz w:val="21"/>
                <w:szCs w:val="21"/>
              </w:rPr>
              <w:t>核心含义</w:t>
            </w:r>
          </w:p>
        </w:tc>
        <w:tc>
          <w:tcPr>
            <w:tcW w:w="0" w:type="auto"/>
            <w:tcBorders>
              <w:top w:val="single" w:color="auto" w:sz="18" w:space="0"/>
            </w:tcBorders>
            <w:tcMar>
              <w:top w:w="150" w:type="dxa"/>
              <w:left w:w="240" w:type="dxa"/>
              <w:bottom w:w="150" w:type="dxa"/>
              <w:right w:w="240" w:type="dxa"/>
            </w:tcMar>
            <w:vAlign w:val="center"/>
          </w:tcPr>
          <w:p w14:paraId="261E27A4">
            <w:pPr>
              <w:ind w:firstLine="0" w:firstLineChars="0"/>
              <w:jc w:val="center"/>
              <w:rPr>
                <w:rFonts w:hint="eastAsia" w:ascii="宋体" w:hAnsi="宋体"/>
                <w:sz w:val="21"/>
                <w:szCs w:val="21"/>
              </w:rPr>
            </w:pPr>
            <w:r>
              <w:rPr>
                <w:rFonts w:ascii="宋体" w:hAnsi="宋体"/>
                <w:sz w:val="21"/>
                <w:szCs w:val="21"/>
              </w:rPr>
              <w:t>数据支撑</w:t>
            </w:r>
          </w:p>
        </w:tc>
        <w:tc>
          <w:tcPr>
            <w:tcW w:w="0" w:type="auto"/>
            <w:tcBorders>
              <w:top w:val="single" w:color="auto" w:sz="18" w:space="0"/>
            </w:tcBorders>
            <w:tcMar>
              <w:top w:w="150" w:type="dxa"/>
              <w:left w:w="240" w:type="dxa"/>
              <w:bottom w:w="150" w:type="dxa"/>
              <w:right w:w="240" w:type="dxa"/>
            </w:tcMar>
            <w:vAlign w:val="center"/>
          </w:tcPr>
          <w:p w14:paraId="6DE39292">
            <w:pPr>
              <w:ind w:firstLine="0" w:firstLineChars="0"/>
              <w:jc w:val="center"/>
              <w:rPr>
                <w:rFonts w:hint="eastAsia" w:ascii="宋体" w:hAnsi="宋体"/>
                <w:sz w:val="21"/>
                <w:szCs w:val="21"/>
              </w:rPr>
            </w:pPr>
            <w:r>
              <w:rPr>
                <w:rFonts w:ascii="宋体" w:hAnsi="宋体"/>
                <w:sz w:val="21"/>
                <w:szCs w:val="21"/>
              </w:rPr>
              <w:t>传播表达</w:t>
            </w:r>
          </w:p>
        </w:tc>
      </w:tr>
      <w:tr w14:paraId="462B2E85">
        <w:tblPrEx>
          <w:tblCellMar>
            <w:top w:w="15" w:type="dxa"/>
            <w:left w:w="15" w:type="dxa"/>
            <w:bottom w:w="15" w:type="dxa"/>
            <w:right w:w="15" w:type="dxa"/>
          </w:tblCellMar>
        </w:tblPrEx>
        <w:tc>
          <w:tcPr>
            <w:tcW w:w="0" w:type="auto"/>
            <w:tcBorders>
              <w:top w:val="single" w:color="auto" w:sz="12" w:space="0"/>
            </w:tcBorders>
            <w:tcMar>
              <w:top w:w="150" w:type="dxa"/>
              <w:left w:w="0" w:type="dxa"/>
              <w:bottom w:w="150" w:type="dxa"/>
              <w:right w:w="240" w:type="dxa"/>
            </w:tcMar>
            <w:vAlign w:val="center"/>
          </w:tcPr>
          <w:p w14:paraId="5A6EF46A">
            <w:pPr>
              <w:ind w:firstLine="0" w:firstLineChars="0"/>
              <w:jc w:val="center"/>
              <w:rPr>
                <w:rFonts w:hint="eastAsia" w:ascii="宋体" w:hAnsi="宋体"/>
                <w:sz w:val="21"/>
                <w:szCs w:val="21"/>
              </w:rPr>
            </w:pPr>
            <w:r>
              <w:rPr>
                <w:rFonts w:ascii="宋体" w:hAnsi="宋体"/>
                <w:sz w:val="21"/>
                <w:szCs w:val="21"/>
              </w:rPr>
              <w:t>“京郊唯一”</w:t>
            </w:r>
          </w:p>
        </w:tc>
        <w:tc>
          <w:tcPr>
            <w:tcW w:w="0" w:type="auto"/>
            <w:tcBorders>
              <w:top w:val="single" w:color="auto" w:sz="12" w:space="0"/>
            </w:tcBorders>
            <w:tcMar>
              <w:top w:w="150" w:type="dxa"/>
              <w:left w:w="240" w:type="dxa"/>
              <w:bottom w:w="150" w:type="dxa"/>
              <w:right w:w="240" w:type="dxa"/>
            </w:tcMar>
            <w:vAlign w:val="center"/>
          </w:tcPr>
          <w:p w14:paraId="6DA35DDF">
            <w:pPr>
              <w:ind w:firstLine="0" w:firstLineChars="0"/>
              <w:jc w:val="center"/>
              <w:rPr>
                <w:rFonts w:hint="eastAsia" w:ascii="宋体" w:hAnsi="宋体"/>
                <w:sz w:val="21"/>
                <w:szCs w:val="21"/>
              </w:rPr>
            </w:pPr>
            <w:r>
              <w:rPr>
                <w:rFonts w:ascii="宋体" w:hAnsi="宋体"/>
                <w:sz w:val="21"/>
                <w:szCs w:val="21"/>
              </w:rPr>
              <w:t>不可复制性</w:t>
            </w:r>
          </w:p>
        </w:tc>
        <w:tc>
          <w:tcPr>
            <w:tcW w:w="0" w:type="auto"/>
            <w:tcBorders>
              <w:top w:val="single" w:color="auto" w:sz="12" w:space="0"/>
            </w:tcBorders>
            <w:tcMar>
              <w:top w:w="150" w:type="dxa"/>
              <w:left w:w="240" w:type="dxa"/>
              <w:bottom w:w="150" w:type="dxa"/>
              <w:right w:w="240" w:type="dxa"/>
            </w:tcMar>
            <w:vAlign w:val="center"/>
          </w:tcPr>
          <w:p w14:paraId="2F552C46">
            <w:pPr>
              <w:ind w:firstLine="0" w:firstLineChars="0"/>
              <w:jc w:val="center"/>
              <w:rPr>
                <w:rFonts w:hint="eastAsia" w:ascii="宋体" w:hAnsi="宋体"/>
                <w:sz w:val="21"/>
                <w:szCs w:val="21"/>
              </w:rPr>
            </w:pPr>
            <w:r>
              <w:rPr>
                <w:rFonts w:ascii="宋体" w:hAnsi="宋体"/>
                <w:sz w:val="21"/>
                <w:szCs w:val="21"/>
              </w:rPr>
              <w:t>全北京一级水源保护区内农旅村庄仅个位数，同时拥有骑行路线+樱桃园+水源地的仅此一处</w:t>
            </w:r>
          </w:p>
        </w:tc>
        <w:tc>
          <w:tcPr>
            <w:tcW w:w="0" w:type="auto"/>
            <w:tcBorders>
              <w:top w:val="single" w:color="auto" w:sz="12" w:space="0"/>
            </w:tcBorders>
            <w:tcMar>
              <w:top w:w="150" w:type="dxa"/>
              <w:left w:w="240" w:type="dxa"/>
              <w:bottom w:w="150" w:type="dxa"/>
              <w:right w:w="0" w:type="dxa"/>
            </w:tcMar>
            <w:vAlign w:val="center"/>
          </w:tcPr>
          <w:p w14:paraId="7190416F">
            <w:pPr>
              <w:ind w:firstLine="0" w:firstLineChars="0"/>
              <w:jc w:val="center"/>
              <w:rPr>
                <w:rFonts w:hint="eastAsia" w:ascii="宋体" w:hAnsi="宋体"/>
                <w:sz w:val="21"/>
                <w:szCs w:val="21"/>
              </w:rPr>
            </w:pPr>
            <w:r>
              <w:rPr>
                <w:rFonts w:ascii="宋体" w:hAnsi="宋体"/>
                <w:sz w:val="21"/>
                <w:szCs w:val="21"/>
              </w:rPr>
              <w:t>“全北京只有这里能……”</w:t>
            </w:r>
          </w:p>
        </w:tc>
      </w:tr>
      <w:tr w14:paraId="59DAD155">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1A46D13">
            <w:pPr>
              <w:ind w:firstLine="0" w:firstLineChars="0"/>
              <w:jc w:val="center"/>
              <w:rPr>
                <w:rFonts w:hint="eastAsia" w:ascii="宋体" w:hAnsi="宋体"/>
                <w:sz w:val="21"/>
                <w:szCs w:val="21"/>
              </w:rPr>
            </w:pPr>
            <w:r>
              <w:rPr>
                <w:rFonts w:ascii="宋体" w:hAnsi="宋体"/>
                <w:sz w:val="21"/>
                <w:szCs w:val="21"/>
              </w:rPr>
              <w:t>“水源地”</w:t>
            </w:r>
          </w:p>
        </w:tc>
        <w:tc>
          <w:tcPr>
            <w:tcW w:w="0" w:type="auto"/>
            <w:tcMar>
              <w:top w:w="150" w:type="dxa"/>
              <w:left w:w="240" w:type="dxa"/>
              <w:bottom w:w="150" w:type="dxa"/>
              <w:right w:w="240" w:type="dxa"/>
            </w:tcMar>
            <w:vAlign w:val="center"/>
          </w:tcPr>
          <w:p w14:paraId="1BF933B1">
            <w:pPr>
              <w:ind w:firstLine="0" w:firstLineChars="0"/>
              <w:jc w:val="center"/>
              <w:rPr>
                <w:rFonts w:hint="eastAsia" w:ascii="宋体" w:hAnsi="宋体"/>
                <w:sz w:val="21"/>
                <w:szCs w:val="21"/>
              </w:rPr>
            </w:pPr>
            <w:r>
              <w:rPr>
                <w:rFonts w:ascii="宋体" w:hAnsi="宋体"/>
                <w:sz w:val="21"/>
                <w:szCs w:val="21"/>
              </w:rPr>
              <w:t>品质最高背书</w:t>
            </w:r>
          </w:p>
        </w:tc>
        <w:tc>
          <w:tcPr>
            <w:tcW w:w="0" w:type="auto"/>
            <w:tcMar>
              <w:top w:w="150" w:type="dxa"/>
              <w:left w:w="240" w:type="dxa"/>
              <w:bottom w:w="150" w:type="dxa"/>
              <w:right w:w="240" w:type="dxa"/>
            </w:tcMar>
            <w:vAlign w:val="center"/>
          </w:tcPr>
          <w:p w14:paraId="4240D336">
            <w:pPr>
              <w:ind w:firstLine="0" w:firstLineChars="0"/>
              <w:jc w:val="center"/>
              <w:rPr>
                <w:rFonts w:hint="eastAsia" w:ascii="宋体" w:hAnsi="宋体"/>
                <w:sz w:val="21"/>
                <w:szCs w:val="21"/>
              </w:rPr>
            </w:pPr>
            <w:r>
              <w:rPr>
                <w:rFonts w:ascii="宋体" w:hAnsi="宋体"/>
                <w:sz w:val="21"/>
                <w:szCs w:val="21"/>
              </w:rPr>
              <w:t>71.5%消费者愿意为“水源地认证”支付20%以上溢价；产品概念OR=1.95为最强预测因子</w:t>
            </w:r>
          </w:p>
        </w:tc>
        <w:tc>
          <w:tcPr>
            <w:tcW w:w="0" w:type="auto"/>
            <w:tcMar>
              <w:top w:w="150" w:type="dxa"/>
              <w:left w:w="240" w:type="dxa"/>
              <w:bottom w:w="150" w:type="dxa"/>
              <w:right w:w="0" w:type="dxa"/>
            </w:tcMar>
            <w:vAlign w:val="center"/>
          </w:tcPr>
          <w:p w14:paraId="4BF38FA7">
            <w:pPr>
              <w:ind w:firstLine="0" w:firstLineChars="0"/>
              <w:jc w:val="center"/>
              <w:rPr>
                <w:rFonts w:hint="eastAsia" w:ascii="宋体" w:hAnsi="宋体"/>
                <w:sz w:val="21"/>
                <w:szCs w:val="21"/>
              </w:rPr>
            </w:pPr>
            <w:r>
              <w:rPr>
                <w:rFonts w:ascii="宋体" w:hAnsi="宋体"/>
                <w:sz w:val="21"/>
                <w:szCs w:val="21"/>
              </w:rPr>
              <w:t>“喝一级水长大的樱桃”</w:t>
            </w:r>
          </w:p>
        </w:tc>
      </w:tr>
      <w:tr w14:paraId="510BA812">
        <w:tblPrEx>
          <w:tblCellMar>
            <w:top w:w="15" w:type="dxa"/>
            <w:left w:w="15" w:type="dxa"/>
            <w:bottom w:w="15" w:type="dxa"/>
            <w:right w:w="15" w:type="dxa"/>
          </w:tblCellMar>
        </w:tblPrEx>
        <w:tc>
          <w:tcPr>
            <w:tcW w:w="0" w:type="auto"/>
            <w:tcBorders>
              <w:bottom w:val="single" w:color="auto" w:sz="18" w:space="0"/>
            </w:tcBorders>
            <w:tcMar>
              <w:top w:w="150" w:type="dxa"/>
              <w:left w:w="0" w:type="dxa"/>
              <w:bottom w:w="150" w:type="dxa"/>
              <w:right w:w="240" w:type="dxa"/>
            </w:tcMar>
            <w:vAlign w:val="center"/>
          </w:tcPr>
          <w:p w14:paraId="3A9D97A6">
            <w:pPr>
              <w:ind w:firstLine="0" w:firstLineChars="0"/>
              <w:jc w:val="center"/>
              <w:rPr>
                <w:rFonts w:hint="eastAsia" w:ascii="宋体" w:hAnsi="宋体"/>
                <w:sz w:val="21"/>
                <w:szCs w:val="21"/>
              </w:rPr>
            </w:pPr>
            <w:r>
              <w:rPr>
                <w:rFonts w:ascii="宋体" w:hAnsi="宋体"/>
                <w:sz w:val="21"/>
                <w:szCs w:val="21"/>
              </w:rPr>
              <w:t>“骑行樱桃”</w:t>
            </w:r>
          </w:p>
        </w:tc>
        <w:tc>
          <w:tcPr>
            <w:tcW w:w="0" w:type="auto"/>
            <w:tcBorders>
              <w:bottom w:val="single" w:color="auto" w:sz="18" w:space="0"/>
            </w:tcBorders>
            <w:tcMar>
              <w:top w:w="150" w:type="dxa"/>
              <w:left w:w="240" w:type="dxa"/>
              <w:bottom w:w="150" w:type="dxa"/>
              <w:right w:w="240" w:type="dxa"/>
            </w:tcMar>
            <w:vAlign w:val="center"/>
          </w:tcPr>
          <w:p w14:paraId="4ACF991D">
            <w:pPr>
              <w:ind w:firstLine="0" w:firstLineChars="0"/>
              <w:jc w:val="center"/>
              <w:rPr>
                <w:rFonts w:hint="eastAsia" w:ascii="宋体" w:hAnsi="宋体"/>
                <w:sz w:val="21"/>
                <w:szCs w:val="21"/>
              </w:rPr>
            </w:pPr>
            <w:r>
              <w:rPr>
                <w:rFonts w:ascii="宋体" w:hAnsi="宋体"/>
                <w:sz w:val="21"/>
                <w:szCs w:val="21"/>
              </w:rPr>
              <w:t>融合体验定位</w:t>
            </w:r>
          </w:p>
        </w:tc>
        <w:tc>
          <w:tcPr>
            <w:tcW w:w="0" w:type="auto"/>
            <w:tcBorders>
              <w:bottom w:val="single" w:color="auto" w:sz="18" w:space="0"/>
            </w:tcBorders>
            <w:tcMar>
              <w:top w:w="150" w:type="dxa"/>
              <w:left w:w="240" w:type="dxa"/>
              <w:bottom w:w="150" w:type="dxa"/>
              <w:right w:w="240" w:type="dxa"/>
            </w:tcMar>
            <w:vAlign w:val="center"/>
          </w:tcPr>
          <w:p w14:paraId="1931D743">
            <w:pPr>
              <w:ind w:firstLine="0" w:firstLineChars="0"/>
              <w:jc w:val="center"/>
              <w:rPr>
                <w:rFonts w:hint="eastAsia" w:ascii="宋体" w:hAnsi="宋体"/>
                <w:sz w:val="21"/>
                <w:szCs w:val="21"/>
              </w:rPr>
            </w:pPr>
            <w:r>
              <w:rPr>
                <w:rFonts w:ascii="宋体" w:hAnsi="宋体"/>
                <w:sz w:val="21"/>
                <w:szCs w:val="21"/>
              </w:rPr>
              <w:t>核心客群骑行兴趣均值4.12，46.7%高骑行兴趣者存在31.2%未转化空间</w:t>
            </w:r>
          </w:p>
        </w:tc>
        <w:tc>
          <w:tcPr>
            <w:tcW w:w="0" w:type="auto"/>
            <w:tcBorders>
              <w:bottom w:val="single" w:color="auto" w:sz="18" w:space="0"/>
            </w:tcBorders>
            <w:tcMar>
              <w:top w:w="150" w:type="dxa"/>
              <w:left w:w="240" w:type="dxa"/>
              <w:bottom w:w="150" w:type="dxa"/>
              <w:right w:w="0" w:type="dxa"/>
            </w:tcMar>
            <w:vAlign w:val="center"/>
          </w:tcPr>
          <w:p w14:paraId="281BE422">
            <w:pPr>
              <w:ind w:firstLine="0" w:firstLineChars="0"/>
              <w:jc w:val="center"/>
              <w:rPr>
                <w:rFonts w:hint="eastAsia" w:ascii="宋体" w:hAnsi="宋体"/>
                <w:sz w:val="21"/>
                <w:szCs w:val="21"/>
              </w:rPr>
            </w:pPr>
            <w:r>
              <w:rPr>
                <w:rFonts w:ascii="宋体" w:hAnsi="宋体"/>
                <w:sz w:val="21"/>
                <w:szCs w:val="21"/>
              </w:rPr>
              <w:t>“最美骑行终点是樱桃园”</w:t>
            </w:r>
          </w:p>
        </w:tc>
      </w:tr>
    </w:tbl>
    <w:p w14:paraId="67B82F34">
      <w:pPr>
        <w:pStyle w:val="7"/>
      </w:pPr>
      <w:r>
        <w:rPr>
          <w:rFonts w:hint="eastAsia" w:ascii="宋体" w:hAnsi="宋体"/>
          <w:sz w:val="21"/>
          <w:szCs w:val="21"/>
        </w:rPr>
        <w:t>本</w:t>
      </w:r>
      <w:r>
        <w:rPr>
          <w:rFonts w:ascii="宋体" w:hAnsi="宋体"/>
          <w:sz w:val="21"/>
          <w:szCs w:val="21"/>
        </w:rPr>
        <w:t>定位策略的内在逻辑是：以</w:t>
      </w:r>
      <w:r>
        <w:rPr>
          <w:rFonts w:ascii="宋体" w:hAnsi="宋体"/>
          <w:b/>
          <w:bCs/>
          <w:sz w:val="21"/>
          <w:szCs w:val="21"/>
        </w:rPr>
        <w:t>不可复制的生态壁垒</w:t>
      </w:r>
      <w:r>
        <w:rPr>
          <w:rFonts w:ascii="宋体" w:hAnsi="宋体"/>
          <w:sz w:val="21"/>
          <w:szCs w:val="21"/>
        </w:rPr>
        <w:t>建立品质信任，以骑行场景实现低成本精准引流，以认养产品完成流量到收入的闭环转化。聚类模型显示</w:t>
      </w:r>
      <w:r>
        <w:rPr>
          <w:rFonts w:ascii="宋体" w:hAnsi="宋体"/>
          <w:b/>
          <w:bCs/>
          <w:sz w:val="21"/>
          <w:szCs w:val="21"/>
        </w:rPr>
        <w:t>核心客群占比达57.5%</w:t>
      </w:r>
      <w:r>
        <w:rPr>
          <w:rFonts w:ascii="宋体" w:hAnsi="宋体"/>
          <w:sz w:val="21"/>
          <w:szCs w:val="21"/>
        </w:rPr>
        <w:t>，市场规模足以支撑项目初期运营与中期扩张；Logistic模型揭示的OR值排序则指明了“</w:t>
      </w:r>
      <w:r>
        <w:rPr>
          <w:rFonts w:ascii="宋体" w:hAnsi="宋体"/>
          <w:b/>
          <w:bCs/>
          <w:sz w:val="21"/>
          <w:szCs w:val="21"/>
        </w:rPr>
        <w:t>先做概念教育、再做流量转化”</w:t>
      </w:r>
      <w:r>
        <w:rPr>
          <w:rFonts w:ascii="宋体" w:hAnsi="宋体"/>
          <w:sz w:val="21"/>
          <w:szCs w:val="21"/>
        </w:rPr>
        <w:t>的营销优先级。这一数据驱动的STP分析，使项目定位从经验判断升级为可量化、可验证的战略决策，也为第五章品牌价值体系与第六章骑行流量体系的设计提供了精确的客群画像与转化路径参考。</w:t>
      </w:r>
      <w:r>
        <w:rPr>
          <w:rFonts w:hint="eastAsia"/>
        </w:rPr>
        <w:br w:type="column"/>
      </w:r>
    </w:p>
    <w:p w14:paraId="1DA4649B">
      <w:pPr>
        <w:pStyle w:val="2"/>
        <w:bidi w:val="0"/>
        <w:rPr>
          <w:lang w:val="en-US" w:eastAsia="zh-CN"/>
        </w:rPr>
      </w:pPr>
      <w:bookmarkStart w:id="66" w:name="_Toc25462"/>
      <w:r>
        <w:rPr>
          <w:rFonts w:hint="eastAsia"/>
          <w:lang w:val="en-US" w:eastAsia="zh-CN"/>
        </w:rPr>
        <w:t xml:space="preserve">第四章 </w:t>
      </w:r>
      <w:r>
        <w:rPr>
          <w:lang w:val="en-US" w:eastAsia="zh-CN"/>
        </w:rPr>
        <w:t>总体战略框架与目标体</w:t>
      </w:r>
      <w:r>
        <w:rPr>
          <w:rFonts w:hint="eastAsia"/>
          <w:lang w:val="en-US" w:eastAsia="zh-CN"/>
        </w:rPr>
        <w:t>系</w:t>
      </w:r>
      <w:bookmarkEnd w:id="66"/>
    </w:p>
    <w:p w14:paraId="5F0BF2F9">
      <w:pPr>
        <w:pStyle w:val="3"/>
        <w:bidi w:val="0"/>
        <w:rPr>
          <w:rFonts w:hint="eastAsia"/>
          <w:lang w:val="en-US" w:eastAsia="zh-CN"/>
        </w:rPr>
      </w:pPr>
      <w:bookmarkStart w:id="67" w:name="_Toc7657"/>
      <w:r>
        <w:rPr>
          <w:rFonts w:hint="eastAsia"/>
          <w:lang w:val="en-US" w:eastAsia="zh-CN"/>
        </w:rPr>
        <w:t>4.1 战略定位</w:t>
      </w:r>
      <w:bookmarkEnd w:id="67"/>
    </w:p>
    <w:p w14:paraId="4AB2153C">
      <w:pPr>
        <w:spacing w:before="120" w:after="120" w:line="288" w:lineRule="auto"/>
        <w:ind w:left="0" w:firstLine="440" w:firstLineChars="200"/>
        <w:jc w:val="left"/>
        <w:rPr>
          <w:rFonts w:ascii="Arial" w:hAnsi="Arial" w:eastAsia="等线" w:cs="Arial"/>
          <w:sz w:val="22"/>
        </w:rPr>
      </w:pPr>
      <w:r>
        <w:rPr>
          <w:rFonts w:hint="eastAsia"/>
        </w:rPr>
        <w:t>杨家东庄村地处怀柔水库一级水源保护区，生态约束明确、资源禀赋独特，项目以生态价值转化为核心逻辑，确立村庄战略定位为</w:t>
      </w:r>
      <w:r>
        <w:rPr>
          <w:rFonts w:hint="eastAsia"/>
          <w:b/>
          <w:bCs/>
          <w:highlight w:val="yellow"/>
        </w:rPr>
        <w:t>水源保护区生态价值转化先行村</w:t>
      </w:r>
      <w:r>
        <w:rPr>
          <w:rFonts w:hint="eastAsia"/>
          <w:highlight w:val="yellow"/>
        </w:rPr>
        <w:t>、</w:t>
      </w:r>
      <w:r>
        <w:rPr>
          <w:rFonts w:hint="eastAsia"/>
          <w:b/>
          <w:bCs/>
          <w:highlight w:val="yellow"/>
        </w:rPr>
        <w:t>京郊健康生活方式标杆目的地</w:t>
      </w:r>
      <w:r>
        <w:rPr>
          <w:rFonts w:hint="eastAsia"/>
        </w:rPr>
        <w:t>。项目坚守生态保护底线，以樱桃产业为基础支撑，以骑行体系为流量入口，以数字化平台为运营底座，将政策约束转化为品质背书与品牌护城河，推动村庄从单一樱桃采摘的季节性经济薄弱村，向集</w:t>
      </w:r>
      <w:r>
        <w:rPr>
          <w:rFonts w:hint="eastAsia"/>
          <w:b/>
          <w:bCs/>
        </w:rPr>
        <w:t>生态农业、休闲运动、科普研学、轻度假</w:t>
      </w:r>
      <w:r>
        <w:rPr>
          <w:rFonts w:hint="eastAsia"/>
        </w:rPr>
        <w:t>于一体的复合型乡村文旅目的地转型，实现产业增效、村民增收、村庄增值的可持续发展。</w:t>
      </w:r>
    </w:p>
    <w:p w14:paraId="24DF8008">
      <w:pPr>
        <w:pStyle w:val="3"/>
        <w:bidi w:val="0"/>
        <w:rPr>
          <w:rFonts w:hint="eastAsia"/>
          <w:lang w:val="en-US" w:eastAsia="zh-CN"/>
        </w:rPr>
      </w:pPr>
      <w:bookmarkStart w:id="68" w:name="_Toc20525"/>
      <w:r>
        <w:rPr>
          <w:rFonts w:hint="eastAsia"/>
          <w:lang w:val="en-US" w:eastAsia="zh-CN"/>
        </w:rPr>
        <w:t>4.2 战略框架：“一核两翼三引擎四季轮”</w:t>
      </w:r>
      <w:bookmarkEnd w:id="68"/>
    </w:p>
    <w:p w14:paraId="0399211B">
      <w:pPr>
        <w:bidi w:val="0"/>
        <w:rPr>
          <w:rFonts w:hint="eastAsia"/>
        </w:rPr>
      </w:pPr>
      <w:r>
        <w:rPr>
          <w:rFonts w:hint="eastAsia"/>
        </w:rPr>
        <w:t>基于村庄资源禀赋与发展瓶颈，构建一核两翼三引擎四季轮总体战略框架，以系统化、可落地、可持续思路统筹项目实施。</w:t>
      </w:r>
    </w:p>
    <w:p w14:paraId="19445DEB">
      <w:pPr>
        <w:bidi w:val="0"/>
        <w:rPr>
          <w:rFonts w:hint="eastAsia"/>
        </w:rPr>
      </w:pPr>
      <w:r>
        <w:rPr>
          <w:rFonts w:hint="eastAsia"/>
        </w:rPr>
        <w:t>一核：生态安全核心</w:t>
      </w:r>
      <w:r>
        <w:rPr>
          <w:rFonts w:hint="eastAsia"/>
          <w:lang w:eastAsia="zh-CN"/>
        </w:rPr>
        <w:t>。</w:t>
      </w:r>
      <w:r>
        <w:rPr>
          <w:rFonts w:hint="eastAsia"/>
        </w:rPr>
        <w:t>以生态安全为发展根基，严格遵守一级水源保护区管控要求，坚持不新增永久性建筑、不设置排污口、不开展污染性活动，以低扰动、轻投入、可循环为原则开展经营。将生态底线转化为品牌稀缺性与市场竞争力，形成生态保护与产业发展互促共进的良性循环。</w:t>
      </w:r>
    </w:p>
    <w:p w14:paraId="287DD748">
      <w:pPr>
        <w:bidi w:val="0"/>
        <w:rPr>
          <w:rFonts w:hint="eastAsia"/>
        </w:rPr>
      </w:pPr>
      <w:r>
        <w:rPr>
          <w:rFonts w:hint="eastAsia"/>
        </w:rPr>
        <w:t>两翼：双核心增长极</w:t>
      </w:r>
      <w:r>
        <w:rPr>
          <w:rFonts w:hint="eastAsia"/>
          <w:lang w:eastAsia="zh-CN"/>
        </w:rPr>
        <w:t>。</w:t>
      </w:r>
      <w:r>
        <w:rPr>
          <w:rFonts w:hint="eastAsia"/>
        </w:rPr>
        <w:t>一是樱桃品牌价值升级。以“樱有尽有”品牌为基础，推动从产品品牌向产地公共品牌、从静态标识向动态运营品牌升级，构建产品分级、数字溯源、认养计划、全渠道营销一体化体系，提升产品溢价、降低滞销风险、稳定产业收益。二是环库骑行流量体系。依托6.8公里环库步道，打造分级路线、打卡节点、智能导览、社交激励一体化引流系统，以合规骑行稳定导入客流，串联村内核心资源，破解客流不足、分布分散、停留短暂等问题。</w:t>
      </w:r>
    </w:p>
    <w:p w14:paraId="6FEA5380">
      <w:pPr>
        <w:bidi w:val="0"/>
        <w:rPr>
          <w:rFonts w:hint="eastAsia"/>
        </w:rPr>
      </w:pPr>
      <w:r>
        <w:rPr>
          <w:rFonts w:hint="eastAsia"/>
        </w:rPr>
        <w:t>三引擎：战略落地驱动力</w:t>
      </w:r>
      <w:r>
        <w:rPr>
          <w:rFonts w:hint="eastAsia"/>
          <w:lang w:eastAsia="zh-CN"/>
        </w:rPr>
        <w:t>。</w:t>
      </w:r>
      <w:r>
        <w:rPr>
          <w:rFonts w:hint="eastAsia"/>
        </w:rPr>
        <w:t>内容引擎：通过短视频、图文、社群、KOL合作构建传播矩阵，实现线上种草、线下引流。体验引擎：以场景化、套餐化、课程化产品延长停留时长，提升客单价与复购率。数据引擎：以数字化平台采集客流、消费、用户画像等数据，反哺路线优化、产品供给、活动策划与定价，实现精准运营。</w:t>
      </w:r>
    </w:p>
    <w:p w14:paraId="7F380BC2">
      <w:pPr>
        <w:bidi w:val="0"/>
        <w:rPr>
          <w:rFonts w:hint="eastAsia"/>
        </w:rPr>
      </w:pPr>
      <w:r>
        <w:rPr>
          <w:rFonts w:hint="eastAsia"/>
        </w:rPr>
        <w:t>四季轮：全年产品体系</w:t>
      </w:r>
      <w:r>
        <w:rPr>
          <w:rFonts w:hint="eastAsia"/>
          <w:lang w:eastAsia="zh-CN"/>
        </w:rPr>
        <w:t>。</w:t>
      </w:r>
      <w:r>
        <w:rPr>
          <w:rFonts w:hint="eastAsia"/>
        </w:rPr>
        <w:t>以季节为轴线，构建四季常态化产品与活动体系，破解季节依赖强、淡旺季失衡问题。春季以“樱花预见”为主题，开展预热引流、认养发售、骑行开季活动；夏季以“樱桃盛宴”为主题，依托采摘与骑行高峰实现核心营收；秋季以“丰收东庄”为主题，承接节庆客流，开展团建与农事体验；冬季以“暖冬东庄”为主题，推出民宿、围炉、冬令营与年货产品，激活淡季市场。</w:t>
      </w:r>
    </w:p>
    <w:p w14:paraId="2ABB9DE7">
      <w:pPr>
        <w:bidi w:val="0"/>
      </w:pPr>
      <w:r>
        <w:drawing>
          <wp:inline distT="0" distB="0" distL="114300" distR="114300">
            <wp:extent cx="4062730" cy="2283460"/>
            <wp:effectExtent l="0" t="0" r="6350" b="254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27"/>
                    <a:stretch>
                      <a:fillRect/>
                    </a:stretch>
                  </pic:blipFill>
                  <pic:spPr>
                    <a:xfrm>
                      <a:off x="0" y="0"/>
                      <a:ext cx="4062730" cy="2283460"/>
                    </a:xfrm>
                    <a:prstGeom prst="rect">
                      <a:avLst/>
                    </a:prstGeom>
                    <a:noFill/>
                    <a:ln>
                      <a:noFill/>
                    </a:ln>
                  </pic:spPr>
                </pic:pic>
              </a:graphicData>
            </a:graphic>
          </wp:inline>
        </w:drawing>
      </w:r>
    </w:p>
    <w:p w14:paraId="4745E274">
      <w:pPr>
        <w:bidi w:val="0"/>
        <w:rPr>
          <w:rFonts w:hint="eastAsia"/>
        </w:rPr>
      </w:pPr>
      <w:r>
        <w:rPr>
          <w:rFonts w:hint="eastAsia"/>
          <w:lang w:val="en-US" w:eastAsia="zh-CN"/>
        </w:rPr>
        <w:t>图4-1 一核两翼三引擎四季轮</w:t>
      </w:r>
    </w:p>
    <w:p w14:paraId="1DA13330">
      <w:pPr>
        <w:pStyle w:val="3"/>
        <w:bidi w:val="0"/>
        <w:rPr>
          <w:rFonts w:hint="eastAsia"/>
          <w:lang w:val="en-US" w:eastAsia="zh-CN"/>
        </w:rPr>
      </w:pPr>
      <w:bookmarkStart w:id="69" w:name="_Toc28600"/>
      <w:r>
        <w:rPr>
          <w:rFonts w:hint="eastAsia"/>
          <w:lang w:val="en-US" w:eastAsia="zh-CN"/>
        </w:rPr>
        <w:t>4.3 品牌×骑行深度融合</w:t>
      </w:r>
      <w:bookmarkEnd w:id="69"/>
    </w:p>
    <w:p w14:paraId="729D99A9">
      <w:pPr>
        <w:numPr>
          <w:ilvl w:val="0"/>
          <w:numId w:val="0"/>
        </w:numPr>
        <w:spacing w:before="120" w:after="120" w:line="288" w:lineRule="auto"/>
        <w:ind w:firstLine="440" w:firstLineChars="200"/>
        <w:jc w:val="left"/>
      </w:pPr>
      <w:r>
        <w:rPr>
          <w:rFonts w:hint="eastAsia"/>
        </w:rPr>
        <w:t>品牌与骑行</w:t>
      </w:r>
      <w:r>
        <w:rPr>
          <w:rFonts w:hint="eastAsia"/>
          <w:lang w:eastAsia="zh-CN"/>
        </w:rPr>
        <w:t>通</w:t>
      </w:r>
      <w:r>
        <w:rPr>
          <w:rFonts w:hint="eastAsia"/>
        </w:rPr>
        <w:t>过视觉、传播、积分、产品四维深度融合，形成一体化的品牌体验与运营体系。视觉层面，</w:t>
      </w:r>
      <w:r>
        <w:rPr>
          <w:rFonts w:hint="eastAsia"/>
          <w:b/>
          <w:bCs/>
          <w:highlight w:val="yellow"/>
        </w:rPr>
        <w:t>品牌IP形象</w:t>
      </w:r>
      <w:r>
        <w:rPr>
          <w:rFonts w:hint="eastAsia"/>
          <w:highlight w:val="yellow"/>
        </w:rPr>
        <w:t>融入骑行元素</w:t>
      </w:r>
      <w:r>
        <w:rPr>
          <w:rFonts w:hint="eastAsia"/>
        </w:rPr>
        <w:t>，骑行路线</w:t>
      </w:r>
      <w:r>
        <w:rPr>
          <w:rFonts w:hint="eastAsia"/>
          <w:highlight w:val="yellow"/>
        </w:rPr>
        <w:t>标识</w:t>
      </w:r>
      <w:r>
        <w:rPr>
          <w:rFonts w:hint="eastAsia"/>
        </w:rPr>
        <w:t>、打卡</w:t>
      </w:r>
      <w:r>
        <w:rPr>
          <w:rFonts w:hint="eastAsia"/>
          <w:highlight w:val="yellow"/>
        </w:rPr>
        <w:t>装置</w:t>
      </w:r>
      <w:r>
        <w:rPr>
          <w:rFonts w:hint="eastAsia"/>
        </w:rPr>
        <w:t>、包装</w:t>
      </w:r>
      <w:r>
        <w:rPr>
          <w:rFonts w:hint="eastAsia"/>
          <w:highlight w:val="yellow"/>
        </w:rPr>
        <w:t>物料</w:t>
      </w:r>
      <w:r>
        <w:rPr>
          <w:rFonts w:hint="eastAsia"/>
        </w:rPr>
        <w:t>、</w:t>
      </w:r>
      <w:r>
        <w:rPr>
          <w:rFonts w:hint="eastAsia"/>
          <w:highlight w:val="yellow"/>
        </w:rPr>
        <w:t>文创</w:t>
      </w:r>
      <w:r>
        <w:rPr>
          <w:rFonts w:hint="eastAsia"/>
        </w:rPr>
        <w:t>产品统一品牌视觉系统，强化专属识别与场景一致性。传播层面，</w:t>
      </w:r>
      <w:r>
        <w:rPr>
          <w:rFonts w:hint="eastAsia"/>
          <w:b/>
          <w:bCs/>
          <w:highlight w:val="yellow"/>
        </w:rPr>
        <w:t>品牌口号</w:t>
      </w:r>
      <w:r>
        <w:rPr>
          <w:rFonts w:hint="eastAsia"/>
        </w:rPr>
        <w:t>绑定骑行场景，</w:t>
      </w:r>
      <w:r>
        <w:rPr>
          <w:rFonts w:hint="eastAsia"/>
          <w:highlight w:val="yellow"/>
        </w:rPr>
        <w:t>骑行社交海报</w:t>
      </w:r>
      <w:r>
        <w:rPr>
          <w:rFonts w:hint="eastAsia"/>
        </w:rPr>
        <w:t>自动植入品牌水印，实现骑行传播与品牌推广同步发生。积分层面，</w:t>
      </w:r>
      <w:r>
        <w:rPr>
          <w:rFonts w:hint="eastAsia"/>
          <w:highlight w:val="yellow"/>
        </w:rPr>
        <w:t>骑行</w:t>
      </w:r>
      <w:r>
        <w:rPr>
          <w:rFonts w:hint="eastAsia"/>
          <w:b/>
          <w:bCs/>
          <w:highlight w:val="yellow"/>
        </w:rPr>
        <w:t>打卡积分</w:t>
      </w:r>
      <w:r>
        <w:rPr>
          <w:rFonts w:hint="eastAsia"/>
          <w:b/>
          <w:bCs/>
        </w:rPr>
        <w:t>、消费积分、认养积分</w:t>
      </w:r>
      <w:r>
        <w:rPr>
          <w:rFonts w:hint="eastAsia"/>
        </w:rPr>
        <w:t>互通互兑，统一用户体系与权益规则，提升用户粘性与参与积极性。产品层面，</w:t>
      </w:r>
      <w:r>
        <w:rPr>
          <w:rFonts w:hint="eastAsia"/>
          <w:b/>
          <w:bCs/>
          <w:highlight w:val="yellow"/>
        </w:rPr>
        <w:t>骑行套餐</w:t>
      </w:r>
      <w:r>
        <w:rPr>
          <w:rFonts w:hint="eastAsia"/>
        </w:rPr>
        <w:t>嵌入采摘与体验项目，樱桃礼盒配套骑行路线卡，骑行完赛奖牌采用樱桃造型，驿站同步销售品牌农产品，实现流量导入与消费转化无缝衔接。</w:t>
      </w:r>
    </w:p>
    <w:p w14:paraId="15A4E6C4">
      <w:pPr>
        <w:pStyle w:val="3"/>
        <w:bidi w:val="0"/>
        <w:rPr>
          <w:rFonts w:hint="eastAsia"/>
          <w:lang w:val="en-US" w:eastAsia="zh-CN"/>
        </w:rPr>
      </w:pPr>
      <w:bookmarkStart w:id="70" w:name="_Toc7293"/>
      <w:r>
        <w:rPr>
          <w:rFonts w:hint="eastAsia"/>
          <w:lang w:val="en-US" w:eastAsia="zh-CN"/>
        </w:rPr>
        <w:t>4.4 商业模式画布</w:t>
      </w:r>
      <w:bookmarkEnd w:id="70"/>
    </w:p>
    <w:p w14:paraId="4DDF0F51">
      <w:pPr>
        <w:numPr>
          <w:ilvl w:val="0"/>
          <w:numId w:val="0"/>
        </w:numPr>
        <w:spacing w:before="120" w:after="120" w:line="288" w:lineRule="auto"/>
        <w:ind w:firstLine="440" w:firstLineChars="200"/>
        <w:jc w:val="left"/>
        <w:rPr>
          <w:rFonts w:hint="eastAsia"/>
        </w:rPr>
      </w:pPr>
      <w:r>
        <w:rPr>
          <w:rFonts w:hint="eastAsia"/>
          <w:lang w:eastAsia="zh-CN"/>
        </w:rPr>
        <w:t xml:space="preserve">  </w:t>
      </w:r>
      <w:r>
        <w:rPr>
          <w:rFonts w:hint="eastAsia"/>
        </w:rPr>
        <w:t>本项目采用轻资产、重运营、数据驱动的商业模式，以</w:t>
      </w:r>
      <w:r>
        <w:rPr>
          <w:rFonts w:hint="eastAsia"/>
          <w:b/>
          <w:bCs/>
        </w:rPr>
        <w:t>最小投入激活存量资源</w:t>
      </w:r>
      <w:r>
        <w:rPr>
          <w:rFonts w:hint="eastAsia"/>
        </w:rPr>
        <w:t>，构建稳定可复制的盈利结构。</w:t>
      </w:r>
    </w:p>
    <w:p w14:paraId="239271FE">
      <w:pPr>
        <w:numPr>
          <w:ilvl w:val="0"/>
          <w:numId w:val="0"/>
        </w:numPr>
        <w:spacing w:before="120" w:after="120" w:line="288" w:lineRule="auto"/>
        <w:ind w:firstLine="442" w:firstLineChars="200"/>
        <w:jc w:val="center"/>
        <w:rPr>
          <w:rFonts w:hint="default" w:eastAsia="宋体"/>
          <w:b/>
          <w:bCs/>
          <w:lang w:val="en-US" w:eastAsia="zh-CN"/>
        </w:rPr>
      </w:pPr>
      <w:r>
        <w:rPr>
          <w:rFonts w:hint="eastAsia"/>
          <w:b/>
          <w:bCs/>
          <w:lang w:val="en-US" w:eastAsia="zh-CN"/>
        </w:rPr>
        <w:t>表4-1 商业模式画布</w:t>
      </w:r>
    </w:p>
    <w:tbl>
      <w:tblPr>
        <w:tblStyle w:val="14"/>
        <w:tblW w:w="9078" w:type="dxa"/>
        <w:tblInd w:w="0" w:type="dxa"/>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fixed"/>
        <w:tblCellMar>
          <w:top w:w="0" w:type="dxa"/>
          <w:left w:w="108" w:type="dxa"/>
          <w:bottom w:w="0" w:type="dxa"/>
          <w:right w:w="108" w:type="dxa"/>
        </w:tblCellMar>
      </w:tblPr>
      <w:tblGrid>
        <w:gridCol w:w="1140"/>
        <w:gridCol w:w="7938"/>
      </w:tblGrid>
      <w:tr w14:paraId="7DB0481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8" w:type="dxa"/>
            <w:bottom w:w="0" w:type="dxa"/>
            <w:right w:w="108" w:type="dxa"/>
          </w:tblCellMar>
        </w:tblPrEx>
        <w:tc>
          <w:tcPr>
            <w:tcW w:w="1140" w:type="dxa"/>
            <w:tcBorders>
              <w:top w:val="single" w:color="auto" w:sz="12" w:space="0"/>
              <w:left w:val="nil"/>
              <w:bottom w:val="nil"/>
              <w:right w:val="nil"/>
            </w:tcBorders>
            <w:noWrap w:val="0"/>
            <w:tcMar>
              <w:top w:w="60" w:type="dxa"/>
              <w:left w:w="120" w:type="dxa"/>
              <w:bottom w:w="30" w:type="dxa"/>
              <w:right w:w="120" w:type="dxa"/>
            </w:tcMar>
            <w:vAlign w:val="top"/>
          </w:tcPr>
          <w:p w14:paraId="065E026F">
            <w:pPr>
              <w:numPr>
                <w:ilvl w:val="0"/>
                <w:numId w:val="0"/>
              </w:numPr>
              <w:spacing w:before="120" w:after="120" w:line="288" w:lineRule="auto"/>
              <w:jc w:val="center"/>
              <w:rPr>
                <w:rFonts w:hint="eastAsia"/>
              </w:rPr>
            </w:pPr>
            <w:r>
              <w:rPr>
                <w:rFonts w:hint="eastAsia"/>
              </w:rPr>
              <w:t>模块</w:t>
            </w:r>
          </w:p>
        </w:tc>
        <w:tc>
          <w:tcPr>
            <w:tcW w:w="7938" w:type="dxa"/>
            <w:tcBorders>
              <w:top w:val="single" w:color="auto" w:sz="12" w:space="0"/>
              <w:left w:val="nil"/>
              <w:bottom w:val="nil"/>
              <w:right w:val="nil"/>
            </w:tcBorders>
            <w:noWrap w:val="0"/>
            <w:tcMar>
              <w:top w:w="60" w:type="dxa"/>
              <w:left w:w="120" w:type="dxa"/>
              <w:bottom w:w="30" w:type="dxa"/>
              <w:right w:w="120" w:type="dxa"/>
            </w:tcMar>
            <w:vAlign w:val="top"/>
          </w:tcPr>
          <w:p w14:paraId="6FDA789A">
            <w:pPr>
              <w:numPr>
                <w:ilvl w:val="0"/>
                <w:numId w:val="0"/>
              </w:numPr>
              <w:spacing w:before="120" w:after="120" w:line="288" w:lineRule="auto"/>
              <w:ind w:firstLine="440" w:firstLineChars="200"/>
              <w:jc w:val="center"/>
              <w:rPr>
                <w:rFonts w:hint="eastAsia"/>
              </w:rPr>
            </w:pPr>
            <w:r>
              <w:rPr>
                <w:rFonts w:hint="eastAsia"/>
              </w:rPr>
              <w:t>内容</w:t>
            </w:r>
          </w:p>
        </w:tc>
      </w:tr>
      <w:tr w14:paraId="54A17A0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8" w:type="dxa"/>
            <w:bottom w:w="0" w:type="dxa"/>
            <w:right w:w="108" w:type="dxa"/>
          </w:tblCellMar>
        </w:tblPrEx>
        <w:tc>
          <w:tcPr>
            <w:tcW w:w="1140" w:type="dxa"/>
            <w:tcBorders>
              <w:top w:val="single" w:color="auto" w:sz="4" w:space="0"/>
              <w:left w:val="nil"/>
              <w:bottom w:val="nil"/>
              <w:right w:val="nil"/>
            </w:tcBorders>
            <w:noWrap w:val="0"/>
            <w:tcMar>
              <w:top w:w="60" w:type="dxa"/>
              <w:left w:w="120" w:type="dxa"/>
              <w:bottom w:w="30" w:type="dxa"/>
              <w:right w:w="120" w:type="dxa"/>
            </w:tcMar>
            <w:vAlign w:val="top"/>
          </w:tcPr>
          <w:p w14:paraId="7D48CD66">
            <w:pPr>
              <w:numPr>
                <w:ilvl w:val="0"/>
                <w:numId w:val="0"/>
              </w:numPr>
              <w:spacing w:before="120" w:after="120" w:line="288" w:lineRule="auto"/>
              <w:jc w:val="left"/>
              <w:rPr>
                <w:rFonts w:hint="eastAsia"/>
              </w:rPr>
            </w:pPr>
            <w:r>
              <w:rPr>
                <w:rFonts w:hint="eastAsia"/>
              </w:rPr>
              <w:t>客户细分</w:t>
            </w:r>
          </w:p>
        </w:tc>
        <w:tc>
          <w:tcPr>
            <w:tcW w:w="7938" w:type="dxa"/>
            <w:tcBorders>
              <w:top w:val="single" w:color="auto" w:sz="4" w:space="0"/>
              <w:left w:val="nil"/>
              <w:bottom w:val="nil"/>
              <w:right w:val="nil"/>
            </w:tcBorders>
            <w:noWrap w:val="0"/>
            <w:tcMar>
              <w:top w:w="60" w:type="dxa"/>
              <w:left w:w="120" w:type="dxa"/>
              <w:bottom w:w="30" w:type="dxa"/>
              <w:right w:w="120" w:type="dxa"/>
            </w:tcMar>
            <w:vAlign w:val="top"/>
          </w:tcPr>
          <w:p w14:paraId="3E048C44">
            <w:pPr>
              <w:numPr>
                <w:ilvl w:val="0"/>
                <w:numId w:val="0"/>
              </w:numPr>
              <w:spacing w:before="120" w:after="120" w:line="288" w:lineRule="auto"/>
              <w:jc w:val="left"/>
              <w:rPr>
                <w:rFonts w:hint="eastAsia"/>
              </w:rPr>
            </w:pPr>
            <w:r>
              <w:rPr>
                <w:rFonts w:hint="eastAsia"/>
              </w:rPr>
              <w:t>核心：京郊骑行爱好者、周末轻度假家庭；重点：中小学研学、企业团建；基础：采摘散客、线上农产品消费者</w:t>
            </w:r>
          </w:p>
        </w:tc>
      </w:tr>
      <w:tr w14:paraId="2C9AA27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8" w:type="dxa"/>
            <w:bottom w:w="0" w:type="dxa"/>
            <w:right w:w="108" w:type="dxa"/>
          </w:tblCellMar>
        </w:tblPrEx>
        <w:tc>
          <w:tcPr>
            <w:tcW w:w="1140" w:type="dxa"/>
            <w:tcBorders>
              <w:top w:val="nil"/>
              <w:left w:val="nil"/>
              <w:bottom w:val="nil"/>
              <w:right w:val="nil"/>
            </w:tcBorders>
            <w:noWrap w:val="0"/>
            <w:tcMar>
              <w:top w:w="60" w:type="dxa"/>
              <w:left w:w="120" w:type="dxa"/>
              <w:bottom w:w="30" w:type="dxa"/>
              <w:right w:w="120" w:type="dxa"/>
            </w:tcMar>
            <w:vAlign w:val="top"/>
          </w:tcPr>
          <w:p w14:paraId="4279B013">
            <w:pPr>
              <w:numPr>
                <w:ilvl w:val="0"/>
                <w:numId w:val="0"/>
              </w:numPr>
              <w:spacing w:before="120" w:after="120" w:line="288" w:lineRule="auto"/>
              <w:jc w:val="left"/>
              <w:rPr>
                <w:rFonts w:hint="eastAsia"/>
              </w:rPr>
            </w:pPr>
            <w:r>
              <w:rPr>
                <w:rFonts w:hint="eastAsia"/>
              </w:rPr>
              <w:t>价值主张</w:t>
            </w:r>
          </w:p>
        </w:tc>
        <w:tc>
          <w:tcPr>
            <w:tcW w:w="7938" w:type="dxa"/>
            <w:tcBorders>
              <w:top w:val="nil"/>
              <w:left w:val="nil"/>
              <w:bottom w:val="nil"/>
              <w:right w:val="nil"/>
            </w:tcBorders>
            <w:noWrap w:val="0"/>
            <w:tcMar>
              <w:top w:w="60" w:type="dxa"/>
              <w:left w:w="120" w:type="dxa"/>
              <w:bottom w:w="30" w:type="dxa"/>
              <w:right w:w="120" w:type="dxa"/>
            </w:tcMar>
            <w:vAlign w:val="top"/>
          </w:tcPr>
          <w:p w14:paraId="072D520B">
            <w:pPr>
              <w:numPr>
                <w:ilvl w:val="0"/>
                <w:numId w:val="0"/>
              </w:numPr>
              <w:spacing w:before="120" w:after="120" w:line="288" w:lineRule="auto"/>
              <w:jc w:val="left"/>
              <w:rPr>
                <w:rFonts w:hint="eastAsia"/>
              </w:rPr>
            </w:pPr>
            <w:r>
              <w:rPr>
                <w:rFonts w:hint="eastAsia"/>
              </w:rPr>
              <w:t>京郊唯一·一级水源地骑行樱桃目的地，提供“骑行+采摘+科普+露营+美食”一站式健康生活方式体验</w:t>
            </w:r>
          </w:p>
        </w:tc>
      </w:tr>
      <w:tr w14:paraId="3EE446F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8" w:type="dxa"/>
            <w:bottom w:w="0" w:type="dxa"/>
            <w:right w:w="108" w:type="dxa"/>
          </w:tblCellMar>
        </w:tblPrEx>
        <w:tc>
          <w:tcPr>
            <w:tcW w:w="1140" w:type="dxa"/>
            <w:tcBorders>
              <w:top w:val="nil"/>
              <w:left w:val="nil"/>
              <w:bottom w:val="nil"/>
              <w:right w:val="nil"/>
            </w:tcBorders>
            <w:noWrap w:val="0"/>
            <w:tcMar>
              <w:top w:w="60" w:type="dxa"/>
              <w:left w:w="120" w:type="dxa"/>
              <w:bottom w:w="30" w:type="dxa"/>
              <w:right w:w="120" w:type="dxa"/>
            </w:tcMar>
            <w:vAlign w:val="top"/>
          </w:tcPr>
          <w:p w14:paraId="3000FACD">
            <w:pPr>
              <w:numPr>
                <w:ilvl w:val="0"/>
                <w:numId w:val="0"/>
              </w:numPr>
              <w:spacing w:before="120" w:after="120" w:line="288" w:lineRule="auto"/>
              <w:jc w:val="left"/>
              <w:rPr>
                <w:rFonts w:hint="eastAsia"/>
              </w:rPr>
            </w:pPr>
            <w:r>
              <w:rPr>
                <w:rFonts w:hint="eastAsia"/>
              </w:rPr>
              <w:t>渠道通路</w:t>
            </w:r>
          </w:p>
        </w:tc>
        <w:tc>
          <w:tcPr>
            <w:tcW w:w="7938" w:type="dxa"/>
            <w:tcBorders>
              <w:top w:val="nil"/>
              <w:left w:val="nil"/>
              <w:bottom w:val="nil"/>
              <w:right w:val="nil"/>
            </w:tcBorders>
            <w:noWrap w:val="0"/>
            <w:tcMar>
              <w:top w:w="60" w:type="dxa"/>
              <w:left w:w="120" w:type="dxa"/>
              <w:bottom w:w="30" w:type="dxa"/>
              <w:right w:w="120" w:type="dxa"/>
            </w:tcMar>
            <w:vAlign w:val="top"/>
          </w:tcPr>
          <w:p w14:paraId="696E6FD0">
            <w:pPr>
              <w:numPr>
                <w:ilvl w:val="0"/>
                <w:numId w:val="0"/>
              </w:numPr>
              <w:spacing w:before="120" w:after="120" w:line="288" w:lineRule="auto"/>
              <w:jc w:val="left"/>
              <w:rPr>
                <w:rFonts w:hint="eastAsia"/>
              </w:rPr>
            </w:pPr>
            <w:r>
              <w:rPr>
                <w:rFonts w:hint="eastAsia"/>
              </w:rPr>
              <w:t>线上：小程序商城、抖音、小红书、微信社群；线下：骑行路线、采摘园、驿站、合作代销点</w:t>
            </w:r>
          </w:p>
        </w:tc>
      </w:tr>
      <w:tr w14:paraId="415F240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8" w:type="dxa"/>
            <w:bottom w:w="0" w:type="dxa"/>
            <w:right w:w="108" w:type="dxa"/>
          </w:tblCellMar>
        </w:tblPrEx>
        <w:tc>
          <w:tcPr>
            <w:tcW w:w="1140" w:type="dxa"/>
            <w:tcBorders>
              <w:top w:val="nil"/>
              <w:left w:val="nil"/>
              <w:bottom w:val="nil"/>
              <w:right w:val="nil"/>
            </w:tcBorders>
            <w:noWrap w:val="0"/>
            <w:tcMar>
              <w:top w:w="60" w:type="dxa"/>
              <w:left w:w="120" w:type="dxa"/>
              <w:bottom w:w="30" w:type="dxa"/>
              <w:right w:w="120" w:type="dxa"/>
            </w:tcMar>
            <w:vAlign w:val="top"/>
          </w:tcPr>
          <w:p w14:paraId="399707E0">
            <w:pPr>
              <w:numPr>
                <w:ilvl w:val="0"/>
                <w:numId w:val="0"/>
              </w:numPr>
              <w:spacing w:before="120" w:after="120" w:line="288" w:lineRule="auto"/>
              <w:jc w:val="left"/>
              <w:rPr>
                <w:rFonts w:hint="eastAsia"/>
              </w:rPr>
            </w:pPr>
            <w:r>
              <w:rPr>
                <w:rFonts w:hint="eastAsia"/>
              </w:rPr>
              <w:t>客户关系</w:t>
            </w:r>
          </w:p>
        </w:tc>
        <w:tc>
          <w:tcPr>
            <w:tcW w:w="7938" w:type="dxa"/>
            <w:tcBorders>
              <w:top w:val="nil"/>
              <w:left w:val="nil"/>
              <w:bottom w:val="nil"/>
              <w:right w:val="nil"/>
            </w:tcBorders>
            <w:noWrap w:val="0"/>
            <w:tcMar>
              <w:top w:w="60" w:type="dxa"/>
              <w:left w:w="120" w:type="dxa"/>
              <w:bottom w:w="30" w:type="dxa"/>
              <w:right w:w="120" w:type="dxa"/>
            </w:tcMar>
            <w:vAlign w:val="top"/>
          </w:tcPr>
          <w:p w14:paraId="582DF1A1">
            <w:pPr>
              <w:numPr>
                <w:ilvl w:val="0"/>
                <w:numId w:val="0"/>
              </w:numPr>
              <w:spacing w:before="120" w:after="120" w:line="288" w:lineRule="auto"/>
              <w:jc w:val="left"/>
              <w:rPr>
                <w:rFonts w:hint="eastAsia"/>
              </w:rPr>
            </w:pPr>
            <w:r>
              <w:rPr>
                <w:rFonts w:hint="eastAsia"/>
              </w:rPr>
              <w:t>会员积分、数字孪生认养、社群运营、AI精准推送、老带新激励，建立高粘性长期关系</w:t>
            </w:r>
          </w:p>
        </w:tc>
      </w:tr>
      <w:tr w14:paraId="29800B6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8" w:type="dxa"/>
            <w:bottom w:w="0" w:type="dxa"/>
            <w:right w:w="108" w:type="dxa"/>
          </w:tblCellMar>
        </w:tblPrEx>
        <w:tc>
          <w:tcPr>
            <w:tcW w:w="1140" w:type="dxa"/>
            <w:tcBorders>
              <w:top w:val="nil"/>
              <w:left w:val="nil"/>
              <w:bottom w:val="nil"/>
              <w:right w:val="nil"/>
            </w:tcBorders>
            <w:noWrap w:val="0"/>
            <w:tcMar>
              <w:top w:w="60" w:type="dxa"/>
              <w:left w:w="120" w:type="dxa"/>
              <w:bottom w:w="30" w:type="dxa"/>
              <w:right w:w="120" w:type="dxa"/>
            </w:tcMar>
            <w:vAlign w:val="top"/>
          </w:tcPr>
          <w:p w14:paraId="0BFBED06">
            <w:pPr>
              <w:numPr>
                <w:ilvl w:val="0"/>
                <w:numId w:val="0"/>
              </w:numPr>
              <w:spacing w:before="120" w:after="120" w:line="288" w:lineRule="auto"/>
              <w:jc w:val="left"/>
              <w:rPr>
                <w:rFonts w:hint="eastAsia"/>
              </w:rPr>
            </w:pPr>
            <w:r>
              <w:rPr>
                <w:rFonts w:hint="eastAsia"/>
              </w:rPr>
              <w:t>收入来源</w:t>
            </w:r>
          </w:p>
        </w:tc>
        <w:tc>
          <w:tcPr>
            <w:tcW w:w="7938" w:type="dxa"/>
            <w:tcBorders>
              <w:top w:val="nil"/>
              <w:left w:val="nil"/>
              <w:bottom w:val="nil"/>
              <w:right w:val="nil"/>
            </w:tcBorders>
            <w:noWrap w:val="0"/>
            <w:tcMar>
              <w:top w:w="60" w:type="dxa"/>
              <w:left w:w="120" w:type="dxa"/>
              <w:bottom w:w="30" w:type="dxa"/>
              <w:right w:w="120" w:type="dxa"/>
            </w:tcMar>
            <w:vAlign w:val="top"/>
          </w:tcPr>
          <w:p w14:paraId="42EC8B1F">
            <w:pPr>
              <w:numPr>
                <w:ilvl w:val="0"/>
                <w:numId w:val="0"/>
              </w:numPr>
              <w:spacing w:before="120" w:after="120" w:line="288" w:lineRule="auto"/>
              <w:jc w:val="left"/>
              <w:rPr>
                <w:rFonts w:hint="eastAsia"/>
              </w:rPr>
            </w:pPr>
            <w:r>
              <w:rPr>
                <w:rFonts w:hint="eastAsia"/>
              </w:rPr>
              <w:t>鲜果销售、深加工产品、骑行服务、体验套餐、认养年费、研学团建、电商直播、文创销售</w:t>
            </w:r>
          </w:p>
        </w:tc>
      </w:tr>
      <w:tr w14:paraId="0C4E857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8" w:type="dxa"/>
            <w:bottom w:w="0" w:type="dxa"/>
            <w:right w:w="108" w:type="dxa"/>
          </w:tblCellMar>
        </w:tblPrEx>
        <w:tc>
          <w:tcPr>
            <w:tcW w:w="1140" w:type="dxa"/>
            <w:tcBorders>
              <w:top w:val="nil"/>
              <w:left w:val="nil"/>
              <w:bottom w:val="nil"/>
              <w:right w:val="nil"/>
            </w:tcBorders>
            <w:noWrap w:val="0"/>
            <w:tcMar>
              <w:top w:w="60" w:type="dxa"/>
              <w:left w:w="120" w:type="dxa"/>
              <w:bottom w:w="30" w:type="dxa"/>
              <w:right w:w="120" w:type="dxa"/>
            </w:tcMar>
            <w:vAlign w:val="top"/>
          </w:tcPr>
          <w:p w14:paraId="4FEA3C3B">
            <w:pPr>
              <w:numPr>
                <w:ilvl w:val="0"/>
                <w:numId w:val="0"/>
              </w:numPr>
              <w:spacing w:before="120" w:after="120" w:line="288" w:lineRule="auto"/>
              <w:jc w:val="left"/>
              <w:rPr>
                <w:rFonts w:hint="eastAsia"/>
              </w:rPr>
            </w:pPr>
            <w:r>
              <w:rPr>
                <w:rFonts w:hint="eastAsia"/>
              </w:rPr>
              <w:t>核心资源</w:t>
            </w:r>
          </w:p>
        </w:tc>
        <w:tc>
          <w:tcPr>
            <w:tcW w:w="7938" w:type="dxa"/>
            <w:tcBorders>
              <w:top w:val="nil"/>
              <w:left w:val="nil"/>
              <w:bottom w:val="nil"/>
              <w:right w:val="nil"/>
            </w:tcBorders>
            <w:noWrap w:val="0"/>
            <w:tcMar>
              <w:top w:w="60" w:type="dxa"/>
              <w:left w:w="120" w:type="dxa"/>
              <w:bottom w:w="30" w:type="dxa"/>
              <w:right w:w="120" w:type="dxa"/>
            </w:tcMar>
            <w:vAlign w:val="top"/>
          </w:tcPr>
          <w:p w14:paraId="0827567C">
            <w:pPr>
              <w:numPr>
                <w:ilvl w:val="0"/>
                <w:numId w:val="0"/>
              </w:numPr>
              <w:spacing w:before="120" w:after="120" w:line="288" w:lineRule="auto"/>
              <w:jc w:val="left"/>
              <w:rPr>
                <w:rFonts w:hint="eastAsia"/>
              </w:rPr>
            </w:pPr>
            <w:r>
              <w:rPr>
                <w:rFonts w:hint="eastAsia"/>
              </w:rPr>
              <w:t>130亩樱桃园、6.8km环库步道、世外明庄设施、国家天文台IP、数字化平台、全栈开发团队</w:t>
            </w:r>
          </w:p>
        </w:tc>
      </w:tr>
      <w:tr w14:paraId="75ED379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8" w:type="dxa"/>
            <w:bottom w:w="0" w:type="dxa"/>
            <w:right w:w="108" w:type="dxa"/>
          </w:tblCellMar>
        </w:tblPrEx>
        <w:tc>
          <w:tcPr>
            <w:tcW w:w="1140" w:type="dxa"/>
            <w:tcBorders>
              <w:top w:val="nil"/>
              <w:left w:val="nil"/>
              <w:bottom w:val="nil"/>
              <w:right w:val="nil"/>
            </w:tcBorders>
            <w:noWrap w:val="0"/>
            <w:tcMar>
              <w:top w:w="60" w:type="dxa"/>
              <w:left w:w="120" w:type="dxa"/>
              <w:bottom w:w="30" w:type="dxa"/>
              <w:right w:w="120" w:type="dxa"/>
            </w:tcMar>
            <w:vAlign w:val="top"/>
          </w:tcPr>
          <w:p w14:paraId="01098C03">
            <w:pPr>
              <w:numPr>
                <w:ilvl w:val="0"/>
                <w:numId w:val="0"/>
              </w:numPr>
              <w:spacing w:before="120" w:after="120" w:line="288" w:lineRule="auto"/>
              <w:jc w:val="left"/>
              <w:rPr>
                <w:rFonts w:hint="eastAsia"/>
              </w:rPr>
            </w:pPr>
            <w:r>
              <w:rPr>
                <w:rFonts w:hint="eastAsia"/>
              </w:rPr>
              <w:t>关键业务</w:t>
            </w:r>
          </w:p>
        </w:tc>
        <w:tc>
          <w:tcPr>
            <w:tcW w:w="7938" w:type="dxa"/>
            <w:tcBorders>
              <w:top w:val="nil"/>
              <w:left w:val="nil"/>
              <w:bottom w:val="nil"/>
              <w:right w:val="nil"/>
            </w:tcBorders>
            <w:noWrap w:val="0"/>
            <w:tcMar>
              <w:top w:w="60" w:type="dxa"/>
              <w:left w:w="120" w:type="dxa"/>
              <w:bottom w:w="30" w:type="dxa"/>
              <w:right w:w="120" w:type="dxa"/>
            </w:tcMar>
            <w:vAlign w:val="top"/>
          </w:tcPr>
          <w:p w14:paraId="35C3A8E0">
            <w:pPr>
              <w:numPr>
                <w:ilvl w:val="0"/>
                <w:numId w:val="0"/>
              </w:numPr>
              <w:spacing w:before="120" w:after="120" w:line="288" w:lineRule="auto"/>
              <w:jc w:val="left"/>
              <w:rPr>
                <w:rFonts w:hint="eastAsia"/>
              </w:rPr>
            </w:pPr>
            <w:r>
              <w:rPr>
                <w:rFonts w:hint="eastAsia"/>
              </w:rPr>
              <w:t>品牌运营、骑行体系运营、场景体验运营、数字平台运维、内容生产、供应链管理</w:t>
            </w:r>
          </w:p>
        </w:tc>
      </w:tr>
      <w:tr w14:paraId="2BF6010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8" w:type="dxa"/>
            <w:bottom w:w="0" w:type="dxa"/>
            <w:right w:w="108" w:type="dxa"/>
          </w:tblCellMar>
        </w:tblPrEx>
        <w:tc>
          <w:tcPr>
            <w:tcW w:w="1140" w:type="dxa"/>
            <w:tcBorders>
              <w:top w:val="nil"/>
              <w:left w:val="nil"/>
              <w:bottom w:val="nil"/>
              <w:right w:val="nil"/>
            </w:tcBorders>
            <w:noWrap w:val="0"/>
            <w:tcMar>
              <w:top w:w="60" w:type="dxa"/>
              <w:left w:w="120" w:type="dxa"/>
              <w:bottom w:w="30" w:type="dxa"/>
              <w:right w:w="120" w:type="dxa"/>
            </w:tcMar>
            <w:vAlign w:val="top"/>
          </w:tcPr>
          <w:p w14:paraId="13BA0B3C">
            <w:pPr>
              <w:numPr>
                <w:ilvl w:val="0"/>
                <w:numId w:val="0"/>
              </w:numPr>
              <w:spacing w:before="120" w:after="120" w:line="288" w:lineRule="auto"/>
              <w:jc w:val="left"/>
              <w:rPr>
                <w:rFonts w:hint="eastAsia"/>
              </w:rPr>
            </w:pPr>
            <w:r>
              <w:rPr>
                <w:rFonts w:hint="eastAsia"/>
              </w:rPr>
              <w:t>重要合作</w:t>
            </w:r>
          </w:p>
        </w:tc>
        <w:tc>
          <w:tcPr>
            <w:tcW w:w="7938" w:type="dxa"/>
            <w:tcBorders>
              <w:top w:val="nil"/>
              <w:left w:val="nil"/>
              <w:bottom w:val="nil"/>
              <w:right w:val="nil"/>
            </w:tcBorders>
            <w:noWrap w:val="0"/>
            <w:tcMar>
              <w:top w:w="60" w:type="dxa"/>
              <w:left w:w="120" w:type="dxa"/>
              <w:bottom w:w="30" w:type="dxa"/>
              <w:right w:w="120" w:type="dxa"/>
            </w:tcMar>
            <w:vAlign w:val="top"/>
          </w:tcPr>
          <w:p w14:paraId="337ACBF1">
            <w:pPr>
              <w:numPr>
                <w:ilvl w:val="0"/>
                <w:numId w:val="0"/>
              </w:numPr>
              <w:spacing w:before="120" w:after="120" w:line="288" w:lineRule="auto"/>
              <w:jc w:val="left"/>
              <w:rPr>
                <w:rFonts w:hint="eastAsia"/>
              </w:rPr>
            </w:pPr>
            <w:r>
              <w:rPr>
                <w:rFonts w:hint="eastAsia"/>
              </w:rPr>
              <w:t>村委会、水乡情合作社、世外明庄、骑行俱乐部、KOL、怀柔区文旅局、教育机构</w:t>
            </w:r>
          </w:p>
        </w:tc>
      </w:tr>
      <w:tr w14:paraId="2589D84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8" w:type="dxa"/>
            <w:bottom w:w="0" w:type="dxa"/>
            <w:right w:w="108" w:type="dxa"/>
          </w:tblCellMar>
        </w:tblPrEx>
        <w:tc>
          <w:tcPr>
            <w:tcW w:w="1140" w:type="dxa"/>
            <w:tcBorders>
              <w:top w:val="nil"/>
              <w:left w:val="nil"/>
              <w:bottom w:val="single" w:color="auto" w:sz="12" w:space="0"/>
              <w:right w:val="nil"/>
            </w:tcBorders>
            <w:noWrap w:val="0"/>
            <w:tcMar>
              <w:top w:w="60" w:type="dxa"/>
              <w:left w:w="120" w:type="dxa"/>
              <w:bottom w:w="30" w:type="dxa"/>
              <w:right w:w="120" w:type="dxa"/>
            </w:tcMar>
            <w:vAlign w:val="top"/>
          </w:tcPr>
          <w:p w14:paraId="5153B5EA">
            <w:pPr>
              <w:numPr>
                <w:ilvl w:val="0"/>
                <w:numId w:val="0"/>
              </w:numPr>
              <w:spacing w:before="120" w:after="120" w:line="288" w:lineRule="auto"/>
              <w:jc w:val="left"/>
              <w:rPr>
                <w:rFonts w:hint="eastAsia"/>
              </w:rPr>
            </w:pPr>
            <w:r>
              <w:rPr>
                <w:rFonts w:hint="eastAsia"/>
              </w:rPr>
              <w:t>成本结构</w:t>
            </w:r>
          </w:p>
        </w:tc>
        <w:tc>
          <w:tcPr>
            <w:tcW w:w="7938" w:type="dxa"/>
            <w:tcBorders>
              <w:top w:val="nil"/>
              <w:left w:val="nil"/>
              <w:bottom w:val="single" w:color="auto" w:sz="12" w:space="0"/>
              <w:right w:val="nil"/>
            </w:tcBorders>
            <w:noWrap w:val="0"/>
            <w:tcMar>
              <w:top w:w="60" w:type="dxa"/>
              <w:left w:w="120" w:type="dxa"/>
              <w:bottom w:w="30" w:type="dxa"/>
              <w:right w:w="120" w:type="dxa"/>
            </w:tcMar>
            <w:vAlign w:val="top"/>
          </w:tcPr>
          <w:p w14:paraId="2544A2F9">
            <w:pPr>
              <w:numPr>
                <w:ilvl w:val="0"/>
                <w:numId w:val="0"/>
              </w:numPr>
              <w:spacing w:before="120" w:after="120" w:line="288" w:lineRule="auto"/>
              <w:jc w:val="left"/>
              <w:rPr>
                <w:rFonts w:hint="eastAsia"/>
              </w:rPr>
            </w:pPr>
            <w:r>
              <w:rPr>
                <w:rFonts w:hint="eastAsia"/>
              </w:rPr>
              <w:t>品牌物料、骑行标识、驿站改造、活动运营、平台运维、人员服务、包装物流</w:t>
            </w:r>
          </w:p>
        </w:tc>
      </w:tr>
    </w:tbl>
    <w:p w14:paraId="44CACDA7">
      <w:pPr>
        <w:spacing w:after="160" w:line="278" w:lineRule="auto"/>
        <w:jc w:val="left"/>
        <w:rPr>
          <w:rFonts w:hint="eastAsia" w:ascii="宋体" w:hAnsi="宋体" w:eastAsia="宋体" w:cstheme="minorBidi"/>
          <w:b/>
          <w:bCs/>
          <w:kern w:val="2"/>
          <w:sz w:val="28"/>
          <w:szCs w:val="28"/>
          <w:lang w:val="en-US" w:eastAsia="zh-CN" w:bidi="ar-SA"/>
          <w14:ligatures w14:val="standardContextual"/>
        </w:rPr>
      </w:pPr>
    </w:p>
    <w:p w14:paraId="056D563B">
      <w:pPr>
        <w:pStyle w:val="3"/>
        <w:bidi w:val="0"/>
        <w:rPr>
          <w:rFonts w:hint="eastAsia"/>
          <w:lang w:val="en-US" w:eastAsia="zh-CN"/>
        </w:rPr>
      </w:pPr>
      <w:bookmarkStart w:id="71" w:name="_Toc10414"/>
      <w:r>
        <w:rPr>
          <w:rFonts w:hint="eastAsia"/>
          <w:lang w:val="en-US" w:eastAsia="zh-CN"/>
        </w:rPr>
        <w:t>4.5 目标体系</w:t>
      </w:r>
      <w:bookmarkEnd w:id="71"/>
    </w:p>
    <w:p w14:paraId="487F2692">
      <w:pPr>
        <w:spacing w:after="160" w:line="278" w:lineRule="auto"/>
        <w:ind w:firstLine="440" w:firstLineChars="200"/>
        <w:jc w:val="left"/>
        <w:rPr>
          <w:rFonts w:hint="eastAsia"/>
        </w:rPr>
      </w:pPr>
      <w:r>
        <w:rPr>
          <w:rFonts w:hint="eastAsia"/>
          <w:highlight w:val="yellow"/>
        </w:rPr>
        <w:t>短期目标（0—6个月）：</w:t>
      </w:r>
      <w:r>
        <w:rPr>
          <w:rFonts w:hint="eastAsia"/>
          <w:b/>
          <w:bCs/>
          <w:highlight w:val="yellow"/>
        </w:rPr>
        <w:t>基础建设</w:t>
      </w:r>
      <w:r>
        <w:rPr>
          <w:rFonts w:hint="eastAsia"/>
          <w:lang w:eastAsia="zh-CN"/>
        </w:rPr>
        <w:t>。</w:t>
      </w:r>
      <w:r>
        <w:rPr>
          <w:rFonts w:hint="eastAsia"/>
        </w:rPr>
        <w:t>完成品牌升级、小程序上线、骑行系统布设、驿站改造；小程序注册用户超1000人，果树认养不少于50棵；举办首场主题活动，参与人数不低于200人；组建村民服务团队，建立标准化运营流程。</w:t>
      </w:r>
    </w:p>
    <w:p w14:paraId="598E423F">
      <w:pPr>
        <w:spacing w:after="160" w:line="278" w:lineRule="auto"/>
        <w:ind w:firstLine="440" w:firstLineChars="200"/>
        <w:jc w:val="left"/>
        <w:rPr>
          <w:rFonts w:hint="eastAsia"/>
        </w:rPr>
      </w:pPr>
      <w:r>
        <w:rPr>
          <w:rFonts w:hint="eastAsia"/>
          <w:highlight w:val="yellow"/>
        </w:rPr>
        <w:t>中期目标（6—18个月）：</w:t>
      </w:r>
      <w:r>
        <w:rPr>
          <w:rFonts w:hint="eastAsia"/>
          <w:b/>
          <w:bCs/>
          <w:highlight w:val="yellow"/>
        </w:rPr>
        <w:t>常态运营与规模增长</w:t>
      </w:r>
      <w:r>
        <w:rPr>
          <w:rFonts w:hint="eastAsia"/>
          <w:lang w:eastAsia="zh-CN"/>
        </w:rPr>
        <w:t>。</w:t>
      </w:r>
      <w:r>
        <w:rPr>
          <w:rFonts w:hint="eastAsia"/>
        </w:rPr>
        <w:t>年接待游客突破3万人次，樱桃线上销售额增长50%以上；会员复购率达30%，认养续费率稳定60%以上；四季产品全面落地，淡季客流占比提升至30%；实现自主盈利，建立完善的村民参与与利益分配机制。</w:t>
      </w:r>
    </w:p>
    <w:p w14:paraId="760F2073">
      <w:pPr>
        <w:spacing w:after="160" w:line="278" w:lineRule="auto"/>
        <w:ind w:firstLine="440" w:firstLineChars="200"/>
        <w:jc w:val="left"/>
        <w:rPr>
          <w:rFonts w:hint="eastAsia"/>
        </w:rPr>
      </w:pPr>
      <w:r>
        <w:rPr>
          <w:rFonts w:hint="eastAsia"/>
          <w:highlight w:val="yellow"/>
        </w:rPr>
        <w:t>长期目标（18—36个月）：</w:t>
      </w:r>
      <w:r>
        <w:rPr>
          <w:rFonts w:hint="eastAsia"/>
          <w:b/>
          <w:bCs/>
          <w:highlight w:val="yellow"/>
        </w:rPr>
        <w:t>示范打造与区域联动</w:t>
      </w:r>
      <w:r>
        <w:rPr>
          <w:rFonts w:hint="eastAsia"/>
          <w:lang w:eastAsia="zh-CN"/>
        </w:rPr>
        <w:t>。</w:t>
      </w:r>
      <w:r>
        <w:rPr>
          <w:rFonts w:hint="eastAsia"/>
        </w:rPr>
        <w:t>村集体经济收入增长30%以上，村民增收显著；建成怀柔区乡村振兴示范样板，形成可复制的水源保护区发展模式；纳入全域旅游体系，实现与周边村庄资源共享、客流互导；输出标准手册与技术方案，为同类村庄提供参考。</w:t>
      </w:r>
    </w:p>
    <w:p w14:paraId="3CB8FDDA">
      <w:pPr>
        <w:numPr>
          <w:ilvl w:val="0"/>
          <w:numId w:val="0"/>
        </w:numPr>
        <w:spacing w:before="120" w:after="120" w:line="288" w:lineRule="auto"/>
        <w:jc w:val="center"/>
      </w:pPr>
      <w:r>
        <w:drawing>
          <wp:inline distT="0" distB="0" distL="114300" distR="114300">
            <wp:extent cx="4154805" cy="1455420"/>
            <wp:effectExtent l="0" t="0" r="10795"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8"/>
                    <a:stretch>
                      <a:fillRect/>
                    </a:stretch>
                  </pic:blipFill>
                  <pic:spPr>
                    <a:xfrm>
                      <a:off x="0" y="0"/>
                      <a:ext cx="4154805" cy="1455420"/>
                    </a:xfrm>
                    <a:prstGeom prst="rect">
                      <a:avLst/>
                    </a:prstGeom>
                    <a:noFill/>
                    <a:ln>
                      <a:noFill/>
                    </a:ln>
                  </pic:spPr>
                </pic:pic>
              </a:graphicData>
            </a:graphic>
          </wp:inline>
        </w:drawing>
      </w:r>
    </w:p>
    <w:p w14:paraId="624C100A">
      <w:pPr>
        <w:numPr>
          <w:ilvl w:val="0"/>
          <w:numId w:val="0"/>
        </w:numPr>
        <w:spacing w:before="120" w:after="120" w:line="288" w:lineRule="auto"/>
        <w:jc w:val="center"/>
        <w:rPr>
          <w:rFonts w:hint="default" w:eastAsia="宋体"/>
          <w:b/>
          <w:bCs/>
          <w:lang w:val="en-US" w:eastAsia="zh-CN"/>
        </w:rPr>
      </w:pPr>
      <w:r>
        <w:rPr>
          <w:rFonts w:hint="eastAsia"/>
          <w:b/>
          <w:bCs/>
          <w:lang w:val="en-US" w:eastAsia="zh-CN"/>
        </w:rPr>
        <w:t>图4-2 目标发展路径</w:t>
      </w:r>
    </w:p>
    <w:p w14:paraId="21470EB1">
      <w:pPr>
        <w:pStyle w:val="3"/>
        <w:bidi w:val="0"/>
        <w:rPr>
          <w:rFonts w:hint="eastAsia"/>
          <w:lang w:val="en-US" w:eastAsia="zh-CN"/>
        </w:rPr>
      </w:pPr>
      <w:bookmarkStart w:id="72" w:name="_Toc28299"/>
      <w:r>
        <w:rPr>
          <w:rFonts w:hint="eastAsia"/>
          <w:lang w:val="en-US" w:eastAsia="zh-CN"/>
        </w:rPr>
        <w:t>4.6 总体运营闭环模型</w:t>
      </w:r>
      <w:bookmarkEnd w:id="72"/>
    </w:p>
    <w:p w14:paraId="1B8E7F0A">
      <w:pPr>
        <w:spacing w:before="120" w:after="120" w:line="288" w:lineRule="auto"/>
        <w:ind w:left="0" w:firstLine="440" w:firstLineChars="200"/>
        <w:jc w:val="left"/>
        <w:rPr>
          <w:rFonts w:hint="eastAsia"/>
        </w:rPr>
      </w:pPr>
      <w:r>
        <w:rPr>
          <w:rFonts w:hint="eastAsia"/>
        </w:rPr>
        <w:t>项目构建</w:t>
      </w:r>
      <w:r>
        <w:rPr>
          <w:rFonts w:hint="eastAsia"/>
          <w:b/>
          <w:bCs/>
        </w:rPr>
        <w:t>线上引流—骑行导入—场景停留—消费转化—数字沉淀—社交裂变—精准复购</w:t>
      </w:r>
      <w:r>
        <w:rPr>
          <w:rFonts w:hint="eastAsia"/>
        </w:rPr>
        <w:t>的全链条运营闭环。线上内容激发出行需求，骑行体系稳定导入客流，场景设计延长停留时间，多元业态提升消费规模，数字化平台完成用户锁定与数据积累，社交分享实现低成本裂变，数据驱动精准推送与复购。</w:t>
      </w:r>
    </w:p>
    <w:p w14:paraId="3DBBE1F7">
      <w:pPr>
        <w:pStyle w:val="2"/>
        <w:bidi w:val="0"/>
        <w:rPr>
          <w:rFonts w:hint="eastAsia"/>
        </w:rPr>
      </w:pPr>
      <w:bookmarkStart w:id="73" w:name="_Toc14291"/>
      <w:r>
        <w:rPr>
          <w:rFonts w:hint="eastAsia"/>
        </w:rPr>
        <w:t>第五章 品牌价值体系建设</w:t>
      </w:r>
      <w:bookmarkEnd w:id="73"/>
    </w:p>
    <w:p w14:paraId="2B45D8EB">
      <w:pPr>
        <w:pStyle w:val="3"/>
        <w:bidi w:val="0"/>
        <w:rPr>
          <w:rFonts w:hint="eastAsia"/>
        </w:rPr>
      </w:pPr>
      <w:bookmarkStart w:id="74" w:name="_Toc15570"/>
      <w:r>
        <w:rPr>
          <w:rFonts w:hint="eastAsia"/>
        </w:rPr>
        <w:t>5.1 品牌升级</w:t>
      </w:r>
      <w:bookmarkEnd w:id="74"/>
    </w:p>
    <w:p w14:paraId="32921676">
      <w:pPr>
        <w:pStyle w:val="4"/>
        <w:bidi w:val="0"/>
        <w:rPr>
          <w:rFonts w:hint="eastAsia"/>
          <w:lang w:val="en-US" w:eastAsia="zh-CN"/>
        </w:rPr>
      </w:pPr>
      <w:bookmarkStart w:id="75" w:name="_Toc14080"/>
      <w:r>
        <w:rPr>
          <w:rFonts w:hint="eastAsia"/>
        </w:rPr>
        <w:t xml:space="preserve">5.1.1 </w:t>
      </w:r>
      <w:r>
        <w:rPr>
          <w:rFonts w:hint="eastAsia"/>
          <w:lang w:val="en-US" w:eastAsia="zh-CN"/>
        </w:rPr>
        <w:t>品牌故事</w:t>
      </w:r>
      <w:bookmarkEnd w:id="75"/>
    </w:p>
    <w:p w14:paraId="28272FBA">
      <w:pPr>
        <w:pageBreakBefore w:val="0"/>
        <w:widowControl w:val="0"/>
        <w:kinsoku/>
        <w:wordWrap/>
        <w:overflowPunct/>
        <w:topLinePunct w:val="0"/>
        <w:autoSpaceDE/>
        <w:autoSpaceDN/>
        <w:bidi w:val="0"/>
        <w:adjustRightInd/>
        <w:spacing w:line="440" w:lineRule="atLeas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品牌是讲出来的故事。一个村子、一片果园、一颗樱桃，如果只说好吃，没人记得住。所以我们先为杨家东庄写了一个故事，品牌故事如下：</w:t>
      </w:r>
    </w:p>
    <w:p w14:paraId="77693609">
      <w:pPr>
        <w:pageBreakBefore w:val="0"/>
        <w:widowControl w:val="0"/>
        <w:kinsoku/>
        <w:wordWrap/>
        <w:overflowPunct/>
        <w:topLinePunct w:val="0"/>
        <w:autoSpaceDE/>
        <w:autoSpaceDN/>
        <w:bidi w:val="0"/>
        <w:adjustRightInd/>
        <w:spacing w:line="440" w:lineRule="atLeas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骑出来的樱桃园——杨家东庄水源故事</w:t>
      </w:r>
    </w:p>
    <w:p w14:paraId="3EE6F6FA">
      <w:pPr>
        <w:pageBreakBefore w:val="0"/>
        <w:widowControl w:val="0"/>
        <w:kinsoku/>
        <w:wordWrap/>
        <w:overflowPunct/>
        <w:topLinePunct w:val="0"/>
        <w:autoSpaceDE/>
        <w:autoSpaceDN/>
        <w:bidi w:val="0"/>
        <w:adjustRightInd/>
        <w:spacing w:line="440" w:lineRule="atLeas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一九五八年，怀柔水库蓄水。杨家东庄人为了这盆清水，搬到了北岸。</w:t>
      </w:r>
    </w:p>
    <w:p w14:paraId="61476A05">
      <w:pPr>
        <w:pageBreakBefore w:val="0"/>
        <w:widowControl w:val="0"/>
        <w:kinsoku/>
        <w:wordWrap/>
        <w:overflowPunct/>
        <w:topLinePunct w:val="0"/>
        <w:autoSpaceDE/>
        <w:autoSpaceDN/>
        <w:bidi w:val="0"/>
        <w:adjustRightInd/>
        <w:spacing w:line="440" w:lineRule="atLeas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从那以后，这片地就成了北京极少数的一级水源保护区。</w:t>
      </w:r>
    </w:p>
    <w:p w14:paraId="6144A518">
      <w:pPr>
        <w:pageBreakBefore w:val="0"/>
        <w:widowControl w:val="0"/>
        <w:kinsoku/>
        <w:wordWrap/>
        <w:overflowPunct/>
        <w:topLinePunct w:val="0"/>
        <w:autoSpaceDE/>
        <w:autoSpaceDN/>
        <w:bidi w:val="0"/>
        <w:adjustRightInd/>
        <w:spacing w:line="440" w:lineRule="atLeas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水不能碰，地不能伤。规矩比别处都严。</w:t>
      </w:r>
    </w:p>
    <w:p w14:paraId="683A67C1">
      <w:pPr>
        <w:pageBreakBefore w:val="0"/>
        <w:widowControl w:val="0"/>
        <w:kinsoku/>
        <w:wordWrap/>
        <w:overflowPunct/>
        <w:topLinePunct w:val="0"/>
        <w:autoSpaceDE/>
        <w:autoSpaceDN/>
        <w:bidi w:val="0"/>
        <w:adjustRightInd/>
        <w:spacing w:line="440" w:lineRule="atLeas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起初觉得是束缚。大型的场子不能建，喧闹的旅游不能搞。</w:t>
      </w:r>
    </w:p>
    <w:p w14:paraId="7B36955E">
      <w:pPr>
        <w:pageBreakBefore w:val="0"/>
        <w:widowControl w:val="0"/>
        <w:kinsoku/>
        <w:wordWrap/>
        <w:overflowPunct/>
        <w:topLinePunct w:val="0"/>
        <w:autoSpaceDE/>
        <w:autoSpaceDN/>
        <w:bidi w:val="0"/>
        <w:adjustRightInd/>
        <w:spacing w:line="440" w:lineRule="atLeas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后来我们发现，有一种访客最懂规矩，那就是车轮。</w:t>
      </w:r>
    </w:p>
    <w:p w14:paraId="23968AE5">
      <w:pPr>
        <w:pageBreakBefore w:val="0"/>
        <w:widowControl w:val="0"/>
        <w:kinsoku/>
        <w:wordWrap/>
        <w:overflowPunct/>
        <w:topLinePunct w:val="0"/>
        <w:autoSpaceDE/>
        <w:autoSpaceDN/>
        <w:bidi w:val="0"/>
        <w:adjustRightInd/>
        <w:spacing w:line="440" w:lineRule="atLeas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它不排一滴污水，不压一寸好土，只沿着水库的风，安安静静地滑进来。</w:t>
      </w:r>
    </w:p>
    <w:p w14:paraId="601F5BA3">
      <w:pPr>
        <w:pageBreakBefore w:val="0"/>
        <w:widowControl w:val="0"/>
        <w:kinsoku/>
        <w:wordWrap/>
        <w:overflowPunct/>
        <w:topLinePunct w:val="0"/>
        <w:autoSpaceDE/>
        <w:autoSpaceDN/>
        <w:bidi w:val="0"/>
        <w:adjustRightInd/>
        <w:spacing w:line="440" w:lineRule="atLeas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于是，我们把路让给了骑行的人。</w:t>
      </w:r>
    </w:p>
    <w:p w14:paraId="4B4C0C24">
      <w:pPr>
        <w:pageBreakBefore w:val="0"/>
        <w:widowControl w:val="0"/>
        <w:kinsoku/>
        <w:wordWrap/>
        <w:overflowPunct/>
        <w:topLinePunct w:val="0"/>
        <w:autoSpaceDE/>
        <w:autoSpaceDN/>
        <w:bidi w:val="0"/>
        <w:adjustRightInd/>
        <w:spacing w:line="440" w:lineRule="atLeas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他们从城市边缘出发，追着风，穿过杨树林，在车轮的沙沙声里拐进村口。</w:t>
      </w:r>
    </w:p>
    <w:p w14:paraId="0519B279">
      <w:pPr>
        <w:pageBreakBefore w:val="0"/>
        <w:widowControl w:val="0"/>
        <w:kinsoku/>
        <w:wordWrap/>
        <w:overflowPunct/>
        <w:topLinePunct w:val="0"/>
        <w:autoSpaceDE/>
        <w:autoSpaceDN/>
        <w:bidi w:val="0"/>
        <w:adjustRightInd/>
        <w:spacing w:line="440" w:lineRule="atLeas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这条路，不是赶路的路，是专门为了让人慢下来的路。</w:t>
      </w:r>
    </w:p>
    <w:p w14:paraId="4597B4A3">
      <w:pPr>
        <w:pageBreakBefore w:val="0"/>
        <w:widowControl w:val="0"/>
        <w:kinsoku/>
        <w:wordWrap/>
        <w:overflowPunct/>
        <w:topLinePunct w:val="0"/>
        <w:autoSpaceDE/>
        <w:autoSpaceDN/>
        <w:bidi w:val="0"/>
        <w:adjustRightInd/>
        <w:spacing w:line="440" w:lineRule="atLeas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樱桃树就是在这样的注视下长大的。</w:t>
      </w:r>
    </w:p>
    <w:p w14:paraId="4043174E">
      <w:pPr>
        <w:pageBreakBefore w:val="0"/>
        <w:widowControl w:val="0"/>
        <w:kinsoku/>
        <w:wordWrap/>
        <w:overflowPunct/>
        <w:topLinePunct w:val="0"/>
        <w:autoSpaceDE/>
        <w:autoSpaceDN/>
        <w:bidi w:val="0"/>
        <w:adjustRightInd/>
        <w:spacing w:line="440" w:lineRule="atLeas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从几亩到一百三十亩，从自己吃到骑行圈子里口口相传的“终点奖励”。</w:t>
      </w:r>
    </w:p>
    <w:p w14:paraId="053129BE">
      <w:pPr>
        <w:pageBreakBefore w:val="0"/>
        <w:widowControl w:val="0"/>
        <w:kinsoku/>
        <w:wordWrap/>
        <w:overflowPunct/>
        <w:topLinePunct w:val="0"/>
        <w:autoSpaceDE/>
        <w:autoSpaceDN/>
        <w:bidi w:val="0"/>
        <w:adjustRightInd/>
        <w:spacing w:line="440" w:lineRule="atLeas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人们说，去杨家东庄不只是买樱桃。</w:t>
      </w:r>
    </w:p>
    <w:p w14:paraId="50C3715E">
      <w:pPr>
        <w:pageBreakBefore w:val="0"/>
        <w:widowControl w:val="0"/>
        <w:kinsoku/>
        <w:wordWrap/>
        <w:overflowPunct/>
        <w:topLinePunct w:val="0"/>
        <w:autoSpaceDE/>
        <w:autoSpaceDN/>
        <w:bidi w:val="0"/>
        <w:adjustRightInd/>
        <w:spacing w:line="440" w:lineRule="atLeas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是用两个轮子丈量过水源地的风，再让一颗带着水汽的樱桃在嘴里化开。</w:t>
      </w:r>
    </w:p>
    <w:p w14:paraId="6ADF13E9">
      <w:pPr>
        <w:pageBreakBefore w:val="0"/>
        <w:widowControl w:val="0"/>
        <w:kinsoku/>
        <w:wordWrap/>
        <w:overflowPunct/>
        <w:topLinePunct w:val="0"/>
        <w:autoSpaceDE/>
        <w:autoSpaceDN/>
        <w:bidi w:val="0"/>
        <w:adjustRightInd/>
        <w:spacing w:line="440" w:lineRule="atLeas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水有多清，樱桃就有多甜；路有多安静，日子就有多长。</w:t>
      </w:r>
    </w:p>
    <w:p w14:paraId="68AF97F3">
      <w:pPr>
        <w:pageBreakBefore w:val="0"/>
        <w:widowControl w:val="0"/>
        <w:kinsoku/>
        <w:wordWrap/>
        <w:overflowPunct/>
        <w:topLinePunct w:val="0"/>
        <w:autoSpaceDE/>
        <w:autoSpaceDN/>
        <w:bidi w:val="0"/>
        <w:adjustRightInd/>
        <w:spacing w:line="440" w:lineRule="atLeas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这不是我们刻意打造的，是车轮一圈圈碾出来的真相。</w:t>
      </w:r>
    </w:p>
    <w:p w14:paraId="32C10B7A">
      <w:pPr>
        <w:pageBreakBefore w:val="0"/>
        <w:widowControl w:val="0"/>
        <w:kinsoku/>
        <w:wordWrap/>
        <w:overflowPunct/>
        <w:topLinePunct w:val="0"/>
        <w:autoSpaceDE/>
        <w:autoSpaceDN/>
        <w:bidi w:val="0"/>
        <w:adjustRightInd/>
        <w:spacing w:line="440" w:lineRule="atLeas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我们没有把骑行当成广告，因为那本来就是通往这里最好的方式。</w:t>
      </w:r>
    </w:p>
    <w:p w14:paraId="6282317E">
      <w:pPr>
        <w:pageBreakBefore w:val="0"/>
        <w:widowControl w:val="0"/>
        <w:kinsoku/>
        <w:wordWrap/>
        <w:overflowPunct/>
        <w:topLinePunct w:val="0"/>
        <w:autoSpaceDE/>
        <w:autoSpaceDN/>
        <w:bidi w:val="0"/>
        <w:adjustRightInd/>
        <w:spacing w:line="440" w:lineRule="atLeas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路在那里，水源在那里，树在那里。</w:t>
      </w:r>
    </w:p>
    <w:p w14:paraId="0624EAB0">
      <w:pPr>
        <w:pageBreakBefore w:val="0"/>
        <w:widowControl w:val="0"/>
        <w:kinsoku/>
        <w:wordWrap/>
        <w:overflowPunct/>
        <w:topLinePunct w:val="0"/>
        <w:autoSpaceDE/>
        <w:autoSpaceDN/>
        <w:bidi w:val="0"/>
        <w:adjustRightInd/>
        <w:spacing w:line="440" w:lineRule="atLeas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你骑过来，我们摘给你吃。</w:t>
      </w:r>
    </w:p>
    <w:p w14:paraId="21B46828">
      <w:pPr>
        <w:pageBreakBefore w:val="0"/>
        <w:widowControl w:val="0"/>
        <w:kinsoku/>
        <w:wordWrap/>
        <w:overflowPunct/>
        <w:topLinePunct w:val="0"/>
        <w:autoSpaceDE/>
        <w:autoSpaceDN/>
        <w:bidi w:val="0"/>
        <w:adjustRightInd/>
        <w:spacing w:line="440" w:lineRule="atLeast"/>
        <w:ind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樱桃是结果，水源是原因，骑行是来的方式，慢下来的半天是真正的收获。消费者买回去的不只是一箱樱桃，是一段可以讲给别人听的路程。最后一句话“你骑过来，我们摘给你吃”，语气很轻，像一个真实的邀请，没有套路，不欠着什么，恰好把前面所有铺垫落在一个很舒服的地方。</w:t>
      </w:r>
    </w:p>
    <w:p w14:paraId="6F11E997">
      <w:pPr>
        <w:pStyle w:val="4"/>
        <w:bidi w:val="0"/>
        <w:rPr>
          <w:rFonts w:hint="eastAsia"/>
          <w:lang w:val="en-US" w:eastAsia="zh-CN"/>
        </w:rPr>
      </w:pPr>
      <w:bookmarkStart w:id="76" w:name="_Toc27111"/>
      <w:r>
        <w:rPr>
          <w:rFonts w:hint="eastAsia"/>
        </w:rPr>
        <w:t>5.1.2 品牌</w:t>
      </w:r>
      <w:r>
        <w:rPr>
          <w:rFonts w:hint="eastAsia"/>
          <w:lang w:val="en-US" w:eastAsia="zh-CN"/>
        </w:rPr>
        <w:t>slogan</w:t>
      </w:r>
      <w:bookmarkEnd w:id="76"/>
    </w:p>
    <w:p w14:paraId="2459282F">
      <w:pPr>
        <w:pStyle w:val="5"/>
        <w:pageBreakBefore w:val="0"/>
        <w:widowControl w:val="0"/>
        <w:kinsoku/>
        <w:wordWrap/>
        <w:overflowPunct/>
        <w:topLinePunct w:val="0"/>
        <w:autoSpaceDE/>
        <w:autoSpaceDN/>
        <w:bidi w:val="0"/>
        <w:adjustRightInd/>
        <w:spacing w:line="440" w:lineRule="atLeast"/>
        <w:textAlignment w:val="auto"/>
        <w:rPr>
          <w:rFonts w:hint="eastAsia"/>
        </w:rPr>
      </w:pPr>
      <w:r>
        <w:rPr>
          <w:rFonts w:hint="eastAsia"/>
          <w:lang w:eastAsia="zh-CN"/>
        </w:rPr>
        <w:t>（</w:t>
      </w:r>
      <w:r>
        <w:rPr>
          <w:rFonts w:hint="eastAsia"/>
          <w:lang w:val="en-US" w:eastAsia="zh-CN"/>
        </w:rPr>
        <w:t>1</w:t>
      </w:r>
      <w:r>
        <w:rPr>
          <w:rFonts w:hint="eastAsia"/>
          <w:lang w:eastAsia="zh-CN"/>
        </w:rPr>
        <w:t>）</w:t>
      </w:r>
      <w:r>
        <w:rPr>
          <w:rFonts w:hint="eastAsia"/>
          <w:lang w:val="en-US" w:eastAsia="zh-CN"/>
        </w:rPr>
        <w:t>口头传播slogan：</w:t>
      </w:r>
      <w:r>
        <w:rPr>
          <w:rFonts w:hint="eastAsia"/>
        </w:rPr>
        <w:t>骑到水源地，樱桃甜到底</w:t>
      </w:r>
    </w:p>
    <w:p w14:paraId="0988132B">
      <w:pPr>
        <w:pageBreakBefore w:val="0"/>
        <w:widowControl w:val="0"/>
        <w:kinsoku/>
        <w:wordWrap/>
        <w:overflowPunct/>
        <w:topLinePunct w:val="0"/>
        <w:autoSpaceDE/>
        <w:autoSpaceDN/>
        <w:bidi w:val="0"/>
        <w:adjustRightInd/>
        <w:spacing w:line="440" w:lineRule="atLeas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句slogan把骑行、水源和樱桃三个元素完整串联起来，结构很清晰。前半句“骑到水源地”点出了骑行行为的终点是一级水源保护区，暗示这段骑行本身是有价值的，因为目的地不普通。后半句“樱桃甜到底”直接把焦点拉回樱桃，用“甜”字概括樱桃的核心品质，同时“到底”两个字既呼应了前半句的“到”，形成押韵的节奏感，又暗示这种甜是从水源地延续到消费者口中的、贯穿全程的。整句话朗朗上口，适合口头传播，也很容易在骑行路线的终点标识、樱桃礼盒的封套上使用。</w:t>
      </w:r>
    </w:p>
    <w:p w14:paraId="2CF7AA75">
      <w:pPr>
        <w:pStyle w:val="5"/>
        <w:pageBreakBefore w:val="0"/>
        <w:widowControl w:val="0"/>
        <w:numPr>
          <w:ilvl w:val="0"/>
          <w:numId w:val="8"/>
        </w:numPr>
        <w:kinsoku/>
        <w:wordWrap/>
        <w:overflowPunct/>
        <w:topLinePunct w:val="0"/>
        <w:autoSpaceDE/>
        <w:autoSpaceDN/>
        <w:bidi w:val="0"/>
        <w:adjustRightInd/>
        <w:spacing w:line="440" w:lineRule="atLeast"/>
        <w:textAlignment w:val="auto"/>
        <w:rPr>
          <w:rFonts w:hint="eastAsia"/>
        </w:rPr>
      </w:pPr>
      <w:r>
        <w:rPr>
          <w:rFonts w:hint="eastAsia"/>
          <w:lang w:val="en-US" w:eastAsia="zh-CN"/>
        </w:rPr>
        <w:t>视觉传播slogan：</w:t>
      </w:r>
      <w:r>
        <w:rPr>
          <w:rFonts w:hint="eastAsia"/>
        </w:rPr>
        <w:t>一级水，一颗樱，一路骑</w:t>
      </w:r>
    </w:p>
    <w:p w14:paraId="235C95E2">
      <w:pPr>
        <w:pageBreakBefore w:val="0"/>
        <w:widowControl w:val="0"/>
        <w:numPr>
          <w:ilvl w:val="0"/>
          <w:numId w:val="0"/>
        </w:numPr>
        <w:kinsoku/>
        <w:wordWrap/>
        <w:overflowPunct/>
        <w:topLinePunct w:val="0"/>
        <w:autoSpaceDE/>
        <w:autoSpaceDN/>
        <w:bidi w:val="0"/>
        <w:adjustRightInd/>
        <w:spacing w:line="440" w:lineRule="atLeas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句用了三个短促的名词短语并列，每个短语都是一个独立的信息点。“一级水”直接亮出核心壁垒——全北京稀缺的一级水源保护区身份，简洁有力，不需要任何修饰。“一颗樱”把樱桃从大批量农产品中抽离出来，强调每一颗的个体价值，有点像“一果一世界”的感觉。“一路骑”把骑行场景收进来，但放在最后，像是一个完成前两个条件之后的自然动作。整句话像三个关键词的并置，留白很大，不解释因果，让受众自己联想。这种设计适合用在海报、包装侧面、骑行打卡点的立牌上，文字本身就有设计感。</w:t>
      </w:r>
    </w:p>
    <w:p w14:paraId="63EDC946">
      <w:pPr>
        <w:pStyle w:val="4"/>
        <w:pageBreakBefore w:val="0"/>
        <w:widowControl w:val="0"/>
        <w:kinsoku/>
        <w:wordWrap/>
        <w:overflowPunct/>
        <w:topLinePunct w:val="0"/>
        <w:autoSpaceDE/>
        <w:autoSpaceDN/>
        <w:bidi w:val="0"/>
        <w:adjustRightInd/>
        <w:spacing w:line="440" w:lineRule="atLeast"/>
        <w:textAlignment w:val="auto"/>
        <w:rPr>
          <w:rFonts w:hint="eastAsia"/>
          <w:lang w:val="en-US" w:eastAsia="zh-CN"/>
        </w:rPr>
      </w:pPr>
      <w:bookmarkStart w:id="77" w:name="_Toc30223"/>
      <w:r>
        <w:rPr>
          <w:rFonts w:hint="eastAsia"/>
          <w:lang w:val="en-US" w:eastAsia="zh-CN"/>
        </w:rPr>
        <w:t>5.1.3 摄影海报</w:t>
      </w:r>
      <w:bookmarkEnd w:id="77"/>
    </w:p>
    <w:p w14:paraId="330435EB">
      <w:pPr>
        <w:pageBreakBefore w:val="0"/>
        <w:widowControl w:val="0"/>
        <w:numPr>
          <w:ilvl w:val="0"/>
          <w:numId w:val="0"/>
        </w:numPr>
        <w:kinsoku/>
        <w:wordWrap/>
        <w:overflowPunct/>
        <w:topLinePunct w:val="0"/>
        <w:autoSpaceDE/>
        <w:autoSpaceDN/>
        <w:bidi w:val="0"/>
        <w:adjustRightInd/>
        <w:spacing w:line="440" w:lineRule="atLeast"/>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摄影海报设计如下：</w:t>
      </w:r>
    </w:p>
    <w:p w14:paraId="1003EBC2">
      <w:pPr>
        <w:pageBreakBefore w:val="0"/>
        <w:widowControl w:val="0"/>
        <w:numPr>
          <w:ilvl w:val="0"/>
          <w:numId w:val="0"/>
        </w:numPr>
        <w:kinsoku/>
        <w:wordWrap/>
        <w:overflowPunct/>
        <w:topLinePunct w:val="0"/>
        <w:autoSpaceDE/>
        <w:autoSpaceDN/>
        <w:bidi w:val="0"/>
        <w:adjustRightInd/>
        <w:spacing w:line="440" w:lineRule="atLeast"/>
        <w:ind w:firstLine="480" w:firstLineChars="20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2698750" cy="4049395"/>
            <wp:effectExtent l="0" t="0" r="13970" b="4445"/>
            <wp:docPr id="4" name="图片 4" descr="775a6ee6ca709f302947a9e078216b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775a6ee6ca709f302947a9e078216b62"/>
                    <pic:cNvPicPr>
                      <a:picLocks noChangeAspect="1"/>
                    </pic:cNvPicPr>
                  </pic:nvPicPr>
                  <pic:blipFill>
                    <a:blip r:embed="rId29"/>
                    <a:stretch>
                      <a:fillRect/>
                    </a:stretch>
                  </pic:blipFill>
                  <pic:spPr>
                    <a:xfrm>
                      <a:off x="0" y="0"/>
                      <a:ext cx="2698750" cy="4049395"/>
                    </a:xfrm>
                    <a:prstGeom prst="rect">
                      <a:avLst/>
                    </a:prstGeom>
                  </pic:spPr>
                </pic:pic>
              </a:graphicData>
            </a:graphic>
          </wp:inline>
        </w:drawing>
      </w:r>
    </w:p>
    <w:p w14:paraId="4A1F6C58">
      <w:pPr>
        <w:pageBreakBefore w:val="0"/>
        <w:widowControl w:val="0"/>
        <w:numPr>
          <w:ilvl w:val="0"/>
          <w:numId w:val="0"/>
        </w:numPr>
        <w:kinsoku/>
        <w:wordWrap/>
        <w:overflowPunct/>
        <w:topLinePunct w:val="0"/>
        <w:autoSpaceDE/>
        <w:autoSpaceDN/>
        <w:bidi w:val="0"/>
        <w:adjustRightInd/>
        <w:spacing w:line="440" w:lineRule="atLeast"/>
        <w:ind w:firstLine="480" w:firstLineChars="20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图5-1 摄影海报1</w:t>
      </w:r>
    </w:p>
    <w:p w14:paraId="5B7BD6C1">
      <w:pPr>
        <w:pageBreakBefore w:val="0"/>
        <w:widowControl w:val="0"/>
        <w:numPr>
          <w:ilvl w:val="0"/>
          <w:numId w:val="0"/>
        </w:numPr>
        <w:kinsoku/>
        <w:wordWrap/>
        <w:overflowPunct/>
        <w:topLinePunct w:val="0"/>
        <w:autoSpaceDE/>
        <w:autoSpaceDN/>
        <w:bidi w:val="0"/>
        <w:adjustRightInd/>
        <w:spacing w:line="440" w:lineRule="atLeast"/>
        <w:ind w:firstLine="480" w:firstLineChars="20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2548890" cy="3825240"/>
            <wp:effectExtent l="0" t="0" r="11430" b="0"/>
            <wp:docPr id="5" name="图片 5" descr="72163a4597b3ef571d2469fd786c55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2163a4597b3ef571d2469fd786c550f"/>
                    <pic:cNvPicPr>
                      <a:picLocks noChangeAspect="1"/>
                    </pic:cNvPicPr>
                  </pic:nvPicPr>
                  <pic:blipFill>
                    <a:blip r:embed="rId30"/>
                    <a:stretch>
                      <a:fillRect/>
                    </a:stretch>
                  </pic:blipFill>
                  <pic:spPr>
                    <a:xfrm>
                      <a:off x="0" y="0"/>
                      <a:ext cx="2548890" cy="3825240"/>
                    </a:xfrm>
                    <a:prstGeom prst="rect">
                      <a:avLst/>
                    </a:prstGeom>
                  </pic:spPr>
                </pic:pic>
              </a:graphicData>
            </a:graphic>
          </wp:inline>
        </w:drawing>
      </w:r>
    </w:p>
    <w:p w14:paraId="6D5E9317">
      <w:pPr>
        <w:pageBreakBefore w:val="0"/>
        <w:widowControl w:val="0"/>
        <w:numPr>
          <w:ilvl w:val="0"/>
          <w:numId w:val="0"/>
        </w:numPr>
        <w:kinsoku/>
        <w:wordWrap/>
        <w:overflowPunct/>
        <w:topLinePunct w:val="0"/>
        <w:autoSpaceDE/>
        <w:autoSpaceDN/>
        <w:bidi w:val="0"/>
        <w:adjustRightInd/>
        <w:spacing w:line="440" w:lineRule="atLeast"/>
        <w:ind w:firstLine="480" w:firstLineChars="20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图5-2 摄影海报2</w:t>
      </w:r>
    </w:p>
    <w:p w14:paraId="42555EA9">
      <w:pPr>
        <w:pStyle w:val="4"/>
        <w:pageBreakBefore w:val="0"/>
        <w:widowControl w:val="0"/>
        <w:kinsoku/>
        <w:wordWrap/>
        <w:overflowPunct/>
        <w:topLinePunct w:val="0"/>
        <w:autoSpaceDE/>
        <w:autoSpaceDN/>
        <w:bidi w:val="0"/>
        <w:adjustRightInd/>
        <w:spacing w:line="440" w:lineRule="atLeast"/>
        <w:textAlignment w:val="auto"/>
        <w:rPr>
          <w:rFonts w:hint="eastAsia"/>
          <w:lang w:val="en-US" w:eastAsia="zh-CN"/>
        </w:rPr>
      </w:pPr>
      <w:bookmarkStart w:id="78" w:name="_Toc1901"/>
      <w:r>
        <w:rPr>
          <w:rFonts w:hint="eastAsia"/>
          <w:lang w:val="en-US" w:eastAsia="zh-CN"/>
        </w:rPr>
        <w:t>5.1.4 漫画海报</w:t>
      </w:r>
      <w:bookmarkEnd w:id="78"/>
    </w:p>
    <w:p w14:paraId="09CAA3C6">
      <w:pPr>
        <w:pageBreakBefore w:val="0"/>
        <w:widowControl w:val="0"/>
        <w:numPr>
          <w:ilvl w:val="0"/>
          <w:numId w:val="0"/>
        </w:numPr>
        <w:tabs>
          <w:tab w:val="left" w:pos="2244"/>
        </w:tabs>
        <w:kinsoku/>
        <w:wordWrap/>
        <w:overflowPunct/>
        <w:topLinePunct w:val="0"/>
        <w:autoSpaceDE/>
        <w:autoSpaceDN/>
        <w:bidi w:val="0"/>
        <w:adjustRightInd/>
        <w:spacing w:line="440" w:lineRule="atLeast"/>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漫画海报设计如下：</w:t>
      </w:r>
    </w:p>
    <w:p w14:paraId="2F3107C7">
      <w:pPr>
        <w:pageBreakBefore w:val="0"/>
        <w:widowControl w:val="0"/>
        <w:kinsoku/>
        <w:wordWrap/>
        <w:overflowPunct/>
        <w:topLinePunct w:val="0"/>
        <w:autoSpaceDE/>
        <w:autoSpaceDN/>
        <w:bidi w:val="0"/>
        <w:adjustRightInd/>
        <w:spacing w:line="440" w:lineRule="atLeas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2525395" cy="3368040"/>
            <wp:effectExtent l="0" t="0" r="4445" b="0"/>
            <wp:docPr id="1" name="图片 1" descr="013ccfc9806041f6705fa56fb9b837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13ccfc9806041f6705fa56fb9b837ec"/>
                    <pic:cNvPicPr>
                      <a:picLocks noChangeAspect="1"/>
                    </pic:cNvPicPr>
                  </pic:nvPicPr>
                  <pic:blipFill>
                    <a:blip r:embed="rId31"/>
                    <a:stretch>
                      <a:fillRect/>
                    </a:stretch>
                  </pic:blipFill>
                  <pic:spPr>
                    <a:xfrm>
                      <a:off x="0" y="0"/>
                      <a:ext cx="2525395" cy="3368040"/>
                    </a:xfrm>
                    <a:prstGeom prst="rect">
                      <a:avLst/>
                    </a:prstGeom>
                  </pic:spPr>
                </pic:pic>
              </a:graphicData>
            </a:graphic>
          </wp:inline>
        </w:drawing>
      </w:r>
      <w:r>
        <w:rPr>
          <w:rFonts w:hint="eastAsia" w:ascii="宋体" w:hAnsi="宋体" w:eastAsia="宋体" w:cs="宋体"/>
          <w:sz w:val="24"/>
          <w:szCs w:val="24"/>
          <w:lang w:val="en-US" w:eastAsia="zh-CN"/>
        </w:rPr>
        <w:drawing>
          <wp:inline distT="0" distB="0" distL="114300" distR="114300">
            <wp:extent cx="2522855" cy="3366135"/>
            <wp:effectExtent l="0" t="0" r="6985" b="1905"/>
            <wp:docPr id="7" name="图片 7" descr="88d37ca89ee654ed2db1d2b86960e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88d37ca89ee654ed2db1d2b86960edfd"/>
                    <pic:cNvPicPr>
                      <a:picLocks noChangeAspect="1"/>
                    </pic:cNvPicPr>
                  </pic:nvPicPr>
                  <pic:blipFill>
                    <a:blip r:embed="rId32"/>
                    <a:stretch>
                      <a:fillRect/>
                    </a:stretch>
                  </pic:blipFill>
                  <pic:spPr>
                    <a:xfrm>
                      <a:off x="0" y="0"/>
                      <a:ext cx="2522855" cy="3366135"/>
                    </a:xfrm>
                    <a:prstGeom prst="rect">
                      <a:avLst/>
                    </a:prstGeom>
                  </pic:spPr>
                </pic:pic>
              </a:graphicData>
            </a:graphic>
          </wp:inline>
        </w:drawing>
      </w:r>
    </w:p>
    <w:p w14:paraId="251E2C7D">
      <w:pPr>
        <w:pageBreakBefore w:val="0"/>
        <w:widowControl w:val="0"/>
        <w:kinsoku/>
        <w:wordWrap/>
        <w:overflowPunct/>
        <w:topLinePunct w:val="0"/>
        <w:autoSpaceDE/>
        <w:autoSpaceDN/>
        <w:bidi w:val="0"/>
        <w:adjustRightInd/>
        <w:spacing w:line="440" w:lineRule="atLeast"/>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图5-3 漫画海报</w:t>
      </w:r>
    </w:p>
    <w:p w14:paraId="1F96540B">
      <w:pPr>
        <w:pageBreakBefore w:val="0"/>
        <w:widowControl w:val="0"/>
        <w:kinsoku/>
        <w:wordWrap/>
        <w:overflowPunct/>
        <w:topLinePunct w:val="0"/>
        <w:autoSpaceDE/>
        <w:autoSpaceDN/>
        <w:bidi w:val="0"/>
        <w:adjustRightInd/>
        <w:spacing w:line="440" w:lineRule="atLeast"/>
        <w:textAlignment w:val="auto"/>
        <w:rPr>
          <w:rFonts w:hint="eastAsia" w:ascii="宋体" w:hAnsi="宋体" w:eastAsia="宋体" w:cs="宋体"/>
          <w:sz w:val="24"/>
          <w:szCs w:val="24"/>
        </w:rPr>
      </w:pPr>
      <w:r>
        <w:rPr>
          <w:rFonts w:hint="eastAsia" w:ascii="宋体" w:hAnsi="宋体" w:eastAsia="宋体" w:cs="宋体"/>
          <w:sz w:val="24"/>
          <w:szCs w:val="24"/>
        </w:rPr>
        <w:t>5.2 品牌视觉与文创产品体系</w:t>
      </w:r>
    </w:p>
    <w:p w14:paraId="612C657E">
      <w:pPr>
        <w:pageBreakBefore w:val="0"/>
        <w:widowControl w:val="0"/>
        <w:kinsoku/>
        <w:wordWrap/>
        <w:overflowPunct/>
        <w:topLinePunct w:val="0"/>
        <w:autoSpaceDE/>
        <w:autoSpaceDN/>
        <w:bidi w:val="0"/>
        <w:adjustRightInd/>
        <w:spacing w:line="440" w:lineRule="atLeast"/>
        <w:textAlignment w:val="auto"/>
        <w:rPr>
          <w:rFonts w:hint="eastAsia" w:ascii="宋体" w:hAnsi="宋体" w:eastAsia="宋体" w:cs="宋体"/>
          <w:sz w:val="24"/>
          <w:szCs w:val="24"/>
        </w:rPr>
      </w:pPr>
      <w:r>
        <w:rPr>
          <w:rFonts w:hint="eastAsia" w:ascii="宋体" w:hAnsi="宋体" w:eastAsia="宋体" w:cs="宋体"/>
          <w:sz w:val="24"/>
          <w:szCs w:val="24"/>
        </w:rPr>
        <w:t>5.2.1 水源地认证标签</w:t>
      </w:r>
    </w:p>
    <w:p w14:paraId="65EEEF30">
      <w:pPr>
        <w:pageBreakBefore w:val="0"/>
        <w:widowControl w:val="0"/>
        <w:kinsoku/>
        <w:wordWrap/>
        <w:overflowPunct/>
        <w:topLinePunct w:val="0"/>
        <w:autoSpaceDE/>
        <w:autoSpaceDN/>
        <w:bidi w:val="0"/>
        <w:adjustRightInd/>
        <w:spacing w:line="440" w:lineRule="atLeast"/>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5.2.2 IP形象</w:t>
      </w:r>
      <w:r>
        <w:rPr>
          <w:rFonts w:hint="eastAsia" w:ascii="宋体" w:hAnsi="宋体" w:eastAsia="宋体" w:cs="宋体"/>
          <w:sz w:val="24"/>
          <w:szCs w:val="24"/>
          <w:lang w:val="en-US" w:eastAsia="zh-CN"/>
        </w:rPr>
        <w:t>升级</w:t>
      </w:r>
    </w:p>
    <w:p w14:paraId="12C044C8">
      <w:pPr>
        <w:pageBreakBefore w:val="0"/>
        <w:widowControl w:val="0"/>
        <w:kinsoku/>
        <w:wordWrap/>
        <w:overflowPunct/>
        <w:topLinePunct w:val="0"/>
        <w:autoSpaceDE/>
        <w:autoSpaceDN/>
        <w:bidi w:val="0"/>
        <w:adjustRightInd/>
        <w:spacing w:line="440" w:lineRule="atLeas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2642235" cy="1656080"/>
            <wp:effectExtent l="0" t="0" r="9525" b="5080"/>
            <wp:docPr id="3" name="图片 3" descr="3c19698220d303f9ad6fe2054521a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c19698220d303f9ad6fe2054521a066"/>
                    <pic:cNvPicPr>
                      <a:picLocks noChangeAspect="1"/>
                    </pic:cNvPicPr>
                  </pic:nvPicPr>
                  <pic:blipFill>
                    <a:blip r:embed="rId33"/>
                    <a:stretch>
                      <a:fillRect/>
                    </a:stretch>
                  </pic:blipFill>
                  <pic:spPr>
                    <a:xfrm>
                      <a:off x="0" y="0"/>
                      <a:ext cx="2642235" cy="1656080"/>
                    </a:xfrm>
                    <a:prstGeom prst="rect">
                      <a:avLst/>
                    </a:prstGeom>
                  </pic:spPr>
                </pic:pic>
              </a:graphicData>
            </a:graphic>
          </wp:inline>
        </w:drawing>
      </w:r>
      <w:r>
        <w:rPr>
          <w:rFonts w:hint="eastAsia" w:ascii="宋体" w:hAnsi="宋体" w:eastAsia="宋体" w:cs="宋体"/>
          <w:sz w:val="24"/>
          <w:szCs w:val="24"/>
          <w:lang w:val="en-US" w:eastAsia="zh-CN"/>
        </w:rPr>
        <w:drawing>
          <wp:inline distT="0" distB="0" distL="114300" distR="114300">
            <wp:extent cx="2426335" cy="1656080"/>
            <wp:effectExtent l="0" t="0" r="12065" b="5080"/>
            <wp:docPr id="8" name="图片 8" descr="46d165b8e51e08d7cc105bc4ea9e9c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46d165b8e51e08d7cc105bc4ea9e9c08"/>
                    <pic:cNvPicPr>
                      <a:picLocks noChangeAspect="1"/>
                    </pic:cNvPicPr>
                  </pic:nvPicPr>
                  <pic:blipFill>
                    <a:blip r:embed="rId34"/>
                    <a:stretch>
                      <a:fillRect/>
                    </a:stretch>
                  </pic:blipFill>
                  <pic:spPr>
                    <a:xfrm>
                      <a:off x="0" y="0"/>
                      <a:ext cx="2426335" cy="1656080"/>
                    </a:xfrm>
                    <a:prstGeom prst="rect">
                      <a:avLst/>
                    </a:prstGeom>
                  </pic:spPr>
                </pic:pic>
              </a:graphicData>
            </a:graphic>
          </wp:inline>
        </w:drawing>
      </w:r>
    </w:p>
    <w:p w14:paraId="7B1F99BA">
      <w:pPr>
        <w:pageBreakBefore w:val="0"/>
        <w:widowControl w:val="0"/>
        <w:kinsoku/>
        <w:wordWrap/>
        <w:overflowPunct/>
        <w:topLinePunct w:val="0"/>
        <w:autoSpaceDE/>
        <w:autoSpaceDN/>
        <w:bidi w:val="0"/>
        <w:adjustRightInd/>
        <w:spacing w:line="440" w:lineRule="atLeast"/>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2509520" cy="1656080"/>
            <wp:effectExtent l="0" t="0" r="5080" b="5080"/>
            <wp:docPr id="9" name="图片 9" descr="0320b4c7af1c13c0aa46d199c46575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320b4c7af1c13c0aa46d199c46575e8"/>
                    <pic:cNvPicPr>
                      <a:picLocks noChangeAspect="1"/>
                    </pic:cNvPicPr>
                  </pic:nvPicPr>
                  <pic:blipFill>
                    <a:blip r:embed="rId35"/>
                    <a:stretch>
                      <a:fillRect/>
                    </a:stretch>
                  </pic:blipFill>
                  <pic:spPr>
                    <a:xfrm>
                      <a:off x="0" y="0"/>
                      <a:ext cx="2509520" cy="1656080"/>
                    </a:xfrm>
                    <a:prstGeom prst="rect">
                      <a:avLst/>
                    </a:prstGeom>
                  </pic:spPr>
                </pic:pic>
              </a:graphicData>
            </a:graphic>
          </wp:inline>
        </w:drawing>
      </w:r>
    </w:p>
    <w:p w14:paraId="27611CAA">
      <w:pPr>
        <w:pageBreakBefore w:val="0"/>
        <w:widowControl w:val="0"/>
        <w:kinsoku/>
        <w:wordWrap/>
        <w:overflowPunct/>
        <w:topLinePunct w:val="0"/>
        <w:autoSpaceDE/>
        <w:autoSpaceDN/>
        <w:bidi w:val="0"/>
        <w:adjustRightInd/>
        <w:spacing w:line="440" w:lineRule="atLeast"/>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图5-4 樱宝形象升级</w:t>
      </w:r>
    </w:p>
    <w:p w14:paraId="5ECAF9E2">
      <w:pPr>
        <w:pageBreakBefore w:val="0"/>
        <w:widowControl w:val="0"/>
        <w:kinsoku/>
        <w:wordWrap/>
        <w:overflowPunct/>
        <w:topLinePunct w:val="0"/>
        <w:autoSpaceDE/>
        <w:autoSpaceDN/>
        <w:bidi w:val="0"/>
        <w:adjustRightInd/>
        <w:spacing w:line="440" w:lineRule="atLeast"/>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eastAsia="zh-CN"/>
        </w:rPr>
        <w:t>樱宝是围绕樱桃元素打造的治愈系IP形象，本次优化在保留核心识别符号的基础上，完成了从平面手绘到3D潮玩风格的全面升级，</w:t>
      </w:r>
      <w:r>
        <w:rPr>
          <w:rFonts w:hint="eastAsia" w:ascii="宋体" w:hAnsi="宋体" w:eastAsia="宋体" w:cs="宋体"/>
          <w:sz w:val="24"/>
          <w:szCs w:val="24"/>
          <w:lang w:val="en-US" w:eastAsia="zh-CN"/>
        </w:rPr>
        <w:t>同时还增加了骑行的元素，</w:t>
      </w:r>
      <w:r>
        <w:rPr>
          <w:rFonts w:hint="eastAsia" w:ascii="宋体" w:hAnsi="宋体" w:eastAsia="宋体" w:cs="宋体"/>
          <w:sz w:val="24"/>
          <w:szCs w:val="24"/>
          <w:lang w:eastAsia="zh-CN"/>
        </w:rPr>
        <w:t>既强化了IP的辨识度与亲和力，也大幅提升了形象的商业拓展潜力，为后续IP矩阵打造与内容运营奠定了基础。</w:t>
      </w:r>
    </w:p>
    <w:p w14:paraId="70EFDF17">
      <w:pPr>
        <w:pageBreakBefore w:val="0"/>
        <w:widowControl w:val="0"/>
        <w:kinsoku/>
        <w:wordWrap/>
        <w:overflowPunct/>
        <w:topLinePunct w:val="0"/>
        <w:autoSpaceDE/>
        <w:autoSpaceDN/>
        <w:bidi w:val="0"/>
        <w:adjustRightInd/>
        <w:spacing w:line="440" w:lineRule="atLeast"/>
        <w:textAlignment w:val="auto"/>
        <w:rPr>
          <w:rFonts w:hint="eastAsia" w:ascii="宋体" w:hAnsi="宋体" w:eastAsia="宋体" w:cs="宋体"/>
          <w:sz w:val="24"/>
          <w:szCs w:val="24"/>
        </w:rPr>
      </w:pPr>
      <w:r>
        <w:rPr>
          <w:rFonts w:hint="eastAsia" w:ascii="宋体" w:hAnsi="宋体" w:eastAsia="宋体" w:cs="宋体"/>
          <w:sz w:val="24"/>
          <w:szCs w:val="24"/>
        </w:rPr>
        <w:t>5.2.3 产品包装分级设计</w:t>
      </w:r>
    </w:p>
    <w:p w14:paraId="1738330C">
      <w:pPr>
        <w:pageBreakBefore w:val="0"/>
        <w:widowControl w:val="0"/>
        <w:kinsoku/>
        <w:wordWrap/>
        <w:overflowPunct/>
        <w:topLinePunct w:val="0"/>
        <w:autoSpaceDE/>
        <w:autoSpaceDN/>
        <w:bidi w:val="0"/>
        <w:adjustRightInd/>
        <w:spacing w:line="440" w:lineRule="atLeast"/>
        <w:textAlignment w:val="auto"/>
        <w:rPr>
          <w:rFonts w:hint="eastAsia" w:ascii="宋体" w:hAnsi="宋体" w:eastAsia="宋体" w:cs="宋体"/>
          <w:sz w:val="24"/>
          <w:szCs w:val="24"/>
        </w:rPr>
      </w:pPr>
      <w:r>
        <w:rPr>
          <w:rFonts w:hint="eastAsia" w:ascii="宋体" w:hAnsi="宋体" w:eastAsia="宋体" w:cs="宋体"/>
          <w:sz w:val="24"/>
          <w:szCs w:val="24"/>
        </w:rPr>
        <w:t>5.2.4 微信表情包</w:t>
      </w:r>
    </w:p>
    <w:p w14:paraId="3675110F">
      <w:pPr>
        <w:pageBreakBefore w:val="0"/>
        <w:widowControl w:val="0"/>
        <w:kinsoku/>
        <w:wordWrap/>
        <w:overflowPunct/>
        <w:topLinePunct w:val="0"/>
        <w:autoSpaceDE/>
        <w:autoSpaceDN/>
        <w:bidi w:val="0"/>
        <w:adjustRightInd/>
        <w:spacing w:line="440" w:lineRule="atLeast"/>
        <w:textAlignment w:val="auto"/>
        <w:rPr>
          <w:rFonts w:hint="eastAsia" w:ascii="宋体" w:hAnsi="宋体" w:eastAsia="宋体" w:cs="宋体"/>
          <w:sz w:val="24"/>
          <w:szCs w:val="24"/>
          <w:highlight w:val="yellow"/>
          <w:lang w:eastAsia="zh-CN"/>
        </w:rPr>
      </w:pPr>
      <w:r>
        <w:rPr>
          <w:rFonts w:hint="eastAsia" w:ascii="宋体" w:hAnsi="宋体" w:eastAsia="宋体" w:cs="宋体"/>
          <w:sz w:val="24"/>
          <w:szCs w:val="24"/>
        </w:rPr>
        <w:t>5.2.5 打卡护照与特色印章</w:t>
      </w:r>
      <w:r>
        <w:rPr>
          <w:rFonts w:hint="eastAsia" w:ascii="宋体" w:hAnsi="宋体" w:eastAsia="宋体" w:cs="宋体"/>
          <w:sz w:val="24"/>
          <w:szCs w:val="24"/>
          <w:highlight w:val="yellow"/>
          <w:lang w:eastAsia="zh-CN"/>
        </w:rPr>
        <w:t>（骑行完赛奖牌：形状是樱桃，打开后里面是骑行路线的浮雕）</w:t>
      </w:r>
    </w:p>
    <w:p w14:paraId="18A53FDE">
      <w:pPr>
        <w:pageBreakBefore w:val="0"/>
        <w:widowControl w:val="0"/>
        <w:kinsoku/>
        <w:wordWrap/>
        <w:overflowPunct/>
        <w:topLinePunct w:val="0"/>
        <w:autoSpaceDE/>
        <w:autoSpaceDN/>
        <w:bidi w:val="0"/>
        <w:adjustRightInd/>
        <w:spacing w:line="440" w:lineRule="atLeast"/>
        <w:textAlignment w:val="auto"/>
        <w:rPr>
          <w:rFonts w:hint="eastAsia" w:ascii="宋体" w:hAnsi="宋体" w:eastAsia="宋体" w:cs="宋体"/>
          <w:sz w:val="24"/>
          <w:szCs w:val="24"/>
          <w:highlight w:val="yellow"/>
          <w:lang w:eastAsia="zh-CN"/>
        </w:rPr>
      </w:pPr>
      <w:r>
        <w:rPr>
          <w:rFonts w:hint="eastAsia" w:ascii="宋体" w:hAnsi="宋体" w:eastAsia="宋体" w:cs="宋体"/>
          <w:sz w:val="24"/>
          <w:szCs w:val="24"/>
          <w:highlight w:val="yellow"/>
          <w:lang w:eastAsia="zh-CN"/>
        </w:rPr>
        <w:t>骑行补给包：C级产品“冻干樱桃脆片”——“挂在车上的能量站”。</w:t>
      </w:r>
    </w:p>
    <w:p w14:paraId="7F9ED349">
      <w:pPr>
        <w:pageBreakBefore w:val="0"/>
        <w:widowControl w:val="0"/>
        <w:kinsoku/>
        <w:wordWrap/>
        <w:overflowPunct/>
        <w:topLinePunct w:val="0"/>
        <w:autoSpaceDE/>
        <w:autoSpaceDN/>
        <w:bidi w:val="0"/>
        <w:adjustRightInd/>
        <w:spacing w:line="440" w:lineRule="atLeast"/>
        <w:textAlignment w:val="auto"/>
        <w:rPr>
          <w:rFonts w:hint="eastAsia" w:ascii="宋体" w:hAnsi="宋体" w:eastAsia="宋体" w:cs="宋体"/>
          <w:sz w:val="24"/>
          <w:szCs w:val="24"/>
        </w:rPr>
      </w:pPr>
      <w:r>
        <w:rPr>
          <w:rFonts w:hint="eastAsia" w:ascii="宋体" w:hAnsi="宋体" w:eastAsia="宋体" w:cs="宋体"/>
          <w:sz w:val="24"/>
          <w:szCs w:val="24"/>
        </w:rPr>
        <w:t>5.2.6 手绘地图</w:t>
      </w:r>
    </w:p>
    <w:p w14:paraId="684D9DA6">
      <w:pPr>
        <w:pageBreakBefore w:val="0"/>
        <w:widowControl w:val="0"/>
        <w:kinsoku/>
        <w:wordWrap/>
        <w:overflowPunct/>
        <w:topLinePunct w:val="0"/>
        <w:autoSpaceDE/>
        <w:autoSpaceDN/>
        <w:bidi w:val="0"/>
        <w:adjustRightInd/>
        <w:spacing w:line="440" w:lineRule="atLeast"/>
        <w:textAlignment w:val="auto"/>
        <w:rPr>
          <w:rFonts w:hint="eastAsia" w:ascii="宋体" w:hAnsi="宋体" w:eastAsia="宋体" w:cs="宋体"/>
          <w:sz w:val="24"/>
          <w:szCs w:val="24"/>
        </w:rPr>
      </w:pPr>
      <w:r>
        <w:rPr>
          <w:rFonts w:hint="eastAsia" w:ascii="宋体" w:hAnsi="宋体" w:eastAsia="宋体" w:cs="宋体"/>
          <w:sz w:val="24"/>
          <w:szCs w:val="24"/>
        </w:rPr>
        <w:t>5.2.7 限定盲盒</w:t>
      </w:r>
    </w:p>
    <w:p w14:paraId="562F93B1">
      <w:pPr>
        <w:pageBreakBefore w:val="0"/>
        <w:widowControl w:val="0"/>
        <w:kinsoku/>
        <w:wordWrap/>
        <w:overflowPunct/>
        <w:topLinePunct w:val="0"/>
        <w:autoSpaceDE/>
        <w:autoSpaceDN/>
        <w:bidi w:val="0"/>
        <w:adjustRightInd/>
        <w:spacing w:line="440" w:lineRule="atLeast"/>
        <w:textAlignment w:val="auto"/>
        <w:rPr>
          <w:rFonts w:hint="eastAsia" w:ascii="宋体" w:hAnsi="宋体" w:eastAsia="宋体" w:cs="宋体"/>
          <w:sz w:val="24"/>
          <w:szCs w:val="24"/>
        </w:rPr>
      </w:pPr>
      <w:r>
        <w:rPr>
          <w:rFonts w:hint="eastAsia" w:ascii="宋体" w:hAnsi="宋体" w:eastAsia="宋体" w:cs="宋体"/>
          <w:sz w:val="24"/>
          <w:szCs w:val="24"/>
        </w:rPr>
        <w:t>5.2.8 其他文创（帆布包、围裙、种子卡、钥匙扣等）</w:t>
      </w:r>
    </w:p>
    <w:p w14:paraId="12F4B0AA">
      <w:pPr>
        <w:pStyle w:val="3"/>
        <w:bidi w:val="0"/>
        <w:rPr>
          <w:rFonts w:hint="eastAsia"/>
          <w:lang w:val="en-US" w:eastAsia="zh-CN"/>
        </w:rPr>
      </w:pPr>
      <w:bookmarkStart w:id="79" w:name="_Toc1157"/>
      <w:r>
        <w:rPr>
          <w:rFonts w:hint="eastAsia"/>
          <w:lang w:val="en-US" w:eastAsia="zh-CN"/>
        </w:rPr>
        <w:t>5.3 产品结构：三档认养加分级管护</w:t>
      </w:r>
      <w:bookmarkEnd w:id="79"/>
    </w:p>
    <w:p w14:paraId="0C0D8614">
      <w:pPr>
        <w:pageBreakBefore w:val="0"/>
        <w:widowControl w:val="0"/>
        <w:kinsoku/>
        <w:wordWrap/>
        <w:overflowPunct/>
        <w:topLinePunct w:val="0"/>
        <w:autoSpaceDE/>
        <w:autoSpaceDN/>
        <w:bidi w:val="0"/>
        <w:adjustRightInd/>
        <w:spacing w:line="440" w:lineRule="atLeast"/>
        <w:ind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本项目放弃了单一定价模式，转而采用三档分层定价，分别对应京郊家庭、个人送礼和企业采购三类核心客群。单一定价的问题在于，既够不到企业批量采购的预算门槛，又对普通家庭形成了决策压力，容易落入中间死区。分层之后，每一档产品都能精准找到自己的目标人群。</w:t>
      </w:r>
    </w:p>
    <w:p w14:paraId="505AB6F6">
      <w:pPr>
        <w:pageBreakBefore w:val="0"/>
        <w:widowControl w:val="0"/>
        <w:kinsoku/>
        <w:wordWrap/>
        <w:overflowPunct/>
        <w:topLinePunct w:val="0"/>
        <w:autoSpaceDE/>
        <w:autoSpaceDN/>
        <w:bidi w:val="0"/>
        <w:adjustRightInd/>
        <w:spacing w:line="440" w:lineRule="atLeast"/>
        <w:ind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三档定价体系如下。当然不同价格挡位对应的樱桃树品种也不一样。</w:t>
      </w:r>
    </w:p>
    <w:p w14:paraId="72871B81">
      <w:pPr>
        <w:pageBreakBefore w:val="0"/>
        <w:widowControl w:val="0"/>
        <w:kinsoku/>
        <w:wordWrap/>
        <w:overflowPunct/>
        <w:topLinePunct w:val="0"/>
        <w:autoSpaceDE/>
        <w:autoSpaceDN/>
        <w:bidi w:val="0"/>
        <w:adjustRightInd/>
        <w:spacing w:line="440" w:lineRule="atLeast"/>
        <w:ind w:firstLine="480" w:firstLineChars="200"/>
        <w:jc w:val="center"/>
        <w:textAlignment w:val="auto"/>
        <w:rPr>
          <w:rFonts w:hint="default"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表5-1 樱桃树三档定价表</w:t>
      </w:r>
    </w:p>
    <w:tbl>
      <w:tblPr>
        <w:tblStyle w:val="14"/>
        <w:tblW w:w="8522" w:type="dxa"/>
        <w:jc w:val="center"/>
        <w:tblLayout w:type="autofit"/>
        <w:tblCellMar>
          <w:top w:w="0" w:type="dxa"/>
          <w:left w:w="108" w:type="dxa"/>
          <w:bottom w:w="0" w:type="dxa"/>
          <w:right w:w="108" w:type="dxa"/>
        </w:tblCellMar>
      </w:tblPr>
      <w:tblGrid>
        <w:gridCol w:w="1504"/>
        <w:gridCol w:w="2194"/>
        <w:gridCol w:w="3157"/>
        <w:gridCol w:w="1667"/>
      </w:tblGrid>
      <w:tr w14:paraId="38339E70">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F05C04E">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档位</w:t>
            </w:r>
          </w:p>
        </w:tc>
        <w:tc>
          <w:tcPr>
            <w:tcW w:w="2194" w:type="dxa"/>
            <w:tcBorders>
              <w:top w:val="single" w:color="auto" w:sz="12" w:space="0"/>
              <w:left w:val="nil"/>
              <w:bottom w:val="nil"/>
              <w:right w:val="nil"/>
            </w:tcBorders>
            <w:noWrap w:val="0"/>
            <w:tcMar>
              <w:top w:w="-1" w:type="dxa"/>
              <w:left w:w="-1" w:type="dxa"/>
              <w:bottom w:w="-1" w:type="dxa"/>
              <w:right w:w="-1" w:type="dxa"/>
            </w:tcMar>
            <w:vAlign w:val="center"/>
          </w:tcPr>
          <w:p w14:paraId="468784D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建议价格区间</w:t>
            </w:r>
          </w:p>
          <w:p w14:paraId="75BFAEE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(元/棵·年)</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223B828">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权益内容</w:t>
            </w:r>
          </w:p>
        </w:tc>
        <w:tc>
          <w:tcPr>
            <w:tcW w:w="1667" w:type="dxa"/>
            <w:tcBorders>
              <w:top w:val="single" w:color="auto" w:sz="12" w:space="0"/>
              <w:left w:val="nil"/>
              <w:bottom w:val="nil"/>
              <w:right w:val="nil"/>
            </w:tcBorders>
            <w:noWrap w:val="0"/>
            <w:tcMar>
              <w:top w:w="-1" w:type="dxa"/>
              <w:left w:w="-1" w:type="dxa"/>
              <w:bottom w:w="-1" w:type="dxa"/>
              <w:right w:w="-1" w:type="dxa"/>
            </w:tcMar>
            <w:vAlign w:val="center"/>
          </w:tcPr>
          <w:p w14:paraId="65532378">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目标客群</w:t>
            </w:r>
          </w:p>
        </w:tc>
      </w:tr>
      <w:tr w14:paraId="6BC6AE7D">
        <w:tblPrEx>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53A487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入门款·家庭到访型</w:t>
            </w:r>
          </w:p>
        </w:tc>
        <w:tc>
          <w:tcPr>
            <w:tcW w:w="2194" w:type="dxa"/>
            <w:tcBorders>
              <w:top w:val="single" w:color="auto" w:sz="4" w:space="0"/>
              <w:left w:val="nil"/>
              <w:bottom w:val="nil"/>
              <w:right w:val="nil"/>
            </w:tcBorders>
            <w:noWrap w:val="0"/>
            <w:tcMar>
              <w:top w:w="-1" w:type="dxa"/>
              <w:left w:w="-1" w:type="dxa"/>
              <w:bottom w:w="-1" w:type="dxa"/>
              <w:right w:w="-1" w:type="dxa"/>
            </w:tcMar>
            <w:vAlign w:val="center"/>
          </w:tcPr>
          <w:p w14:paraId="125EBA62">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580—780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07590D9">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数字孪生档案 / 12次成长推送 / 1次采摘季到访权(自采自带)/ 树木命名权</w:t>
            </w:r>
          </w:p>
        </w:tc>
        <w:tc>
          <w:tcPr>
            <w:tcW w:w="1667" w:type="dxa"/>
            <w:tcBorders>
              <w:top w:val="single" w:color="auto" w:sz="4" w:space="0"/>
              <w:left w:val="nil"/>
              <w:bottom w:val="nil"/>
              <w:right w:val="nil"/>
            </w:tcBorders>
            <w:noWrap w:val="0"/>
            <w:tcMar>
              <w:top w:w="-1" w:type="dxa"/>
              <w:left w:w="-1" w:type="dxa"/>
              <w:bottom w:w="-1" w:type="dxa"/>
              <w:right w:w="-1" w:type="dxa"/>
            </w:tcMar>
            <w:vAlign w:val="center"/>
          </w:tcPr>
          <w:p w14:paraId="28446119">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北京及京郊家庭、亲子教育用户</w:t>
            </w:r>
          </w:p>
        </w:tc>
      </w:tr>
      <w:tr w14:paraId="50C9D4C8">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4087F78">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标准款·个人送礼型</w:t>
            </w:r>
          </w:p>
        </w:tc>
        <w:tc>
          <w:tcPr>
            <w:tcW w:w="2194" w:type="dxa"/>
            <w:tcBorders>
              <w:top w:val="nil"/>
              <w:left w:val="nil"/>
              <w:bottom w:val="nil"/>
              <w:right w:val="nil"/>
            </w:tcBorders>
            <w:noWrap w:val="0"/>
            <w:tcMar>
              <w:top w:w="-1" w:type="dxa"/>
              <w:left w:w="-1" w:type="dxa"/>
              <w:bottom w:w="-1" w:type="dxa"/>
              <w:right w:w="-1" w:type="dxa"/>
            </w:tcMar>
            <w:vAlign w:val="center"/>
          </w:tcPr>
          <w:p w14:paraId="6969A889">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1280—1680</w:t>
            </w:r>
          </w:p>
        </w:tc>
        <w:tc>
          <w:tcPr>
            <w:tcW w:w="0" w:type="auto"/>
            <w:tcBorders>
              <w:top w:val="nil"/>
              <w:left w:val="nil"/>
              <w:bottom w:val="nil"/>
              <w:right w:val="nil"/>
            </w:tcBorders>
            <w:noWrap w:val="0"/>
            <w:tcMar>
              <w:top w:w="-1" w:type="dxa"/>
              <w:left w:w="-1" w:type="dxa"/>
              <w:bottom w:w="-1" w:type="dxa"/>
              <w:right w:w="-1" w:type="dxa"/>
            </w:tcMar>
            <w:vAlign w:val="center"/>
          </w:tcPr>
          <w:p w14:paraId="1979578D">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入门款全部权益 / 实木激光刻字祝福牌 / 1次代采代寄(顺丰冷链,费用内含)/ 专属溯源码</w:t>
            </w:r>
          </w:p>
        </w:tc>
        <w:tc>
          <w:tcPr>
            <w:tcW w:w="1667" w:type="dxa"/>
            <w:tcBorders>
              <w:top w:val="nil"/>
              <w:left w:val="nil"/>
              <w:bottom w:val="nil"/>
              <w:right w:val="nil"/>
            </w:tcBorders>
            <w:noWrap w:val="0"/>
            <w:tcMar>
              <w:top w:w="-1" w:type="dxa"/>
              <w:left w:w="-1" w:type="dxa"/>
              <w:bottom w:w="-1" w:type="dxa"/>
              <w:right w:w="-1" w:type="dxa"/>
            </w:tcMar>
            <w:vAlign w:val="center"/>
          </w:tcPr>
          <w:p w14:paraId="70D56281">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送长辈、送朋友的个人用户</w:t>
            </w:r>
          </w:p>
        </w:tc>
      </w:tr>
      <w:tr w14:paraId="7A628579">
        <w:tblPrEx>
          <w:tblCellMar>
            <w:top w:w="0" w:type="dxa"/>
            <w:left w:w="108" w:type="dxa"/>
            <w:bottom w:w="0" w:type="dxa"/>
            <w:right w:w="108" w:type="dxa"/>
          </w:tblCellMar>
        </w:tblPrEx>
        <w:trPr>
          <w:trHeight w:val="0" w:hRule="atLeast"/>
          <w:jc w:val="center"/>
        </w:trPr>
        <w:tc>
          <w:tcPr>
            <w:tcW w:w="1504" w:type="dxa"/>
            <w:tcBorders>
              <w:top w:val="nil"/>
              <w:left w:val="nil"/>
              <w:bottom w:val="single" w:color="auto" w:sz="12" w:space="0"/>
              <w:right w:val="nil"/>
            </w:tcBorders>
            <w:noWrap w:val="0"/>
            <w:tcMar>
              <w:top w:w="-1" w:type="dxa"/>
              <w:left w:w="-1" w:type="dxa"/>
              <w:bottom w:w="-1" w:type="dxa"/>
              <w:right w:w="-1" w:type="dxa"/>
            </w:tcMar>
            <w:vAlign w:val="center"/>
          </w:tcPr>
          <w:p w14:paraId="6E491BCF">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企业款·CSR/团建型</w:t>
            </w:r>
          </w:p>
        </w:tc>
        <w:tc>
          <w:tcPr>
            <w:tcW w:w="2194" w:type="dxa"/>
            <w:tcBorders>
              <w:top w:val="nil"/>
              <w:left w:val="nil"/>
              <w:bottom w:val="single" w:color="auto" w:sz="12" w:space="0"/>
              <w:right w:val="nil"/>
            </w:tcBorders>
            <w:noWrap w:val="0"/>
            <w:tcMar>
              <w:top w:w="-1" w:type="dxa"/>
              <w:left w:w="-1" w:type="dxa"/>
              <w:bottom w:w="-1" w:type="dxa"/>
              <w:right w:w="-1" w:type="dxa"/>
            </w:tcMar>
            <w:vAlign w:val="center"/>
          </w:tcPr>
          <w:p w14:paraId="592683E8">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3800—8800(5—10棵起批)</w:t>
            </w:r>
          </w:p>
        </w:tc>
        <w:tc>
          <w:tcPr>
            <w:tcW w:w="3157" w:type="dxa"/>
            <w:tcBorders>
              <w:top w:val="nil"/>
              <w:left w:val="nil"/>
              <w:bottom w:val="single" w:color="auto" w:sz="12" w:space="0"/>
              <w:right w:val="nil"/>
            </w:tcBorders>
            <w:noWrap w:val="0"/>
            <w:tcMar>
              <w:top w:w="-1" w:type="dxa"/>
              <w:left w:w="-1" w:type="dxa"/>
              <w:bottom w:w="-1" w:type="dxa"/>
              <w:right w:w="-1" w:type="dxa"/>
            </w:tcMar>
            <w:vAlign w:val="center"/>
          </w:tcPr>
          <w:p w14:paraId="1732BDD9">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企业LOGO定制溯源码 / 团队半日到访采摘 / 员工福利分发装 / 村集体出具帮扶采购与CSR证明</w:t>
            </w:r>
          </w:p>
        </w:tc>
        <w:tc>
          <w:tcPr>
            <w:tcW w:w="1667" w:type="dxa"/>
            <w:tcBorders>
              <w:top w:val="nil"/>
              <w:left w:val="nil"/>
              <w:bottom w:val="single" w:color="auto" w:sz="12" w:space="0"/>
              <w:right w:val="nil"/>
            </w:tcBorders>
            <w:noWrap w:val="0"/>
            <w:tcMar>
              <w:top w:w="-1" w:type="dxa"/>
              <w:left w:w="-1" w:type="dxa"/>
              <w:bottom w:w="-1" w:type="dxa"/>
              <w:right w:w="-1" w:type="dxa"/>
            </w:tcMar>
            <w:vAlign w:val="center"/>
          </w:tcPr>
          <w:p w14:paraId="14322B5A">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有CSR预算的中大型企业、国企帮扶单位</w:t>
            </w:r>
          </w:p>
        </w:tc>
      </w:tr>
    </w:tbl>
    <w:p w14:paraId="351E46C3">
      <w:pPr>
        <w:pageBreakBefore w:val="0"/>
        <w:widowControl w:val="0"/>
        <w:kinsoku/>
        <w:wordWrap/>
        <w:overflowPunct/>
        <w:topLinePunct w:val="0"/>
        <w:autoSpaceDE/>
        <w:autoSpaceDN/>
        <w:bidi w:val="0"/>
        <w:adjustRightInd/>
        <w:spacing w:line="440" w:lineRule="atLeast"/>
        <w:ind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入门款的核心卖点是“买菜价给孩子一棵看得见的树”，决策门槛低，容易形成冲动转化。标准款则以“给爸妈寄一棵树的樱桃”作为情感钩子，物流费明确标示已含在内。企业款则将现有的帮扶采购一次性订单升级为年度认养合同，是走量的主力。</w:t>
      </w:r>
    </w:p>
    <w:p w14:paraId="1A96DA4E">
      <w:pPr>
        <w:pStyle w:val="4"/>
        <w:bidi w:val="0"/>
        <w:rPr>
          <w:rFonts w:hint="eastAsia"/>
          <w:lang w:val="en-US" w:eastAsia="zh-CN"/>
        </w:rPr>
      </w:pPr>
      <w:bookmarkStart w:id="80" w:name="_Toc16793"/>
      <w:r>
        <w:rPr>
          <w:rFonts w:hint="eastAsia"/>
          <w:lang w:val="en-US" w:eastAsia="zh-CN"/>
        </w:rPr>
        <w:t>5.3.1数字孪生与互动增值体系</w:t>
      </w:r>
      <w:bookmarkEnd w:id="80"/>
    </w:p>
    <w:p w14:paraId="296A61B3">
      <w:pPr>
        <w:pageBreakBefore w:val="0"/>
        <w:widowControl w:val="0"/>
        <w:kinsoku/>
        <w:wordWrap/>
        <w:overflowPunct/>
        <w:topLinePunct w:val="0"/>
        <w:autoSpaceDE/>
        <w:autoSpaceDN/>
        <w:bidi w:val="0"/>
        <w:adjustRightInd/>
        <w:spacing w:line="440" w:lineRule="atLeast"/>
        <w:ind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认养之所以能产生高于鲜果售价的溢价，关键在于一棵物理意义上的樱桃树被赋予了持续互动的数字身份。本项目在小程序内为每棵可认养的樱桃树建立独立的数字孪生档案，承载从认养到采摘的全生命周期。</w:t>
      </w:r>
    </w:p>
    <w:p w14:paraId="0D169682">
      <w:pPr>
        <w:pageBreakBefore w:val="0"/>
        <w:widowControl w:val="0"/>
        <w:kinsoku/>
        <w:wordWrap/>
        <w:overflowPunct/>
        <w:topLinePunct w:val="0"/>
        <w:autoSpaceDE/>
        <w:autoSpaceDN/>
        <w:bidi w:val="0"/>
        <w:adjustRightInd/>
        <w:spacing w:line="440" w:lineRule="atLeast"/>
        <w:ind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数字孪生档案的结构分为五个层次。基础信息层记录品种、树龄、位置坐标、历史产量和管护分区。视觉层按当前季节与生长阶段动态渲染树木插画，同时叠加认养管家每周上传的实拍照片轮播。日志层以模板化方式生成成长日记，每周推送一段文字，内容变量包括降水、气温、花期进度、病虫害观测等。互动层允许认养人发起付费加餐服务，由管家实地执行并回传图片或短视频。溯源层则开放品种、位置、树龄、采摘日期以及施肥、浇水、修剪等基础管护日志，消费者扫码即可查询。</w:t>
      </w:r>
    </w:p>
    <w:p w14:paraId="1D6A0D50">
      <w:pPr>
        <w:pageBreakBefore w:val="0"/>
        <w:widowControl w:val="0"/>
        <w:kinsoku/>
        <w:wordWrap/>
        <w:overflowPunct/>
        <w:topLinePunct w:val="0"/>
        <w:autoSpaceDE/>
        <w:autoSpaceDN/>
        <w:bidi w:val="0"/>
        <w:adjustRightInd/>
        <w:spacing w:line="440" w:lineRule="atLeast"/>
        <w:ind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基础认养费解决的是“我拥有这棵树”的确权问题，而真正的情感连接和增值收入来自互动。参照蚂蚁森林、寻找田野一号等产品的成熟路径，本项目设计了六个付费互动单元，由认养管家线下执行，小程序记录回传。</w:t>
      </w:r>
    </w:p>
    <w:p w14:paraId="0E9DEA1C">
      <w:pPr>
        <w:pageBreakBefore w:val="0"/>
        <w:widowControl w:val="0"/>
        <w:kinsoku/>
        <w:wordWrap/>
        <w:overflowPunct/>
        <w:topLinePunct w:val="0"/>
        <w:autoSpaceDE/>
        <w:autoSpaceDN/>
        <w:bidi w:val="0"/>
        <w:adjustRightInd/>
        <w:spacing w:line="440" w:lineRule="atLeast"/>
        <w:ind w:firstLine="480" w:firstLineChars="200"/>
        <w:jc w:val="center"/>
        <w:textAlignment w:val="auto"/>
        <w:rPr>
          <w:rFonts w:hint="default"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表5-2  付费互动单元</w:t>
      </w:r>
    </w:p>
    <w:tbl>
      <w:tblPr>
        <w:tblStyle w:val="14"/>
        <w:tblW w:w="8522" w:type="dxa"/>
        <w:jc w:val="center"/>
        <w:tblLayout w:type="autofit"/>
        <w:tblCellMar>
          <w:top w:w="0" w:type="dxa"/>
          <w:left w:w="108" w:type="dxa"/>
          <w:bottom w:w="0" w:type="dxa"/>
          <w:right w:w="108" w:type="dxa"/>
        </w:tblCellMar>
      </w:tblPr>
      <w:tblGrid>
        <w:gridCol w:w="1504"/>
        <w:gridCol w:w="2194"/>
        <w:gridCol w:w="3157"/>
        <w:gridCol w:w="1667"/>
      </w:tblGrid>
      <w:tr w14:paraId="0533CC1F">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46C20B4">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档位</w:t>
            </w:r>
          </w:p>
        </w:tc>
        <w:tc>
          <w:tcPr>
            <w:tcW w:w="2194" w:type="dxa"/>
            <w:tcBorders>
              <w:top w:val="single" w:color="auto" w:sz="12" w:space="0"/>
              <w:left w:val="nil"/>
              <w:bottom w:val="nil"/>
              <w:right w:val="nil"/>
            </w:tcBorders>
            <w:noWrap w:val="0"/>
            <w:tcMar>
              <w:top w:w="-1" w:type="dxa"/>
              <w:left w:w="-1" w:type="dxa"/>
              <w:bottom w:w="-1" w:type="dxa"/>
              <w:right w:w="-1" w:type="dxa"/>
            </w:tcMar>
            <w:vAlign w:val="center"/>
          </w:tcPr>
          <w:p w14:paraId="253E495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建议价格区间</w:t>
            </w:r>
          </w:p>
          <w:p w14:paraId="5515F45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(元/棵·年)</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9EC0B21">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权益内容</w:t>
            </w:r>
          </w:p>
        </w:tc>
        <w:tc>
          <w:tcPr>
            <w:tcW w:w="1667" w:type="dxa"/>
            <w:tcBorders>
              <w:top w:val="single" w:color="auto" w:sz="12" w:space="0"/>
              <w:left w:val="nil"/>
              <w:bottom w:val="nil"/>
              <w:right w:val="nil"/>
            </w:tcBorders>
            <w:noWrap w:val="0"/>
            <w:tcMar>
              <w:top w:w="-1" w:type="dxa"/>
              <w:left w:w="-1" w:type="dxa"/>
              <w:bottom w:w="-1" w:type="dxa"/>
              <w:right w:w="-1" w:type="dxa"/>
            </w:tcMar>
            <w:vAlign w:val="center"/>
          </w:tcPr>
          <w:p w14:paraId="7CD8DA9A">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目标客群</w:t>
            </w:r>
          </w:p>
        </w:tc>
      </w:tr>
      <w:tr w14:paraId="5A089F70">
        <w:tblPrEx>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04626F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入门款·家庭到访型</w:t>
            </w:r>
          </w:p>
        </w:tc>
        <w:tc>
          <w:tcPr>
            <w:tcW w:w="2194" w:type="dxa"/>
            <w:tcBorders>
              <w:top w:val="single" w:color="auto" w:sz="4" w:space="0"/>
              <w:left w:val="nil"/>
              <w:bottom w:val="nil"/>
              <w:right w:val="nil"/>
            </w:tcBorders>
            <w:noWrap w:val="0"/>
            <w:tcMar>
              <w:top w:w="-1" w:type="dxa"/>
              <w:left w:w="-1" w:type="dxa"/>
              <w:bottom w:w="-1" w:type="dxa"/>
              <w:right w:w="-1" w:type="dxa"/>
            </w:tcMar>
            <w:vAlign w:val="center"/>
          </w:tcPr>
          <w:p w14:paraId="5BA5D4AA">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580—780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1F6EAD9">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数字孪生档案 / 12次成长推送 / 1次采摘季到访权(自采自带)/ 树木命名权</w:t>
            </w:r>
          </w:p>
        </w:tc>
        <w:tc>
          <w:tcPr>
            <w:tcW w:w="1667" w:type="dxa"/>
            <w:tcBorders>
              <w:top w:val="single" w:color="auto" w:sz="4" w:space="0"/>
              <w:left w:val="nil"/>
              <w:bottom w:val="nil"/>
              <w:right w:val="nil"/>
            </w:tcBorders>
            <w:noWrap w:val="0"/>
            <w:tcMar>
              <w:top w:w="-1" w:type="dxa"/>
              <w:left w:w="-1" w:type="dxa"/>
              <w:bottom w:w="-1" w:type="dxa"/>
              <w:right w:w="-1" w:type="dxa"/>
            </w:tcMar>
            <w:vAlign w:val="center"/>
          </w:tcPr>
          <w:p w14:paraId="52D6FC0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北京及京郊家庭、亲子教育用户</w:t>
            </w:r>
          </w:p>
        </w:tc>
      </w:tr>
      <w:tr w14:paraId="3FFDE5D8">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5450157">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标准款·个人送礼型</w:t>
            </w:r>
          </w:p>
        </w:tc>
        <w:tc>
          <w:tcPr>
            <w:tcW w:w="2194" w:type="dxa"/>
            <w:tcBorders>
              <w:top w:val="nil"/>
              <w:left w:val="nil"/>
              <w:bottom w:val="nil"/>
              <w:right w:val="nil"/>
            </w:tcBorders>
            <w:noWrap w:val="0"/>
            <w:tcMar>
              <w:top w:w="-1" w:type="dxa"/>
              <w:left w:w="-1" w:type="dxa"/>
              <w:bottom w:w="-1" w:type="dxa"/>
              <w:right w:w="-1" w:type="dxa"/>
            </w:tcMar>
            <w:vAlign w:val="center"/>
          </w:tcPr>
          <w:p w14:paraId="0F9B4B4A">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1280—1680</w:t>
            </w:r>
          </w:p>
        </w:tc>
        <w:tc>
          <w:tcPr>
            <w:tcW w:w="0" w:type="auto"/>
            <w:tcBorders>
              <w:top w:val="nil"/>
              <w:left w:val="nil"/>
              <w:bottom w:val="nil"/>
              <w:right w:val="nil"/>
            </w:tcBorders>
            <w:noWrap w:val="0"/>
            <w:tcMar>
              <w:top w:w="-1" w:type="dxa"/>
              <w:left w:w="-1" w:type="dxa"/>
              <w:bottom w:w="-1" w:type="dxa"/>
              <w:right w:w="-1" w:type="dxa"/>
            </w:tcMar>
            <w:vAlign w:val="center"/>
          </w:tcPr>
          <w:p w14:paraId="723F8ABF">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入门款全部权益 / 实木激光刻字祝福牌 / 1次代采代寄(顺丰冷链,费用内含)/ 专属溯源码</w:t>
            </w:r>
          </w:p>
        </w:tc>
        <w:tc>
          <w:tcPr>
            <w:tcW w:w="1667" w:type="dxa"/>
            <w:tcBorders>
              <w:top w:val="nil"/>
              <w:left w:val="nil"/>
              <w:bottom w:val="nil"/>
              <w:right w:val="nil"/>
            </w:tcBorders>
            <w:noWrap w:val="0"/>
            <w:tcMar>
              <w:top w:w="-1" w:type="dxa"/>
              <w:left w:w="-1" w:type="dxa"/>
              <w:bottom w:w="-1" w:type="dxa"/>
              <w:right w:w="-1" w:type="dxa"/>
            </w:tcMar>
            <w:vAlign w:val="center"/>
          </w:tcPr>
          <w:p w14:paraId="723EB46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送长辈、送朋友的个人用户</w:t>
            </w:r>
          </w:p>
        </w:tc>
      </w:tr>
      <w:tr w14:paraId="20754315">
        <w:tblPrEx>
          <w:tblCellMar>
            <w:top w:w="0" w:type="dxa"/>
            <w:left w:w="108" w:type="dxa"/>
            <w:bottom w:w="0" w:type="dxa"/>
            <w:right w:w="108" w:type="dxa"/>
          </w:tblCellMar>
        </w:tblPrEx>
        <w:trPr>
          <w:trHeight w:val="0" w:hRule="atLeast"/>
          <w:jc w:val="center"/>
        </w:trPr>
        <w:tc>
          <w:tcPr>
            <w:tcW w:w="1504" w:type="dxa"/>
            <w:tcBorders>
              <w:top w:val="nil"/>
              <w:left w:val="nil"/>
              <w:bottom w:val="single" w:color="auto" w:sz="12" w:space="0"/>
              <w:right w:val="nil"/>
            </w:tcBorders>
            <w:noWrap w:val="0"/>
            <w:tcMar>
              <w:top w:w="-1" w:type="dxa"/>
              <w:left w:w="-1" w:type="dxa"/>
              <w:bottom w:w="-1" w:type="dxa"/>
              <w:right w:w="-1" w:type="dxa"/>
            </w:tcMar>
            <w:vAlign w:val="center"/>
          </w:tcPr>
          <w:p w14:paraId="06CE370C">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企业款·CSR/团建型</w:t>
            </w:r>
          </w:p>
        </w:tc>
        <w:tc>
          <w:tcPr>
            <w:tcW w:w="2194" w:type="dxa"/>
            <w:tcBorders>
              <w:top w:val="nil"/>
              <w:left w:val="nil"/>
              <w:bottom w:val="single" w:color="auto" w:sz="12" w:space="0"/>
              <w:right w:val="nil"/>
            </w:tcBorders>
            <w:noWrap w:val="0"/>
            <w:tcMar>
              <w:top w:w="-1" w:type="dxa"/>
              <w:left w:w="-1" w:type="dxa"/>
              <w:bottom w:w="-1" w:type="dxa"/>
              <w:right w:w="-1" w:type="dxa"/>
            </w:tcMar>
            <w:vAlign w:val="center"/>
          </w:tcPr>
          <w:p w14:paraId="7309741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3800—8800(5—10棵起批)</w:t>
            </w:r>
          </w:p>
        </w:tc>
        <w:tc>
          <w:tcPr>
            <w:tcW w:w="3157" w:type="dxa"/>
            <w:tcBorders>
              <w:top w:val="nil"/>
              <w:left w:val="nil"/>
              <w:bottom w:val="single" w:color="auto" w:sz="12" w:space="0"/>
              <w:right w:val="nil"/>
            </w:tcBorders>
            <w:noWrap w:val="0"/>
            <w:tcMar>
              <w:top w:w="-1" w:type="dxa"/>
              <w:left w:w="-1" w:type="dxa"/>
              <w:bottom w:w="-1" w:type="dxa"/>
              <w:right w:w="-1" w:type="dxa"/>
            </w:tcMar>
            <w:vAlign w:val="center"/>
          </w:tcPr>
          <w:p w14:paraId="2F85FC6A">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企业LOGO定制溯源码 / 团队半日到访采摘 / 员工福利分发装 / 村集体出具帮扶采购与CSR证明</w:t>
            </w:r>
          </w:p>
        </w:tc>
        <w:tc>
          <w:tcPr>
            <w:tcW w:w="1667" w:type="dxa"/>
            <w:tcBorders>
              <w:top w:val="nil"/>
              <w:left w:val="nil"/>
              <w:bottom w:val="single" w:color="auto" w:sz="12" w:space="0"/>
              <w:right w:val="nil"/>
            </w:tcBorders>
            <w:noWrap w:val="0"/>
            <w:tcMar>
              <w:top w:w="-1" w:type="dxa"/>
              <w:left w:w="-1" w:type="dxa"/>
              <w:bottom w:w="-1" w:type="dxa"/>
              <w:right w:w="-1" w:type="dxa"/>
            </w:tcMar>
            <w:vAlign w:val="center"/>
          </w:tcPr>
          <w:p w14:paraId="0309D80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有CSR预算的中大型企业、国企帮扶单位</w:t>
            </w:r>
          </w:p>
        </w:tc>
      </w:tr>
    </w:tbl>
    <w:p w14:paraId="131754CB">
      <w:pPr>
        <w:pageBreakBefore w:val="0"/>
        <w:widowControl w:val="0"/>
        <w:kinsoku/>
        <w:wordWrap/>
        <w:overflowPunct/>
        <w:topLinePunct w:val="0"/>
        <w:autoSpaceDE/>
        <w:autoSpaceDN/>
        <w:bidi w:val="0"/>
        <w:adjustRightInd/>
        <w:spacing w:line="440" w:lineRule="atLeast"/>
        <w:ind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根据经验估算，每位认养人平均购买二到四次互动服务，单棵附加收入可达二百到四百元。互动收入按百分之三十比例支付给认养管家，其余归入项目运营池。互动不仅是认养项目的利润放大器，也是用户黏性的主要发生场。</w:t>
      </w:r>
    </w:p>
    <w:p w14:paraId="2AC1F544">
      <w:pPr>
        <w:pStyle w:val="4"/>
        <w:bidi w:val="0"/>
        <w:rPr>
          <w:rFonts w:hint="eastAsia"/>
          <w:lang w:val="en-US" w:eastAsia="zh-CN"/>
        </w:rPr>
      </w:pPr>
      <w:bookmarkStart w:id="81" w:name="_Toc21879"/>
      <w:r>
        <w:rPr>
          <w:rFonts w:hint="eastAsia"/>
          <w:lang w:val="en-US" w:eastAsia="zh-CN"/>
        </w:rPr>
        <w:t>5.3.2减产风险对冲机制</w:t>
      </w:r>
      <w:bookmarkEnd w:id="81"/>
    </w:p>
    <w:p w14:paraId="4FB24C8F">
      <w:pPr>
        <w:pageBreakBefore w:val="0"/>
        <w:widowControl w:val="0"/>
        <w:kinsoku/>
        <w:wordWrap/>
        <w:overflowPunct/>
        <w:topLinePunct w:val="0"/>
        <w:autoSpaceDE/>
        <w:autoSpaceDN/>
        <w:bidi w:val="0"/>
        <w:adjustRightInd/>
        <w:spacing w:line="440" w:lineRule="atLeast"/>
        <w:ind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杨家东庄村在二零二四年因倒春寒导致樱桃减产，这并非孤立事件。如果认养合同仅以鲜果交付为唯一承诺，减产年将可能引发集中退款与品牌塌陷。本项目在合同设计阶段就将天气不可抗力纳入结构性条款，通过两层价格结构实现风险隔离。</w:t>
      </w:r>
    </w:p>
    <w:p w14:paraId="23A0FECC">
      <w:pPr>
        <w:pageBreakBefore w:val="0"/>
        <w:widowControl w:val="0"/>
        <w:kinsoku/>
        <w:wordWrap/>
        <w:overflowPunct/>
        <w:topLinePunct w:val="0"/>
        <w:autoSpaceDE/>
        <w:autoSpaceDN/>
        <w:bidi w:val="0"/>
        <w:adjustRightInd/>
        <w:spacing w:line="440" w:lineRule="atLeast"/>
        <w:ind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第一层是订阅权部分，约占认养总价的百分之七十。这部分承担数字孪生、成长日记、互动服务、溯源、到访优先权等非天气敏感权益，即使在绝产年也照常履约。第二层是收成期权部分，约占认养总价的百分之三十，对应实际收成价值，按年实际产量浮动结算。以标准款一千四百八十元为例，其中约一千零四十元为订阅权，四百四十元为收成期权。订阅权收入结构稳定，收成期权收入按年结算，绝产年仅收成期权部分需要处置。</w:t>
      </w:r>
    </w:p>
    <w:p w14:paraId="277F5778">
      <w:pPr>
        <w:pageBreakBefore w:val="0"/>
        <w:widowControl w:val="0"/>
        <w:kinsoku/>
        <w:wordWrap/>
        <w:overflowPunct/>
        <w:topLinePunct w:val="0"/>
        <w:autoSpaceDE/>
        <w:autoSpaceDN/>
        <w:bidi w:val="0"/>
        <w:adjustRightInd/>
        <w:spacing w:line="440" w:lineRule="atLeast"/>
        <w:ind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对于不同的产出场景，合约履约方式也有明确区分。正常年，即产量达到或超过正常水平的百分之七十，按约定寄送樱桃或提供到访采摘，物流费用由用户自付，项目运营成本由运营方承担。减产年，即产量在正常水平的百分之三十到七十之间，樱桃按实际减量发货，同时用等价的林下菌类产品补足差额。林菌来自村委会已投入的林下试点，边际成本较低。绝产年，即产量低于正常水平的百分之三十，认养权顺延一年，并附加一张次年到访体验券和一份水源林菌慰问礼包。林菌仍由村委会已有产能承担，村委会不新增现金投入。</w:t>
      </w:r>
    </w:p>
    <w:p w14:paraId="11E55F26">
      <w:pPr>
        <w:pageBreakBefore w:val="0"/>
        <w:widowControl w:val="0"/>
        <w:kinsoku/>
        <w:wordWrap/>
        <w:overflowPunct/>
        <w:topLinePunct w:val="0"/>
        <w:autoSpaceDE/>
        <w:autoSpaceDN/>
        <w:bidi w:val="0"/>
        <w:adjustRightInd/>
        <w:spacing w:line="440" w:lineRule="atLeast"/>
        <w:ind w:firstLine="480" w:firstLineChars="200"/>
        <w:jc w:val="center"/>
        <w:textAlignment w:val="auto"/>
        <w:rPr>
          <w:rFonts w:hint="default"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表5-3  减产年处置方案</w:t>
      </w:r>
    </w:p>
    <w:tbl>
      <w:tblPr>
        <w:tblStyle w:val="14"/>
        <w:tblW w:w="8522" w:type="dxa"/>
        <w:jc w:val="center"/>
        <w:tblLayout w:type="autofit"/>
        <w:tblCellMar>
          <w:top w:w="0" w:type="dxa"/>
          <w:left w:w="108" w:type="dxa"/>
          <w:bottom w:w="0" w:type="dxa"/>
          <w:right w:w="108" w:type="dxa"/>
        </w:tblCellMar>
      </w:tblPr>
      <w:tblGrid>
        <w:gridCol w:w="1841"/>
        <w:gridCol w:w="3542"/>
        <w:gridCol w:w="3139"/>
      </w:tblGrid>
      <w:tr w14:paraId="05F72CBF">
        <w:tblPrEx>
          <w:tblCellMar>
            <w:top w:w="0" w:type="dxa"/>
            <w:left w:w="108" w:type="dxa"/>
            <w:bottom w:w="0" w:type="dxa"/>
            <w:right w:w="108" w:type="dxa"/>
          </w:tblCellMar>
        </w:tblPrEx>
        <w:trPr>
          <w:trHeight w:val="0" w:hRule="atLeast"/>
          <w:tblHeader/>
          <w:jc w:val="center"/>
        </w:trPr>
        <w:tc>
          <w:tcPr>
            <w:tcW w:w="1841" w:type="dxa"/>
            <w:tcBorders>
              <w:top w:val="single" w:color="auto" w:sz="12" w:space="0"/>
              <w:left w:val="nil"/>
              <w:bottom w:val="nil"/>
              <w:right w:val="nil"/>
            </w:tcBorders>
            <w:noWrap w:val="0"/>
            <w:tcMar>
              <w:top w:w="-1" w:type="dxa"/>
              <w:left w:w="-1" w:type="dxa"/>
              <w:bottom w:w="-1" w:type="dxa"/>
              <w:right w:w="-1" w:type="dxa"/>
            </w:tcMar>
            <w:vAlign w:val="center"/>
          </w:tcPr>
          <w:p w14:paraId="2940F0C5">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产出场景</w:t>
            </w:r>
          </w:p>
        </w:tc>
        <w:tc>
          <w:tcPr>
            <w:tcW w:w="3542" w:type="dxa"/>
            <w:tcBorders>
              <w:top w:val="single" w:color="auto" w:sz="12" w:space="0"/>
              <w:left w:val="nil"/>
              <w:bottom w:val="nil"/>
              <w:right w:val="nil"/>
            </w:tcBorders>
            <w:noWrap w:val="0"/>
            <w:tcMar>
              <w:top w:w="-1" w:type="dxa"/>
              <w:left w:w="-1" w:type="dxa"/>
              <w:bottom w:w="-1" w:type="dxa"/>
              <w:right w:w="-1" w:type="dxa"/>
            </w:tcMar>
            <w:vAlign w:val="center"/>
          </w:tcPr>
          <w:p w14:paraId="362BD4A2">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合约履约方式</w:t>
            </w:r>
          </w:p>
        </w:tc>
        <w:tc>
          <w:tcPr>
            <w:tcW w:w="3139" w:type="dxa"/>
            <w:tcBorders>
              <w:top w:val="single" w:color="auto" w:sz="12" w:space="0"/>
              <w:left w:val="nil"/>
              <w:bottom w:val="nil"/>
              <w:right w:val="nil"/>
            </w:tcBorders>
            <w:noWrap w:val="0"/>
            <w:tcMar>
              <w:top w:w="-1" w:type="dxa"/>
              <w:left w:w="-1" w:type="dxa"/>
              <w:bottom w:w="-1" w:type="dxa"/>
              <w:right w:w="-1" w:type="dxa"/>
            </w:tcMar>
            <w:vAlign w:val="center"/>
          </w:tcPr>
          <w:p w14:paraId="2680CA12">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成本负担方</w:t>
            </w:r>
          </w:p>
        </w:tc>
      </w:tr>
      <w:tr w14:paraId="53045FAE">
        <w:tblPrEx>
          <w:tblCellMar>
            <w:top w:w="0" w:type="dxa"/>
            <w:left w:w="108" w:type="dxa"/>
            <w:bottom w:w="0" w:type="dxa"/>
            <w:right w:w="108" w:type="dxa"/>
          </w:tblCellMar>
        </w:tblPrEx>
        <w:trPr>
          <w:trHeight w:val="0" w:hRule="atLeast"/>
          <w:jc w:val="center"/>
        </w:trPr>
        <w:tc>
          <w:tcPr>
            <w:tcW w:w="1841" w:type="dxa"/>
            <w:tcBorders>
              <w:top w:val="single" w:color="auto" w:sz="4" w:space="0"/>
              <w:left w:val="nil"/>
              <w:bottom w:val="nil"/>
              <w:right w:val="nil"/>
            </w:tcBorders>
            <w:noWrap w:val="0"/>
            <w:tcMar>
              <w:top w:w="-1" w:type="dxa"/>
              <w:left w:w="-1" w:type="dxa"/>
              <w:bottom w:w="-1" w:type="dxa"/>
              <w:right w:w="-1" w:type="dxa"/>
            </w:tcMar>
            <w:vAlign w:val="center"/>
          </w:tcPr>
          <w:p w14:paraId="37AAC1F6">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正常年(产量≥70%)</w:t>
            </w:r>
          </w:p>
        </w:tc>
        <w:tc>
          <w:tcPr>
            <w:tcW w:w="3542" w:type="dxa"/>
            <w:tcBorders>
              <w:top w:val="single" w:color="auto" w:sz="4" w:space="0"/>
              <w:left w:val="nil"/>
              <w:bottom w:val="nil"/>
              <w:right w:val="nil"/>
            </w:tcBorders>
            <w:noWrap w:val="0"/>
            <w:tcMar>
              <w:top w:w="-1" w:type="dxa"/>
              <w:left w:w="-1" w:type="dxa"/>
              <w:bottom w:w="-1" w:type="dxa"/>
              <w:right w:w="-1" w:type="dxa"/>
            </w:tcMar>
            <w:vAlign w:val="center"/>
          </w:tcPr>
          <w:p w14:paraId="7C9702BB">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按约定寄送樱桃或提供到访采摘</w:t>
            </w:r>
          </w:p>
        </w:tc>
        <w:tc>
          <w:tcPr>
            <w:tcW w:w="3139" w:type="dxa"/>
            <w:tcBorders>
              <w:top w:val="single" w:color="auto" w:sz="4" w:space="0"/>
              <w:left w:val="nil"/>
              <w:bottom w:val="nil"/>
              <w:right w:val="nil"/>
            </w:tcBorders>
            <w:noWrap w:val="0"/>
            <w:tcMar>
              <w:top w:w="-1" w:type="dxa"/>
              <w:left w:w="-1" w:type="dxa"/>
              <w:bottom w:w="-1" w:type="dxa"/>
              <w:right w:w="-1" w:type="dxa"/>
            </w:tcMar>
            <w:vAlign w:val="center"/>
          </w:tcPr>
          <w:p w14:paraId="70FF4B11">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用户(物流自付)+ 项目运营成本</w:t>
            </w:r>
          </w:p>
        </w:tc>
      </w:tr>
      <w:tr w14:paraId="05F9257C">
        <w:tblPrEx>
          <w:tblCellMar>
            <w:top w:w="0" w:type="dxa"/>
            <w:left w:w="108" w:type="dxa"/>
            <w:bottom w:w="0" w:type="dxa"/>
            <w:right w:w="108" w:type="dxa"/>
          </w:tblCellMar>
        </w:tblPrEx>
        <w:trPr>
          <w:trHeight w:val="0" w:hRule="atLeast"/>
          <w:jc w:val="center"/>
        </w:trPr>
        <w:tc>
          <w:tcPr>
            <w:tcW w:w="1841" w:type="dxa"/>
            <w:tcBorders>
              <w:top w:val="nil"/>
              <w:left w:val="nil"/>
              <w:bottom w:val="nil"/>
              <w:right w:val="nil"/>
            </w:tcBorders>
            <w:noWrap w:val="0"/>
            <w:tcMar>
              <w:top w:w="-1" w:type="dxa"/>
              <w:left w:w="-1" w:type="dxa"/>
              <w:bottom w:w="-1" w:type="dxa"/>
              <w:right w:w="-1" w:type="dxa"/>
            </w:tcMar>
            <w:vAlign w:val="center"/>
          </w:tcPr>
          <w:p w14:paraId="6A50FCB6">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减产年(产量30%—70%)</w:t>
            </w:r>
          </w:p>
        </w:tc>
        <w:tc>
          <w:tcPr>
            <w:tcW w:w="3542" w:type="dxa"/>
            <w:tcBorders>
              <w:top w:val="nil"/>
              <w:left w:val="nil"/>
              <w:bottom w:val="nil"/>
              <w:right w:val="nil"/>
            </w:tcBorders>
            <w:noWrap w:val="0"/>
            <w:tcMar>
              <w:top w:w="-1" w:type="dxa"/>
              <w:left w:w="-1" w:type="dxa"/>
              <w:bottom w:w="-1" w:type="dxa"/>
              <w:right w:w="-1" w:type="dxa"/>
            </w:tcMar>
            <w:vAlign w:val="center"/>
          </w:tcPr>
          <w:p w14:paraId="4618AB0B">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樱桃按实际减量发货 + 等价水源林菌补足</w:t>
            </w:r>
          </w:p>
        </w:tc>
        <w:tc>
          <w:tcPr>
            <w:tcW w:w="3139" w:type="dxa"/>
            <w:tcBorders>
              <w:top w:val="nil"/>
              <w:left w:val="nil"/>
              <w:bottom w:val="nil"/>
              <w:right w:val="nil"/>
            </w:tcBorders>
            <w:noWrap w:val="0"/>
            <w:tcMar>
              <w:top w:w="-1" w:type="dxa"/>
              <w:left w:w="-1" w:type="dxa"/>
              <w:bottom w:w="-1" w:type="dxa"/>
              <w:right w:w="-1" w:type="dxa"/>
            </w:tcMar>
            <w:vAlign w:val="center"/>
          </w:tcPr>
          <w:p w14:paraId="3E5B16FE">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林菌来自村委会已投入的林下试点,边际成本极低</w:t>
            </w:r>
          </w:p>
        </w:tc>
      </w:tr>
      <w:tr w14:paraId="702C51E3">
        <w:tblPrEx>
          <w:tblCellMar>
            <w:top w:w="0" w:type="dxa"/>
            <w:left w:w="108" w:type="dxa"/>
            <w:bottom w:w="0" w:type="dxa"/>
            <w:right w:w="108" w:type="dxa"/>
          </w:tblCellMar>
        </w:tblPrEx>
        <w:trPr>
          <w:trHeight w:val="0" w:hRule="atLeast"/>
          <w:jc w:val="center"/>
        </w:trPr>
        <w:tc>
          <w:tcPr>
            <w:tcW w:w="1841" w:type="dxa"/>
            <w:tcBorders>
              <w:top w:val="nil"/>
              <w:left w:val="nil"/>
              <w:bottom w:val="single" w:color="auto" w:sz="12" w:space="0"/>
              <w:right w:val="nil"/>
            </w:tcBorders>
            <w:noWrap w:val="0"/>
            <w:tcMar>
              <w:top w:w="-1" w:type="dxa"/>
              <w:left w:w="-1" w:type="dxa"/>
              <w:bottom w:w="-1" w:type="dxa"/>
              <w:right w:w="-1" w:type="dxa"/>
            </w:tcMar>
            <w:vAlign w:val="center"/>
          </w:tcPr>
          <w:p w14:paraId="41130A54">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绝产年(产量&lt;30%)</w:t>
            </w:r>
          </w:p>
        </w:tc>
        <w:tc>
          <w:tcPr>
            <w:tcW w:w="3542" w:type="dxa"/>
            <w:tcBorders>
              <w:top w:val="nil"/>
              <w:left w:val="nil"/>
              <w:bottom w:val="single" w:color="auto" w:sz="12" w:space="0"/>
              <w:right w:val="nil"/>
            </w:tcBorders>
            <w:noWrap w:val="0"/>
            <w:tcMar>
              <w:top w:w="-1" w:type="dxa"/>
              <w:left w:w="-1" w:type="dxa"/>
              <w:bottom w:w="-1" w:type="dxa"/>
              <w:right w:w="-1" w:type="dxa"/>
            </w:tcMar>
            <w:vAlign w:val="center"/>
          </w:tcPr>
          <w:p w14:paraId="7DE3E99B">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认养权顺延一年 + 一张次年到访体验券 + 一份水源林菌慰问礼包</w:t>
            </w:r>
          </w:p>
        </w:tc>
        <w:tc>
          <w:tcPr>
            <w:tcW w:w="3139" w:type="dxa"/>
            <w:tcBorders>
              <w:top w:val="nil"/>
              <w:left w:val="nil"/>
              <w:bottom w:val="single" w:color="auto" w:sz="12" w:space="0"/>
              <w:right w:val="nil"/>
            </w:tcBorders>
            <w:noWrap w:val="0"/>
            <w:tcMar>
              <w:top w:w="-1" w:type="dxa"/>
              <w:left w:w="-1" w:type="dxa"/>
              <w:bottom w:w="-1" w:type="dxa"/>
              <w:right w:w="-1" w:type="dxa"/>
            </w:tcMar>
            <w:vAlign w:val="center"/>
          </w:tcPr>
          <w:p w14:paraId="146FF6A6">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林菌仍由村委会已有产能承担,村委会不新增现金投入</w:t>
            </w:r>
          </w:p>
        </w:tc>
      </w:tr>
    </w:tbl>
    <w:p w14:paraId="5612107A">
      <w:pPr>
        <w:pageBreakBefore w:val="0"/>
        <w:widowControl w:val="0"/>
        <w:kinsoku/>
        <w:wordWrap/>
        <w:overflowPunct/>
        <w:topLinePunct w:val="0"/>
        <w:autoSpaceDE/>
        <w:autoSpaceDN/>
        <w:bidi w:val="0"/>
        <w:adjustRightInd/>
        <w:spacing w:line="440" w:lineRule="atLeast"/>
        <w:ind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认养合同正本明确写入“天气不可抗力条款”，用户在签约页面即可看到减产与绝产情境的处置方式。这种事先透明的风险披露，比事后道歉具备更强的品牌信任积累能力，也把农业不可控风险从村委会单方承担转为合约内共担。</w:t>
      </w:r>
    </w:p>
    <w:p w14:paraId="28E9FD17">
      <w:pPr>
        <w:pStyle w:val="4"/>
        <w:bidi w:val="0"/>
        <w:rPr>
          <w:rFonts w:hint="eastAsia"/>
          <w:lang w:val="en-US" w:eastAsia="zh-CN"/>
        </w:rPr>
      </w:pPr>
      <w:bookmarkStart w:id="82" w:name="_Toc16380"/>
      <w:r>
        <w:rPr>
          <w:rFonts w:hint="eastAsia"/>
          <w:lang w:val="en-US" w:eastAsia="zh-CN"/>
        </w:rPr>
        <w:t>5.3.3物流三选一：用户自付，村里零投入</w:t>
      </w:r>
      <w:bookmarkEnd w:id="82"/>
    </w:p>
    <w:p w14:paraId="3703A41E">
      <w:pPr>
        <w:pageBreakBefore w:val="0"/>
        <w:widowControl w:val="0"/>
        <w:kinsoku/>
        <w:wordWrap/>
        <w:overflowPunct/>
        <w:topLinePunct w:val="0"/>
        <w:autoSpaceDE/>
        <w:autoSpaceDN/>
        <w:bidi w:val="0"/>
        <w:adjustRightInd/>
        <w:spacing w:line="440" w:lineRule="atLeast"/>
        <w:ind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村委会长期以来的樱桃销售模式是当天采摘当天售罄，没有冷链、仓储、包装基础设施，也没有投入这些基础设施的意愿与预算。因此，本项目认养产品在物流环节坚持村里零垫资原则，所有物流费用由用户或外部合作方承担。</w:t>
      </w:r>
    </w:p>
    <w:p w14:paraId="47275195">
      <w:pPr>
        <w:pageBreakBefore w:val="0"/>
        <w:widowControl w:val="0"/>
        <w:kinsoku/>
        <w:wordWrap/>
        <w:overflowPunct/>
        <w:topLinePunct w:val="0"/>
        <w:autoSpaceDE/>
        <w:autoSpaceDN/>
        <w:bidi w:val="0"/>
        <w:adjustRightInd/>
        <w:spacing w:line="440" w:lineRule="atLeast"/>
        <w:ind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物流方案A为到访自取，这也是默认方案，目标占比百分之六十。认养人在采摘季前通过小程序预约到访日，当天亲自入园采摘、自行包装、自行带走。村里仅提供采摘接待、简易包装纸盒和称重确认三项标准服务，这恰好是村委会已有的日常采摘接待能力，边际新增投入为零。此方案主要对接入门款用户，也是情感体验最强的方案——到了现场亲手摘下属于自己一棵树的果实，这是任何电商都复制不了的价值。</w:t>
      </w:r>
    </w:p>
    <w:p w14:paraId="5052FDC8">
      <w:pPr>
        <w:pageBreakBefore w:val="0"/>
        <w:widowControl w:val="0"/>
        <w:kinsoku/>
        <w:wordWrap/>
        <w:overflowPunct/>
        <w:topLinePunct w:val="0"/>
        <w:autoSpaceDE/>
        <w:autoSpaceDN/>
        <w:bidi w:val="0"/>
        <w:adjustRightInd/>
        <w:spacing w:line="440" w:lineRule="atLeast"/>
        <w:ind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物流方案B为顺丰樱桃专线，由用户付费，目标占比百分之三十。项目对接顺丰速运现成的樱桃冷链专线服务，流程为认养管家统一采摘，村里集中打包，顺丰上门取件，冷链四十八小时内寄达。包装材料由顺丰或专业包装服务商提供，标准款定价中已含八十到一百五十元物流成本并明示，用户下单时即可看到运费拆分。村里执行采、装、交件三步，零垫资。前任团队遗留的已印制品牌礼盒有数千套，在此环节可以零成本复用，同时消化前期固定资产。</w:t>
      </w:r>
    </w:p>
    <w:p w14:paraId="412F3E16">
      <w:pPr>
        <w:pageBreakBefore w:val="0"/>
        <w:widowControl w:val="0"/>
        <w:kinsoku/>
        <w:wordWrap/>
        <w:overflowPunct/>
        <w:topLinePunct w:val="0"/>
        <w:autoSpaceDE/>
        <w:autoSpaceDN/>
        <w:bidi w:val="0"/>
        <w:adjustRightInd/>
        <w:spacing w:line="440" w:lineRule="atLeast"/>
        <w:ind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物流方案C为团队集中自提日，作为兜底方案。采摘季末若有少量未到访、也未选择寄送的用户，团队安排一次集中取货日，地点选在竞赛队所在高校或北京城区合作点，统一用车运输，摊派成本每单三十到五十元，由用户承担。此方案预期使用比例不超过百分之十。</w:t>
      </w:r>
    </w:p>
    <w:p w14:paraId="7EB85FDA">
      <w:pPr>
        <w:pageBreakBefore w:val="0"/>
        <w:widowControl w:val="0"/>
        <w:kinsoku/>
        <w:wordWrap/>
        <w:overflowPunct/>
        <w:topLinePunct w:val="0"/>
        <w:autoSpaceDE/>
        <w:autoSpaceDN/>
        <w:bidi w:val="0"/>
        <w:adjustRightInd/>
        <w:spacing w:line="440" w:lineRule="atLeast"/>
        <w:ind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关于仓储问题，本项目不建设冷库，而是以时间压缩替代空间储存。采摘当天完成打包，次日顺丰上门，第三天到达用户手中，全链路四十八到七十二小时。顺丰樱桃专线在京津冀范围内是成熟服务，失败率极低。集中发货日的运力协调在采摘季前一个月锁定档期，避免高峰期爆仓。</w:t>
      </w:r>
    </w:p>
    <w:p w14:paraId="4D80FC2C">
      <w:pPr>
        <w:pStyle w:val="4"/>
        <w:bidi w:val="0"/>
        <w:rPr>
          <w:rFonts w:hint="eastAsia"/>
          <w:lang w:val="en-US" w:eastAsia="zh-CN"/>
        </w:rPr>
      </w:pPr>
      <w:bookmarkStart w:id="83" w:name="_Toc14272"/>
      <w:r>
        <w:rPr>
          <w:rFonts w:hint="eastAsia"/>
          <w:lang w:val="en-US" w:eastAsia="zh-CN"/>
        </w:rPr>
        <w:t>5.3.4认养管家运营体系</w:t>
      </w:r>
      <w:bookmarkEnd w:id="83"/>
    </w:p>
    <w:p w14:paraId="3A82F998">
      <w:pPr>
        <w:pageBreakBefore w:val="0"/>
        <w:widowControl w:val="0"/>
        <w:kinsoku/>
        <w:wordWrap/>
        <w:overflowPunct/>
        <w:topLinePunct w:val="0"/>
        <w:autoSpaceDE/>
        <w:autoSpaceDN/>
        <w:bidi w:val="0"/>
        <w:adjustRightInd/>
        <w:spacing w:line="440" w:lineRule="atLeast"/>
        <w:ind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成长日记的真实感来自一线拍摄，付费互动单元的执行也需要有人到现场。杨家东庄村户籍人口约六百人，六十岁以上占比近二百七十人，体力劳动可以承担，但手机拍照、小程序上传等数字化操作存在一定门槛。本项目设立“认养管家”岗位解决这一矛盾，并与其他新增岗位做职责合并以控制人力成本。</w:t>
      </w:r>
    </w:p>
    <w:p w14:paraId="538A2541">
      <w:pPr>
        <w:pageBreakBefore w:val="0"/>
        <w:widowControl w:val="0"/>
        <w:kinsoku/>
        <w:wordWrap/>
        <w:overflowPunct/>
        <w:topLinePunct w:val="0"/>
        <w:autoSpaceDE/>
        <w:autoSpaceDN/>
        <w:bidi w:val="0"/>
        <w:adjustRightInd/>
        <w:spacing w:line="440" w:lineRule="atLeast"/>
        <w:ind w:firstLine="480" w:firstLineChars="200"/>
        <w:textAlignment w:val="auto"/>
        <w:rPr>
          <w:rFonts w:hint="default"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岗位设计如下：</w:t>
      </w:r>
    </w:p>
    <w:p w14:paraId="1D924566">
      <w:pPr>
        <w:pageBreakBefore w:val="0"/>
        <w:widowControl w:val="0"/>
        <w:kinsoku/>
        <w:wordWrap/>
        <w:overflowPunct/>
        <w:topLinePunct w:val="0"/>
        <w:autoSpaceDE/>
        <w:autoSpaceDN/>
        <w:bidi w:val="0"/>
        <w:adjustRightInd/>
        <w:spacing w:line="440" w:lineRule="atLeast"/>
        <w:ind w:firstLine="480" w:firstLineChars="200"/>
        <w:jc w:val="center"/>
        <w:textAlignment w:val="auto"/>
        <w:rPr>
          <w:rFonts w:hint="default"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表5-4  岗位设计</w:t>
      </w:r>
    </w:p>
    <w:tbl>
      <w:tblPr>
        <w:tblStyle w:val="14"/>
        <w:tblW w:w="8522" w:type="dxa"/>
        <w:jc w:val="center"/>
        <w:tblLayout w:type="autofit"/>
        <w:tblCellMar>
          <w:top w:w="0" w:type="dxa"/>
          <w:left w:w="108" w:type="dxa"/>
          <w:bottom w:w="0" w:type="dxa"/>
          <w:right w:w="108" w:type="dxa"/>
        </w:tblCellMar>
      </w:tblPr>
      <w:tblGrid>
        <w:gridCol w:w="5440"/>
        <w:gridCol w:w="1205"/>
        <w:gridCol w:w="1877"/>
      </w:tblGrid>
      <w:tr w14:paraId="18AD9971">
        <w:tblPrEx>
          <w:tblCellMar>
            <w:top w:w="0" w:type="dxa"/>
            <w:left w:w="108" w:type="dxa"/>
            <w:bottom w:w="0" w:type="dxa"/>
            <w:right w:w="108" w:type="dxa"/>
          </w:tblCellMar>
        </w:tblPrEx>
        <w:trPr>
          <w:trHeight w:val="0" w:hRule="atLeast"/>
          <w:tblHeader/>
          <w:jc w:val="center"/>
        </w:trPr>
        <w:tc>
          <w:tcPr>
            <w:tcW w:w="5440" w:type="dxa"/>
            <w:tcBorders>
              <w:top w:val="single" w:color="auto" w:sz="12" w:space="0"/>
              <w:left w:val="nil"/>
              <w:bottom w:val="nil"/>
              <w:right w:val="nil"/>
            </w:tcBorders>
            <w:noWrap w:val="0"/>
            <w:tcMar>
              <w:top w:w="-1" w:type="dxa"/>
              <w:left w:w="-1" w:type="dxa"/>
              <w:bottom w:w="-1" w:type="dxa"/>
              <w:right w:w="-1" w:type="dxa"/>
            </w:tcMar>
            <w:vAlign w:val="center"/>
          </w:tcPr>
          <w:p w14:paraId="0BC87FDD">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职责</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5E513B68">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工时占比</w:t>
            </w:r>
          </w:p>
        </w:tc>
        <w:tc>
          <w:tcPr>
            <w:tcW w:w="1877" w:type="dxa"/>
            <w:tcBorders>
              <w:top w:val="single" w:color="auto" w:sz="12" w:space="0"/>
              <w:left w:val="nil"/>
              <w:bottom w:val="nil"/>
              <w:right w:val="nil"/>
            </w:tcBorders>
            <w:noWrap w:val="0"/>
            <w:tcMar>
              <w:top w:w="-1" w:type="dxa"/>
              <w:left w:w="-1" w:type="dxa"/>
              <w:bottom w:w="-1" w:type="dxa"/>
              <w:right w:w="-1" w:type="dxa"/>
            </w:tcMar>
            <w:vAlign w:val="center"/>
          </w:tcPr>
          <w:p w14:paraId="35980B1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触发频率</w:t>
            </w:r>
          </w:p>
        </w:tc>
      </w:tr>
      <w:tr w14:paraId="61885A80">
        <w:tblPrEx>
          <w:tblCellMar>
            <w:top w:w="0" w:type="dxa"/>
            <w:left w:w="108" w:type="dxa"/>
            <w:bottom w:w="0" w:type="dxa"/>
            <w:right w:w="108" w:type="dxa"/>
          </w:tblCellMar>
        </w:tblPrEx>
        <w:trPr>
          <w:trHeight w:val="0" w:hRule="atLeast"/>
          <w:jc w:val="center"/>
        </w:trPr>
        <w:tc>
          <w:tcPr>
            <w:tcW w:w="5440" w:type="dxa"/>
            <w:tcBorders>
              <w:top w:val="single" w:color="auto" w:sz="4" w:space="0"/>
              <w:left w:val="nil"/>
              <w:bottom w:val="nil"/>
              <w:right w:val="nil"/>
            </w:tcBorders>
            <w:noWrap w:val="0"/>
            <w:tcMar>
              <w:top w:w="-1" w:type="dxa"/>
              <w:left w:w="-1" w:type="dxa"/>
              <w:bottom w:w="-1" w:type="dxa"/>
              <w:right w:w="-1" w:type="dxa"/>
            </w:tcMar>
            <w:vAlign w:val="center"/>
          </w:tcPr>
          <w:p w14:paraId="2D7E55A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认养树管护拍摄、成长日记素材采集、互动服务执行</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2B86469">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40%</w:t>
            </w:r>
          </w:p>
        </w:tc>
        <w:tc>
          <w:tcPr>
            <w:tcW w:w="1877" w:type="dxa"/>
            <w:tcBorders>
              <w:top w:val="single" w:color="auto" w:sz="4" w:space="0"/>
              <w:left w:val="nil"/>
              <w:bottom w:val="nil"/>
              <w:right w:val="nil"/>
            </w:tcBorders>
            <w:noWrap w:val="0"/>
            <w:tcMar>
              <w:top w:w="-1" w:type="dxa"/>
              <w:left w:w="-1" w:type="dxa"/>
              <w:bottom w:w="-1" w:type="dxa"/>
              <w:right w:w="-1" w:type="dxa"/>
            </w:tcMar>
            <w:vAlign w:val="center"/>
          </w:tcPr>
          <w:p w14:paraId="5A038B6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每周集中2天</w:t>
            </w:r>
          </w:p>
        </w:tc>
      </w:tr>
      <w:tr w14:paraId="269CA88D">
        <w:tblPrEx>
          <w:tblCellMar>
            <w:top w:w="0" w:type="dxa"/>
            <w:left w:w="108" w:type="dxa"/>
            <w:bottom w:w="0" w:type="dxa"/>
            <w:right w:w="108" w:type="dxa"/>
          </w:tblCellMar>
        </w:tblPrEx>
        <w:trPr>
          <w:trHeight w:val="0" w:hRule="atLeast"/>
          <w:jc w:val="center"/>
        </w:trPr>
        <w:tc>
          <w:tcPr>
            <w:tcW w:w="5440" w:type="dxa"/>
            <w:tcBorders>
              <w:top w:val="nil"/>
              <w:left w:val="nil"/>
              <w:bottom w:val="nil"/>
              <w:right w:val="nil"/>
            </w:tcBorders>
            <w:noWrap w:val="0"/>
            <w:tcMar>
              <w:top w:w="-1" w:type="dxa"/>
              <w:left w:w="-1" w:type="dxa"/>
              <w:bottom w:w="-1" w:type="dxa"/>
              <w:right w:w="-1" w:type="dxa"/>
            </w:tcMar>
            <w:vAlign w:val="center"/>
          </w:tcPr>
          <w:p w14:paraId="05610DE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无人驿站每日巡检、补货协助、清洁维护、故障上报</w:t>
            </w:r>
          </w:p>
        </w:tc>
        <w:tc>
          <w:tcPr>
            <w:tcW w:w="0" w:type="auto"/>
            <w:tcBorders>
              <w:top w:val="nil"/>
              <w:left w:val="nil"/>
              <w:bottom w:val="nil"/>
              <w:right w:val="nil"/>
            </w:tcBorders>
            <w:noWrap w:val="0"/>
            <w:tcMar>
              <w:top w:w="-1" w:type="dxa"/>
              <w:left w:w="-1" w:type="dxa"/>
              <w:bottom w:w="-1" w:type="dxa"/>
              <w:right w:w="-1" w:type="dxa"/>
            </w:tcMar>
            <w:vAlign w:val="center"/>
          </w:tcPr>
          <w:p w14:paraId="6DC3E721">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30%</w:t>
            </w:r>
          </w:p>
        </w:tc>
        <w:tc>
          <w:tcPr>
            <w:tcW w:w="1877" w:type="dxa"/>
            <w:tcBorders>
              <w:top w:val="nil"/>
              <w:left w:val="nil"/>
              <w:bottom w:val="nil"/>
              <w:right w:val="nil"/>
            </w:tcBorders>
            <w:noWrap w:val="0"/>
            <w:tcMar>
              <w:top w:w="-1" w:type="dxa"/>
              <w:left w:w="-1" w:type="dxa"/>
              <w:bottom w:w="-1" w:type="dxa"/>
              <w:right w:w="-1" w:type="dxa"/>
            </w:tcMar>
            <w:vAlign w:val="center"/>
          </w:tcPr>
          <w:p w14:paraId="0DA58390">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每日约1小时</w:t>
            </w:r>
          </w:p>
        </w:tc>
      </w:tr>
      <w:tr w14:paraId="2057D67F">
        <w:tblPrEx>
          <w:tblCellMar>
            <w:top w:w="0" w:type="dxa"/>
            <w:left w:w="108" w:type="dxa"/>
            <w:bottom w:w="0" w:type="dxa"/>
            <w:right w:w="108" w:type="dxa"/>
          </w:tblCellMar>
        </w:tblPrEx>
        <w:trPr>
          <w:trHeight w:val="0" w:hRule="atLeast"/>
          <w:jc w:val="center"/>
        </w:trPr>
        <w:tc>
          <w:tcPr>
            <w:tcW w:w="5440" w:type="dxa"/>
            <w:tcBorders>
              <w:top w:val="nil"/>
              <w:left w:val="nil"/>
              <w:bottom w:val="single" w:color="auto" w:sz="12" w:space="0"/>
              <w:right w:val="nil"/>
            </w:tcBorders>
            <w:noWrap w:val="0"/>
            <w:tcMar>
              <w:top w:w="-1" w:type="dxa"/>
              <w:left w:w="-1" w:type="dxa"/>
              <w:bottom w:w="-1" w:type="dxa"/>
              <w:right w:w="-1" w:type="dxa"/>
            </w:tcMar>
            <w:vAlign w:val="center"/>
          </w:tcPr>
          <w:p w14:paraId="69909A73">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研学团与企业认养日接待、采摘日现场组织</w:t>
            </w:r>
          </w:p>
        </w:tc>
        <w:tc>
          <w:tcPr>
            <w:tcW w:w="1205" w:type="dxa"/>
            <w:tcBorders>
              <w:top w:val="nil"/>
              <w:left w:val="nil"/>
              <w:bottom w:val="single" w:color="auto" w:sz="12" w:space="0"/>
              <w:right w:val="nil"/>
            </w:tcBorders>
            <w:noWrap w:val="0"/>
            <w:tcMar>
              <w:top w:w="-1" w:type="dxa"/>
              <w:left w:w="-1" w:type="dxa"/>
              <w:bottom w:w="-1" w:type="dxa"/>
              <w:right w:w="-1" w:type="dxa"/>
            </w:tcMar>
            <w:vAlign w:val="center"/>
          </w:tcPr>
          <w:p w14:paraId="799D5889">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30%</w:t>
            </w:r>
          </w:p>
        </w:tc>
        <w:tc>
          <w:tcPr>
            <w:tcW w:w="1877" w:type="dxa"/>
            <w:tcBorders>
              <w:top w:val="nil"/>
              <w:left w:val="nil"/>
              <w:bottom w:val="single" w:color="auto" w:sz="12" w:space="0"/>
              <w:right w:val="nil"/>
            </w:tcBorders>
            <w:noWrap w:val="0"/>
            <w:tcMar>
              <w:top w:w="-1" w:type="dxa"/>
              <w:left w:w="-1" w:type="dxa"/>
              <w:bottom w:w="-1" w:type="dxa"/>
              <w:right w:w="-1" w:type="dxa"/>
            </w:tcMar>
            <w:vAlign w:val="center"/>
          </w:tcPr>
          <w:p w14:paraId="49A9A44E">
            <w:pPr>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按预约出勤</w:t>
            </w:r>
          </w:p>
        </w:tc>
      </w:tr>
    </w:tbl>
    <w:p w14:paraId="26574615">
      <w:pPr>
        <w:pageBreakBefore w:val="0"/>
        <w:widowControl w:val="0"/>
        <w:kinsoku/>
        <w:wordWrap/>
        <w:overflowPunct/>
        <w:topLinePunct w:val="0"/>
        <w:autoSpaceDE/>
        <w:autoSpaceDN/>
        <w:bidi w:val="0"/>
        <w:adjustRightInd/>
        <w:spacing w:line="440" w:lineRule="atLeast"/>
        <w:ind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薪酬结构方面，管家薪酬由项目运营收入覆盖，不占用村集体日常经费。具体构成为基础工资每月两千五百到三千五百元，互动服务提成百分之二十到三十，以及驿站销售与研学接待的阶梯奖金。年度薪酬预估每人四到六万元，首年聘用一到两人足够支撑第一年的规模。招聘优先从本村或邻村五十岁左右、具备基础智能手机使用能力的村民中选拔。团队在项目启动阶段承担七到十天的标准化培训，覆盖拍摄规范、小程序录入、话术模板和应急处置四大模块。</w:t>
      </w:r>
    </w:p>
    <w:p w14:paraId="6278F469">
      <w:pPr>
        <w:pStyle w:val="4"/>
        <w:bidi w:val="0"/>
        <w:rPr>
          <w:rFonts w:hint="eastAsia"/>
          <w:lang w:val="en-US" w:eastAsia="zh-CN"/>
        </w:rPr>
      </w:pPr>
      <w:bookmarkStart w:id="84" w:name="_Toc28009"/>
      <w:r>
        <w:rPr>
          <w:rFonts w:hint="eastAsia"/>
          <w:lang w:val="en-US" w:eastAsia="zh-CN"/>
        </w:rPr>
        <w:t>5.3.5预售验证与动态定价策略</w:t>
      </w:r>
      <w:bookmarkEnd w:id="84"/>
    </w:p>
    <w:p w14:paraId="3B12F380">
      <w:pPr>
        <w:pageBreakBefore w:val="0"/>
        <w:widowControl w:val="0"/>
        <w:kinsoku/>
        <w:wordWrap/>
        <w:overflowPunct/>
        <w:topLinePunct w:val="0"/>
        <w:autoSpaceDE/>
        <w:autoSpaceDN/>
        <w:bidi w:val="0"/>
        <w:adjustRightInd/>
        <w:spacing w:line="440" w:lineRule="atLeast"/>
        <w:ind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三档价格的具体锚点不在方案中预先锁死，而是通过小范围种子预售进行市场真实接受度验证，避免把定价风险一次性押在无依据的数字上。</w:t>
      </w:r>
    </w:p>
    <w:p w14:paraId="20E1B739">
      <w:pPr>
        <w:pageBreakBefore w:val="0"/>
        <w:widowControl w:val="0"/>
        <w:kinsoku/>
        <w:wordWrap/>
        <w:overflowPunct/>
        <w:topLinePunct w:val="0"/>
        <w:autoSpaceDE/>
        <w:autoSpaceDN/>
        <w:bidi w:val="0"/>
        <w:adjustRightInd/>
        <w:spacing w:line="440" w:lineRule="atLeast"/>
        <w:ind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第一期预售安排在项目启动后第三到六周，入门款以八十元优惠让利测试，面向团队成员所在高校与指导老师的人脉圈层，目标完成三十到五十棵。第二期预售在项目启动后第七到十二周，开放至小红书和朋友圈进行精准投放，目标再完成三十到五十棵。企业款的商务拓展在项目启动后第四周即启动，定向对接现有帮扶企业，争取将一次性采购升级为年度认养合同，目标第一年至少签约三到五家企业。</w:t>
      </w:r>
    </w:p>
    <w:p w14:paraId="06CDAE80">
      <w:pPr>
        <w:pageBreakBefore w:val="0"/>
        <w:widowControl w:val="0"/>
        <w:kinsoku/>
        <w:wordWrap/>
        <w:overflowPunct/>
        <w:topLinePunct w:val="0"/>
        <w:autoSpaceDE/>
        <w:autoSpaceDN/>
        <w:bidi w:val="0"/>
        <w:adjustRightInd/>
        <w:spacing w:line="440" w:lineRule="atLeast"/>
        <w:ind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预售数据将用于最终定价的微调。如果入门款六百八十元在预售场即售罄，则正式价可上调至七百八十到八百八十元；若预售滞销则下调至五百八十元或增加权益。这种“先验证后定价”的方法在新消费品牌中已被大量验证，也更能回应揭榜挂帅赛道对真实性的要求。</w:t>
      </w:r>
    </w:p>
    <w:p w14:paraId="74AE22F6">
      <w:pPr>
        <w:pStyle w:val="4"/>
        <w:bidi w:val="0"/>
        <w:rPr>
          <w:rFonts w:hint="eastAsia"/>
          <w:lang w:val="en-US" w:eastAsia="zh-CN"/>
        </w:rPr>
      </w:pPr>
      <w:bookmarkStart w:id="85" w:name="_Toc27842"/>
      <w:r>
        <w:rPr>
          <w:rFonts w:hint="eastAsia"/>
          <w:lang w:val="en-US" w:eastAsia="zh-CN"/>
        </w:rPr>
        <w:t>5.3.6三年规划与收益测算</w:t>
      </w:r>
      <w:bookmarkEnd w:id="85"/>
    </w:p>
    <w:p w14:paraId="7525F255">
      <w:pPr>
        <w:pageBreakBefore w:val="0"/>
        <w:widowControl w:val="0"/>
        <w:kinsoku/>
        <w:wordWrap/>
        <w:overflowPunct/>
        <w:topLinePunct w:val="0"/>
        <w:autoSpaceDE/>
        <w:autoSpaceDN/>
        <w:bidi w:val="0"/>
        <w:adjustRightInd/>
        <w:spacing w:line="440" w:lineRule="atLeast"/>
        <w:ind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基于客群构成假设与三档占比推演,三年认养收入的保守测算如下。</w:t>
      </w:r>
    </w:p>
    <w:p w14:paraId="6664BADE">
      <w:pPr>
        <w:keepNext/>
        <w:pageBreakBefore w:val="0"/>
        <w:widowControl w:val="0"/>
        <w:kinsoku/>
        <w:wordWrap/>
        <w:overflowPunct/>
        <w:topLinePunct w:val="0"/>
        <w:autoSpaceDE/>
        <w:autoSpaceDN/>
        <w:bidi w:val="0"/>
        <w:adjustRightInd/>
        <w:spacing w:line="440" w:lineRule="atLeast"/>
        <w:ind w:firstLine="480" w:firstLineChars="200"/>
        <w:jc w:val="center"/>
        <w:textAlignment w:val="auto"/>
        <w:rPr>
          <w:rFonts w:hint="default"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表5-5 三年认养收入的保守预算</w:t>
      </w:r>
    </w:p>
    <w:tbl>
      <w:tblPr>
        <w:tblStyle w:val="14"/>
        <w:tblW w:w="8522" w:type="dxa"/>
        <w:jc w:val="center"/>
        <w:tblLayout w:type="autofit"/>
        <w:tblCellMar>
          <w:top w:w="0" w:type="dxa"/>
          <w:left w:w="108" w:type="dxa"/>
          <w:bottom w:w="0" w:type="dxa"/>
          <w:right w:w="108" w:type="dxa"/>
        </w:tblCellMar>
      </w:tblPr>
      <w:tblGrid>
        <w:gridCol w:w="5657"/>
        <w:gridCol w:w="901"/>
        <w:gridCol w:w="906"/>
        <w:gridCol w:w="1058"/>
      </w:tblGrid>
      <w:tr w14:paraId="158C26B9">
        <w:tblPrEx>
          <w:tblCellMar>
            <w:top w:w="0" w:type="dxa"/>
            <w:left w:w="108" w:type="dxa"/>
            <w:bottom w:w="0" w:type="dxa"/>
            <w:right w:w="108" w:type="dxa"/>
          </w:tblCellMar>
        </w:tblPrEx>
        <w:trPr>
          <w:trHeight w:val="0" w:hRule="atLeast"/>
          <w:tblHeader/>
          <w:jc w:val="center"/>
        </w:trPr>
        <w:tc>
          <w:tcPr>
            <w:tcW w:w="5657" w:type="dxa"/>
            <w:tcBorders>
              <w:top w:val="single" w:color="auto" w:sz="12" w:space="0"/>
              <w:left w:val="nil"/>
              <w:bottom w:val="nil"/>
              <w:right w:val="nil"/>
            </w:tcBorders>
            <w:noWrap w:val="0"/>
            <w:tcMar>
              <w:top w:w="-1" w:type="dxa"/>
              <w:left w:w="-1" w:type="dxa"/>
              <w:bottom w:w="-1" w:type="dxa"/>
              <w:right w:w="-1" w:type="dxa"/>
            </w:tcMar>
            <w:vAlign w:val="center"/>
          </w:tcPr>
          <w:p w14:paraId="6B9B471B">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指标</w:t>
            </w:r>
          </w:p>
        </w:tc>
        <w:tc>
          <w:tcPr>
            <w:tcW w:w="901" w:type="dxa"/>
            <w:tcBorders>
              <w:top w:val="single" w:color="auto" w:sz="12" w:space="0"/>
              <w:left w:val="nil"/>
              <w:bottom w:val="nil"/>
              <w:right w:val="nil"/>
            </w:tcBorders>
            <w:noWrap w:val="0"/>
            <w:tcMar>
              <w:top w:w="-1" w:type="dxa"/>
              <w:left w:w="-1" w:type="dxa"/>
              <w:bottom w:w="-1" w:type="dxa"/>
              <w:right w:w="-1" w:type="dxa"/>
            </w:tcMar>
            <w:vAlign w:val="center"/>
          </w:tcPr>
          <w:p w14:paraId="0DEDEEFF">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Y1</w:t>
            </w:r>
          </w:p>
        </w:tc>
        <w:tc>
          <w:tcPr>
            <w:tcW w:w="906" w:type="dxa"/>
            <w:tcBorders>
              <w:top w:val="single" w:color="auto" w:sz="12" w:space="0"/>
              <w:left w:val="nil"/>
              <w:bottom w:val="nil"/>
              <w:right w:val="nil"/>
            </w:tcBorders>
            <w:noWrap w:val="0"/>
            <w:tcMar>
              <w:top w:w="-1" w:type="dxa"/>
              <w:left w:w="-1" w:type="dxa"/>
              <w:bottom w:w="-1" w:type="dxa"/>
              <w:right w:w="-1" w:type="dxa"/>
            </w:tcMar>
            <w:vAlign w:val="center"/>
          </w:tcPr>
          <w:p w14:paraId="1DF77D3A">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Y2</w:t>
            </w:r>
          </w:p>
        </w:tc>
        <w:tc>
          <w:tcPr>
            <w:tcW w:w="1058" w:type="dxa"/>
            <w:tcBorders>
              <w:top w:val="single" w:color="auto" w:sz="12" w:space="0"/>
              <w:left w:val="nil"/>
              <w:bottom w:val="nil"/>
              <w:right w:val="nil"/>
            </w:tcBorders>
            <w:noWrap w:val="0"/>
            <w:tcMar>
              <w:top w:w="-1" w:type="dxa"/>
              <w:left w:w="-1" w:type="dxa"/>
              <w:bottom w:w="-1" w:type="dxa"/>
              <w:right w:w="-1" w:type="dxa"/>
            </w:tcMar>
            <w:vAlign w:val="center"/>
          </w:tcPr>
          <w:p w14:paraId="24BC375B">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Y3</w:t>
            </w:r>
          </w:p>
        </w:tc>
      </w:tr>
      <w:tr w14:paraId="03D580DD">
        <w:tblPrEx>
          <w:tblCellMar>
            <w:top w:w="0" w:type="dxa"/>
            <w:left w:w="108" w:type="dxa"/>
            <w:bottom w:w="0" w:type="dxa"/>
            <w:right w:w="108" w:type="dxa"/>
          </w:tblCellMar>
        </w:tblPrEx>
        <w:trPr>
          <w:trHeight w:val="0" w:hRule="atLeast"/>
          <w:jc w:val="center"/>
        </w:trPr>
        <w:tc>
          <w:tcPr>
            <w:tcW w:w="5657" w:type="dxa"/>
            <w:tcBorders>
              <w:top w:val="single" w:color="auto" w:sz="4" w:space="0"/>
              <w:left w:val="nil"/>
              <w:bottom w:val="nil"/>
              <w:right w:val="nil"/>
            </w:tcBorders>
            <w:noWrap w:val="0"/>
            <w:tcMar>
              <w:top w:w="-1" w:type="dxa"/>
              <w:left w:w="-1" w:type="dxa"/>
              <w:bottom w:w="-1" w:type="dxa"/>
              <w:right w:w="-1" w:type="dxa"/>
            </w:tcMar>
            <w:vAlign w:val="center"/>
          </w:tcPr>
          <w:p w14:paraId="2DE61712">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认养总棵数</w:t>
            </w:r>
          </w:p>
        </w:tc>
        <w:tc>
          <w:tcPr>
            <w:tcW w:w="901" w:type="dxa"/>
            <w:tcBorders>
              <w:top w:val="single" w:color="auto" w:sz="4" w:space="0"/>
              <w:left w:val="nil"/>
              <w:bottom w:val="nil"/>
              <w:right w:val="nil"/>
            </w:tcBorders>
            <w:noWrap w:val="0"/>
            <w:tcMar>
              <w:top w:w="-1" w:type="dxa"/>
              <w:left w:w="-1" w:type="dxa"/>
              <w:bottom w:w="-1" w:type="dxa"/>
              <w:right w:w="-1" w:type="dxa"/>
            </w:tcMar>
            <w:vAlign w:val="center"/>
          </w:tcPr>
          <w:p w14:paraId="174D08A3">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80</w:t>
            </w:r>
          </w:p>
        </w:tc>
        <w:tc>
          <w:tcPr>
            <w:tcW w:w="906" w:type="dxa"/>
            <w:tcBorders>
              <w:top w:val="single" w:color="auto" w:sz="4" w:space="0"/>
              <w:left w:val="nil"/>
              <w:bottom w:val="nil"/>
              <w:right w:val="nil"/>
            </w:tcBorders>
            <w:noWrap w:val="0"/>
            <w:tcMar>
              <w:top w:w="-1" w:type="dxa"/>
              <w:left w:w="-1" w:type="dxa"/>
              <w:bottom w:w="-1" w:type="dxa"/>
              <w:right w:w="-1" w:type="dxa"/>
            </w:tcMar>
            <w:vAlign w:val="center"/>
          </w:tcPr>
          <w:p w14:paraId="313FECE3">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250</w:t>
            </w:r>
          </w:p>
        </w:tc>
        <w:tc>
          <w:tcPr>
            <w:tcW w:w="1058" w:type="dxa"/>
            <w:tcBorders>
              <w:top w:val="single" w:color="auto" w:sz="4" w:space="0"/>
              <w:left w:val="nil"/>
              <w:bottom w:val="nil"/>
              <w:right w:val="nil"/>
            </w:tcBorders>
            <w:noWrap w:val="0"/>
            <w:tcMar>
              <w:top w:w="-1" w:type="dxa"/>
              <w:left w:w="-1" w:type="dxa"/>
              <w:bottom w:w="-1" w:type="dxa"/>
              <w:right w:w="-1" w:type="dxa"/>
            </w:tcMar>
            <w:vAlign w:val="center"/>
          </w:tcPr>
          <w:p w14:paraId="7BDCF3AE">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450</w:t>
            </w:r>
          </w:p>
        </w:tc>
      </w:tr>
      <w:tr w14:paraId="7AE2DDD6">
        <w:tblPrEx>
          <w:tblCellMar>
            <w:top w:w="0" w:type="dxa"/>
            <w:left w:w="108" w:type="dxa"/>
            <w:bottom w:w="0" w:type="dxa"/>
            <w:right w:w="108" w:type="dxa"/>
          </w:tblCellMar>
        </w:tblPrEx>
        <w:trPr>
          <w:trHeight w:val="0" w:hRule="atLeast"/>
          <w:jc w:val="center"/>
        </w:trPr>
        <w:tc>
          <w:tcPr>
            <w:tcW w:w="5657" w:type="dxa"/>
            <w:tcBorders>
              <w:top w:val="nil"/>
              <w:left w:val="nil"/>
              <w:bottom w:val="nil"/>
              <w:right w:val="nil"/>
            </w:tcBorders>
            <w:noWrap w:val="0"/>
            <w:tcMar>
              <w:top w:w="-1" w:type="dxa"/>
              <w:left w:w="-1" w:type="dxa"/>
              <w:bottom w:w="-1" w:type="dxa"/>
              <w:right w:w="-1" w:type="dxa"/>
            </w:tcMar>
            <w:vAlign w:val="center"/>
          </w:tcPr>
          <w:p w14:paraId="27F5097D">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入门款占比</w:t>
            </w:r>
          </w:p>
        </w:tc>
        <w:tc>
          <w:tcPr>
            <w:tcW w:w="901" w:type="dxa"/>
            <w:tcBorders>
              <w:top w:val="nil"/>
              <w:left w:val="nil"/>
              <w:bottom w:val="nil"/>
              <w:right w:val="nil"/>
            </w:tcBorders>
            <w:noWrap w:val="0"/>
            <w:tcMar>
              <w:top w:w="-1" w:type="dxa"/>
              <w:left w:w="-1" w:type="dxa"/>
              <w:bottom w:w="-1" w:type="dxa"/>
              <w:right w:w="-1" w:type="dxa"/>
            </w:tcMar>
            <w:vAlign w:val="center"/>
          </w:tcPr>
          <w:p w14:paraId="6D27E057">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60%</w:t>
            </w:r>
          </w:p>
        </w:tc>
        <w:tc>
          <w:tcPr>
            <w:tcW w:w="906" w:type="dxa"/>
            <w:tcBorders>
              <w:top w:val="nil"/>
              <w:left w:val="nil"/>
              <w:bottom w:val="nil"/>
              <w:right w:val="nil"/>
            </w:tcBorders>
            <w:noWrap w:val="0"/>
            <w:tcMar>
              <w:top w:w="-1" w:type="dxa"/>
              <w:left w:w="-1" w:type="dxa"/>
              <w:bottom w:w="-1" w:type="dxa"/>
              <w:right w:w="-1" w:type="dxa"/>
            </w:tcMar>
            <w:vAlign w:val="center"/>
          </w:tcPr>
          <w:p w14:paraId="40644014">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50%</w:t>
            </w:r>
          </w:p>
        </w:tc>
        <w:tc>
          <w:tcPr>
            <w:tcW w:w="1058" w:type="dxa"/>
            <w:tcBorders>
              <w:top w:val="nil"/>
              <w:left w:val="nil"/>
              <w:bottom w:val="nil"/>
              <w:right w:val="nil"/>
            </w:tcBorders>
            <w:noWrap w:val="0"/>
            <w:tcMar>
              <w:top w:w="-1" w:type="dxa"/>
              <w:left w:w="-1" w:type="dxa"/>
              <w:bottom w:w="-1" w:type="dxa"/>
              <w:right w:w="-1" w:type="dxa"/>
            </w:tcMar>
            <w:vAlign w:val="center"/>
          </w:tcPr>
          <w:p w14:paraId="09091290">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45%</w:t>
            </w:r>
          </w:p>
        </w:tc>
      </w:tr>
      <w:tr w14:paraId="2BE3C7E4">
        <w:tblPrEx>
          <w:tblCellMar>
            <w:top w:w="0" w:type="dxa"/>
            <w:left w:w="108" w:type="dxa"/>
            <w:bottom w:w="0" w:type="dxa"/>
            <w:right w:w="108" w:type="dxa"/>
          </w:tblCellMar>
        </w:tblPrEx>
        <w:trPr>
          <w:trHeight w:val="0" w:hRule="atLeast"/>
          <w:jc w:val="center"/>
        </w:trPr>
        <w:tc>
          <w:tcPr>
            <w:tcW w:w="5657" w:type="dxa"/>
            <w:tcBorders>
              <w:top w:val="nil"/>
              <w:left w:val="nil"/>
              <w:bottom w:val="nil"/>
              <w:right w:val="nil"/>
            </w:tcBorders>
            <w:noWrap w:val="0"/>
            <w:tcMar>
              <w:top w:w="-1" w:type="dxa"/>
              <w:left w:w="-1" w:type="dxa"/>
              <w:bottom w:w="-1" w:type="dxa"/>
              <w:right w:w="-1" w:type="dxa"/>
            </w:tcMar>
            <w:vAlign w:val="center"/>
          </w:tcPr>
          <w:p w14:paraId="6FCBBB6D">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平均客单价(元)</w:t>
            </w:r>
          </w:p>
        </w:tc>
        <w:tc>
          <w:tcPr>
            <w:tcW w:w="901" w:type="dxa"/>
            <w:tcBorders>
              <w:top w:val="nil"/>
              <w:left w:val="nil"/>
              <w:bottom w:val="nil"/>
              <w:right w:val="nil"/>
            </w:tcBorders>
            <w:noWrap w:val="0"/>
            <w:tcMar>
              <w:top w:w="-1" w:type="dxa"/>
              <w:left w:w="-1" w:type="dxa"/>
              <w:bottom w:w="-1" w:type="dxa"/>
              <w:right w:w="-1" w:type="dxa"/>
            </w:tcMar>
            <w:vAlign w:val="center"/>
          </w:tcPr>
          <w:p w14:paraId="793B5519">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950</w:t>
            </w:r>
          </w:p>
        </w:tc>
        <w:tc>
          <w:tcPr>
            <w:tcW w:w="906" w:type="dxa"/>
            <w:tcBorders>
              <w:top w:val="nil"/>
              <w:left w:val="nil"/>
              <w:bottom w:val="nil"/>
              <w:right w:val="nil"/>
            </w:tcBorders>
            <w:noWrap w:val="0"/>
            <w:tcMar>
              <w:top w:w="-1" w:type="dxa"/>
              <w:left w:w="-1" w:type="dxa"/>
              <w:bottom w:w="-1" w:type="dxa"/>
              <w:right w:w="-1" w:type="dxa"/>
            </w:tcMar>
            <w:vAlign w:val="center"/>
          </w:tcPr>
          <w:p w14:paraId="75027194">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1200</w:t>
            </w:r>
          </w:p>
        </w:tc>
        <w:tc>
          <w:tcPr>
            <w:tcW w:w="1058" w:type="dxa"/>
            <w:tcBorders>
              <w:top w:val="nil"/>
              <w:left w:val="nil"/>
              <w:bottom w:val="nil"/>
              <w:right w:val="nil"/>
            </w:tcBorders>
            <w:noWrap w:val="0"/>
            <w:tcMar>
              <w:top w:w="-1" w:type="dxa"/>
              <w:left w:w="-1" w:type="dxa"/>
              <w:bottom w:w="-1" w:type="dxa"/>
              <w:right w:w="-1" w:type="dxa"/>
            </w:tcMar>
            <w:vAlign w:val="center"/>
          </w:tcPr>
          <w:p w14:paraId="0CDFEB23">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1450</w:t>
            </w:r>
          </w:p>
        </w:tc>
      </w:tr>
      <w:tr w14:paraId="6EC70D21">
        <w:tblPrEx>
          <w:tblCellMar>
            <w:top w:w="0" w:type="dxa"/>
            <w:left w:w="108" w:type="dxa"/>
            <w:bottom w:w="0" w:type="dxa"/>
            <w:right w:w="108" w:type="dxa"/>
          </w:tblCellMar>
        </w:tblPrEx>
        <w:trPr>
          <w:trHeight w:val="0" w:hRule="atLeast"/>
          <w:jc w:val="center"/>
        </w:trPr>
        <w:tc>
          <w:tcPr>
            <w:tcW w:w="5657" w:type="dxa"/>
            <w:tcBorders>
              <w:top w:val="nil"/>
              <w:left w:val="nil"/>
              <w:bottom w:val="nil"/>
              <w:right w:val="nil"/>
            </w:tcBorders>
            <w:noWrap w:val="0"/>
            <w:tcMar>
              <w:top w:w="-1" w:type="dxa"/>
              <w:left w:w="-1" w:type="dxa"/>
              <w:bottom w:w="-1" w:type="dxa"/>
              <w:right w:w="-1" w:type="dxa"/>
            </w:tcMar>
            <w:vAlign w:val="center"/>
          </w:tcPr>
          <w:p w14:paraId="07871902">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认养总收入(万元)</w:t>
            </w:r>
          </w:p>
        </w:tc>
        <w:tc>
          <w:tcPr>
            <w:tcW w:w="901" w:type="dxa"/>
            <w:tcBorders>
              <w:top w:val="nil"/>
              <w:left w:val="nil"/>
              <w:bottom w:val="nil"/>
              <w:right w:val="nil"/>
            </w:tcBorders>
            <w:noWrap w:val="0"/>
            <w:tcMar>
              <w:top w:w="-1" w:type="dxa"/>
              <w:left w:w="-1" w:type="dxa"/>
              <w:bottom w:w="-1" w:type="dxa"/>
              <w:right w:w="-1" w:type="dxa"/>
            </w:tcMar>
            <w:vAlign w:val="center"/>
          </w:tcPr>
          <w:p w14:paraId="29B40BF3">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7.6</w:t>
            </w:r>
          </w:p>
        </w:tc>
        <w:tc>
          <w:tcPr>
            <w:tcW w:w="906" w:type="dxa"/>
            <w:tcBorders>
              <w:top w:val="nil"/>
              <w:left w:val="nil"/>
              <w:bottom w:val="nil"/>
              <w:right w:val="nil"/>
            </w:tcBorders>
            <w:noWrap w:val="0"/>
            <w:tcMar>
              <w:top w:w="-1" w:type="dxa"/>
              <w:left w:w="-1" w:type="dxa"/>
              <w:bottom w:w="-1" w:type="dxa"/>
              <w:right w:w="-1" w:type="dxa"/>
            </w:tcMar>
            <w:vAlign w:val="center"/>
          </w:tcPr>
          <w:p w14:paraId="2BEBE71A">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30.0</w:t>
            </w:r>
          </w:p>
        </w:tc>
        <w:tc>
          <w:tcPr>
            <w:tcW w:w="1058" w:type="dxa"/>
            <w:tcBorders>
              <w:top w:val="nil"/>
              <w:left w:val="nil"/>
              <w:bottom w:val="nil"/>
              <w:right w:val="nil"/>
            </w:tcBorders>
            <w:noWrap w:val="0"/>
            <w:tcMar>
              <w:top w:w="-1" w:type="dxa"/>
              <w:left w:w="-1" w:type="dxa"/>
              <w:bottom w:w="-1" w:type="dxa"/>
              <w:right w:w="-1" w:type="dxa"/>
            </w:tcMar>
            <w:vAlign w:val="center"/>
          </w:tcPr>
          <w:p w14:paraId="62A0E2F2">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65.3</w:t>
            </w:r>
          </w:p>
        </w:tc>
      </w:tr>
      <w:tr w14:paraId="24D3DEF1">
        <w:tblPrEx>
          <w:tblCellMar>
            <w:top w:w="0" w:type="dxa"/>
            <w:left w:w="108" w:type="dxa"/>
            <w:bottom w:w="0" w:type="dxa"/>
            <w:right w:w="108" w:type="dxa"/>
          </w:tblCellMar>
        </w:tblPrEx>
        <w:trPr>
          <w:trHeight w:val="0" w:hRule="atLeast"/>
          <w:jc w:val="center"/>
        </w:trPr>
        <w:tc>
          <w:tcPr>
            <w:tcW w:w="5657" w:type="dxa"/>
            <w:tcBorders>
              <w:top w:val="nil"/>
              <w:left w:val="nil"/>
              <w:bottom w:val="nil"/>
              <w:right w:val="nil"/>
            </w:tcBorders>
            <w:noWrap w:val="0"/>
            <w:tcMar>
              <w:top w:w="-1" w:type="dxa"/>
              <w:left w:w="-1" w:type="dxa"/>
              <w:bottom w:w="-1" w:type="dxa"/>
              <w:right w:w="-1" w:type="dxa"/>
            </w:tcMar>
            <w:vAlign w:val="center"/>
          </w:tcPr>
          <w:p w14:paraId="3681C6E8">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互动增值包收入(万元)</w:t>
            </w:r>
          </w:p>
        </w:tc>
        <w:tc>
          <w:tcPr>
            <w:tcW w:w="901" w:type="dxa"/>
            <w:tcBorders>
              <w:top w:val="nil"/>
              <w:left w:val="nil"/>
              <w:bottom w:val="nil"/>
              <w:right w:val="nil"/>
            </w:tcBorders>
            <w:noWrap w:val="0"/>
            <w:tcMar>
              <w:top w:w="-1" w:type="dxa"/>
              <w:left w:w="-1" w:type="dxa"/>
              <w:bottom w:w="-1" w:type="dxa"/>
              <w:right w:w="-1" w:type="dxa"/>
            </w:tcMar>
            <w:vAlign w:val="center"/>
          </w:tcPr>
          <w:p w14:paraId="1BCBA0B0">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2.0</w:t>
            </w:r>
          </w:p>
        </w:tc>
        <w:tc>
          <w:tcPr>
            <w:tcW w:w="906" w:type="dxa"/>
            <w:tcBorders>
              <w:top w:val="nil"/>
              <w:left w:val="nil"/>
              <w:bottom w:val="nil"/>
              <w:right w:val="nil"/>
            </w:tcBorders>
            <w:noWrap w:val="0"/>
            <w:tcMar>
              <w:top w:w="-1" w:type="dxa"/>
              <w:left w:w="-1" w:type="dxa"/>
              <w:bottom w:w="-1" w:type="dxa"/>
              <w:right w:w="-1" w:type="dxa"/>
            </w:tcMar>
            <w:vAlign w:val="center"/>
          </w:tcPr>
          <w:p w14:paraId="1B735DAF">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7.5</w:t>
            </w:r>
          </w:p>
        </w:tc>
        <w:tc>
          <w:tcPr>
            <w:tcW w:w="1058" w:type="dxa"/>
            <w:tcBorders>
              <w:top w:val="nil"/>
              <w:left w:val="nil"/>
              <w:bottom w:val="nil"/>
              <w:right w:val="nil"/>
            </w:tcBorders>
            <w:noWrap w:val="0"/>
            <w:tcMar>
              <w:top w:w="-1" w:type="dxa"/>
              <w:left w:w="-1" w:type="dxa"/>
              <w:bottom w:w="-1" w:type="dxa"/>
              <w:right w:w="-1" w:type="dxa"/>
            </w:tcMar>
            <w:vAlign w:val="center"/>
          </w:tcPr>
          <w:p w14:paraId="5779E78F">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16.2</w:t>
            </w:r>
          </w:p>
        </w:tc>
      </w:tr>
      <w:tr w14:paraId="06A0D79B">
        <w:tblPrEx>
          <w:tblCellMar>
            <w:top w:w="0" w:type="dxa"/>
            <w:left w:w="108" w:type="dxa"/>
            <w:bottom w:w="0" w:type="dxa"/>
            <w:right w:w="108" w:type="dxa"/>
          </w:tblCellMar>
        </w:tblPrEx>
        <w:trPr>
          <w:trHeight w:val="0" w:hRule="atLeast"/>
          <w:jc w:val="center"/>
        </w:trPr>
        <w:tc>
          <w:tcPr>
            <w:tcW w:w="5657" w:type="dxa"/>
            <w:tcBorders>
              <w:top w:val="nil"/>
              <w:left w:val="nil"/>
              <w:bottom w:val="nil"/>
              <w:right w:val="nil"/>
            </w:tcBorders>
            <w:noWrap w:val="0"/>
            <w:tcMar>
              <w:top w:w="-1" w:type="dxa"/>
              <w:left w:w="-1" w:type="dxa"/>
              <w:bottom w:w="-1" w:type="dxa"/>
              <w:right w:w="-1" w:type="dxa"/>
            </w:tcMar>
            <w:vAlign w:val="center"/>
          </w:tcPr>
          <w:p w14:paraId="2345C467">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小计收入(万元)</w:t>
            </w:r>
          </w:p>
        </w:tc>
        <w:tc>
          <w:tcPr>
            <w:tcW w:w="901" w:type="dxa"/>
            <w:tcBorders>
              <w:top w:val="nil"/>
              <w:left w:val="nil"/>
              <w:bottom w:val="nil"/>
              <w:right w:val="nil"/>
            </w:tcBorders>
            <w:noWrap w:val="0"/>
            <w:tcMar>
              <w:top w:w="-1" w:type="dxa"/>
              <w:left w:w="-1" w:type="dxa"/>
              <w:bottom w:w="-1" w:type="dxa"/>
              <w:right w:w="-1" w:type="dxa"/>
            </w:tcMar>
            <w:vAlign w:val="center"/>
          </w:tcPr>
          <w:p w14:paraId="218B04F3">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9.6</w:t>
            </w:r>
          </w:p>
        </w:tc>
        <w:tc>
          <w:tcPr>
            <w:tcW w:w="906" w:type="dxa"/>
            <w:tcBorders>
              <w:top w:val="nil"/>
              <w:left w:val="nil"/>
              <w:bottom w:val="nil"/>
              <w:right w:val="nil"/>
            </w:tcBorders>
            <w:noWrap w:val="0"/>
            <w:tcMar>
              <w:top w:w="-1" w:type="dxa"/>
              <w:left w:w="-1" w:type="dxa"/>
              <w:bottom w:w="-1" w:type="dxa"/>
              <w:right w:w="-1" w:type="dxa"/>
            </w:tcMar>
            <w:vAlign w:val="center"/>
          </w:tcPr>
          <w:p w14:paraId="527EBEE1">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37.5</w:t>
            </w:r>
          </w:p>
        </w:tc>
        <w:tc>
          <w:tcPr>
            <w:tcW w:w="1058" w:type="dxa"/>
            <w:tcBorders>
              <w:top w:val="nil"/>
              <w:left w:val="nil"/>
              <w:bottom w:val="nil"/>
              <w:right w:val="nil"/>
            </w:tcBorders>
            <w:noWrap w:val="0"/>
            <w:tcMar>
              <w:top w:w="-1" w:type="dxa"/>
              <w:left w:w="-1" w:type="dxa"/>
              <w:bottom w:w="-1" w:type="dxa"/>
              <w:right w:w="-1" w:type="dxa"/>
            </w:tcMar>
            <w:vAlign w:val="center"/>
          </w:tcPr>
          <w:p w14:paraId="08DD1AA0">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81.5</w:t>
            </w:r>
          </w:p>
        </w:tc>
      </w:tr>
      <w:tr w14:paraId="4CA0A89D">
        <w:tblPrEx>
          <w:tblCellMar>
            <w:top w:w="0" w:type="dxa"/>
            <w:left w:w="108" w:type="dxa"/>
            <w:bottom w:w="0" w:type="dxa"/>
            <w:right w:w="108" w:type="dxa"/>
          </w:tblCellMar>
        </w:tblPrEx>
        <w:trPr>
          <w:trHeight w:val="0" w:hRule="atLeast"/>
          <w:jc w:val="center"/>
        </w:trPr>
        <w:tc>
          <w:tcPr>
            <w:tcW w:w="5657" w:type="dxa"/>
            <w:tcBorders>
              <w:top w:val="nil"/>
              <w:left w:val="nil"/>
              <w:bottom w:val="nil"/>
              <w:right w:val="nil"/>
            </w:tcBorders>
            <w:noWrap w:val="0"/>
            <w:tcMar>
              <w:top w:w="-1" w:type="dxa"/>
              <w:left w:w="-1" w:type="dxa"/>
              <w:bottom w:w="-1" w:type="dxa"/>
              <w:right w:w="-1" w:type="dxa"/>
            </w:tcMar>
            <w:vAlign w:val="center"/>
          </w:tcPr>
          <w:p w14:paraId="66A8B00A">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扣成本(物流/包装/管家/风险池,约25%)</w:t>
            </w:r>
          </w:p>
        </w:tc>
        <w:tc>
          <w:tcPr>
            <w:tcW w:w="901" w:type="dxa"/>
            <w:tcBorders>
              <w:top w:val="nil"/>
              <w:left w:val="nil"/>
              <w:bottom w:val="nil"/>
              <w:right w:val="nil"/>
            </w:tcBorders>
            <w:noWrap w:val="0"/>
            <w:tcMar>
              <w:top w:w="-1" w:type="dxa"/>
              <w:left w:w="-1" w:type="dxa"/>
              <w:bottom w:w="-1" w:type="dxa"/>
              <w:right w:w="-1" w:type="dxa"/>
            </w:tcMar>
            <w:vAlign w:val="center"/>
          </w:tcPr>
          <w:p w14:paraId="00862BA6">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-2.4</w:t>
            </w:r>
          </w:p>
        </w:tc>
        <w:tc>
          <w:tcPr>
            <w:tcW w:w="906" w:type="dxa"/>
            <w:tcBorders>
              <w:top w:val="nil"/>
              <w:left w:val="nil"/>
              <w:bottom w:val="nil"/>
              <w:right w:val="nil"/>
            </w:tcBorders>
            <w:noWrap w:val="0"/>
            <w:tcMar>
              <w:top w:w="-1" w:type="dxa"/>
              <w:left w:w="-1" w:type="dxa"/>
              <w:bottom w:w="-1" w:type="dxa"/>
              <w:right w:w="-1" w:type="dxa"/>
            </w:tcMar>
            <w:vAlign w:val="center"/>
          </w:tcPr>
          <w:p w14:paraId="722B83BB">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-9.4</w:t>
            </w:r>
          </w:p>
        </w:tc>
        <w:tc>
          <w:tcPr>
            <w:tcW w:w="1058" w:type="dxa"/>
            <w:tcBorders>
              <w:top w:val="nil"/>
              <w:left w:val="nil"/>
              <w:bottom w:val="nil"/>
              <w:right w:val="nil"/>
            </w:tcBorders>
            <w:noWrap w:val="0"/>
            <w:tcMar>
              <w:top w:w="-1" w:type="dxa"/>
              <w:left w:w="-1" w:type="dxa"/>
              <w:bottom w:w="-1" w:type="dxa"/>
              <w:right w:w="-1" w:type="dxa"/>
            </w:tcMar>
            <w:vAlign w:val="center"/>
          </w:tcPr>
          <w:p w14:paraId="39F97312">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-20.4</w:t>
            </w:r>
          </w:p>
        </w:tc>
      </w:tr>
      <w:tr w14:paraId="704B4A6B">
        <w:tblPrEx>
          <w:tblCellMar>
            <w:top w:w="0" w:type="dxa"/>
            <w:left w:w="108" w:type="dxa"/>
            <w:bottom w:w="0" w:type="dxa"/>
            <w:right w:w="108" w:type="dxa"/>
          </w:tblCellMar>
        </w:tblPrEx>
        <w:trPr>
          <w:trHeight w:val="0" w:hRule="atLeast"/>
          <w:jc w:val="center"/>
        </w:trPr>
        <w:tc>
          <w:tcPr>
            <w:tcW w:w="5657" w:type="dxa"/>
            <w:tcBorders>
              <w:top w:val="nil"/>
              <w:left w:val="nil"/>
              <w:bottom w:val="nil"/>
              <w:right w:val="nil"/>
            </w:tcBorders>
            <w:noWrap w:val="0"/>
            <w:tcMar>
              <w:top w:w="-1" w:type="dxa"/>
              <w:left w:w="-1" w:type="dxa"/>
              <w:bottom w:w="-1" w:type="dxa"/>
              <w:right w:w="-1" w:type="dxa"/>
            </w:tcMar>
            <w:vAlign w:val="center"/>
          </w:tcPr>
          <w:p w14:paraId="568DF68B">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认养板块净收入(万元)</w:t>
            </w:r>
          </w:p>
        </w:tc>
        <w:tc>
          <w:tcPr>
            <w:tcW w:w="901" w:type="dxa"/>
            <w:tcBorders>
              <w:top w:val="nil"/>
              <w:left w:val="nil"/>
              <w:bottom w:val="nil"/>
              <w:right w:val="nil"/>
            </w:tcBorders>
            <w:noWrap w:val="0"/>
            <w:tcMar>
              <w:top w:w="-1" w:type="dxa"/>
              <w:left w:w="-1" w:type="dxa"/>
              <w:bottom w:w="-1" w:type="dxa"/>
              <w:right w:w="-1" w:type="dxa"/>
            </w:tcMar>
            <w:vAlign w:val="center"/>
          </w:tcPr>
          <w:p w14:paraId="091BC302">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7.2</w:t>
            </w:r>
          </w:p>
        </w:tc>
        <w:tc>
          <w:tcPr>
            <w:tcW w:w="906" w:type="dxa"/>
            <w:tcBorders>
              <w:top w:val="nil"/>
              <w:left w:val="nil"/>
              <w:bottom w:val="nil"/>
              <w:right w:val="nil"/>
            </w:tcBorders>
            <w:noWrap w:val="0"/>
            <w:tcMar>
              <w:top w:w="-1" w:type="dxa"/>
              <w:left w:w="-1" w:type="dxa"/>
              <w:bottom w:w="-1" w:type="dxa"/>
              <w:right w:w="-1" w:type="dxa"/>
            </w:tcMar>
            <w:vAlign w:val="center"/>
          </w:tcPr>
          <w:p w14:paraId="2DFABB3E">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28.1</w:t>
            </w:r>
          </w:p>
        </w:tc>
        <w:tc>
          <w:tcPr>
            <w:tcW w:w="1058" w:type="dxa"/>
            <w:tcBorders>
              <w:top w:val="nil"/>
              <w:left w:val="nil"/>
              <w:bottom w:val="nil"/>
              <w:right w:val="nil"/>
            </w:tcBorders>
            <w:noWrap w:val="0"/>
            <w:tcMar>
              <w:top w:w="-1" w:type="dxa"/>
              <w:left w:w="-1" w:type="dxa"/>
              <w:bottom w:w="-1" w:type="dxa"/>
              <w:right w:w="-1" w:type="dxa"/>
            </w:tcMar>
            <w:vAlign w:val="center"/>
          </w:tcPr>
          <w:p w14:paraId="175C210B">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61.1</w:t>
            </w:r>
          </w:p>
        </w:tc>
      </w:tr>
      <w:tr w14:paraId="15B9B9AF">
        <w:tblPrEx>
          <w:tblCellMar>
            <w:top w:w="0" w:type="dxa"/>
            <w:left w:w="108" w:type="dxa"/>
            <w:bottom w:w="0" w:type="dxa"/>
            <w:right w:w="108" w:type="dxa"/>
          </w:tblCellMar>
        </w:tblPrEx>
        <w:trPr>
          <w:trHeight w:val="0" w:hRule="atLeast"/>
          <w:jc w:val="center"/>
        </w:trPr>
        <w:tc>
          <w:tcPr>
            <w:tcW w:w="5657" w:type="dxa"/>
            <w:tcBorders>
              <w:top w:val="nil"/>
              <w:left w:val="nil"/>
              <w:bottom w:val="single" w:color="auto" w:sz="12" w:space="0"/>
              <w:right w:val="nil"/>
            </w:tcBorders>
            <w:noWrap w:val="0"/>
            <w:tcMar>
              <w:top w:w="-1" w:type="dxa"/>
              <w:left w:w="-1" w:type="dxa"/>
              <w:bottom w:w="-1" w:type="dxa"/>
              <w:right w:w="-1" w:type="dxa"/>
            </w:tcMar>
            <w:vAlign w:val="center"/>
          </w:tcPr>
          <w:p w14:paraId="506ED4DF">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续费率假设</w:t>
            </w:r>
          </w:p>
        </w:tc>
        <w:tc>
          <w:tcPr>
            <w:tcW w:w="901" w:type="dxa"/>
            <w:tcBorders>
              <w:top w:val="nil"/>
              <w:left w:val="nil"/>
              <w:bottom w:val="single" w:color="auto" w:sz="12" w:space="0"/>
              <w:right w:val="nil"/>
            </w:tcBorders>
            <w:noWrap w:val="0"/>
            <w:tcMar>
              <w:top w:w="-1" w:type="dxa"/>
              <w:left w:w="-1" w:type="dxa"/>
              <w:bottom w:w="-1" w:type="dxa"/>
              <w:right w:w="-1" w:type="dxa"/>
            </w:tcMar>
            <w:vAlign w:val="center"/>
          </w:tcPr>
          <w:p w14:paraId="331D10DF">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w:t>
            </w:r>
          </w:p>
        </w:tc>
        <w:tc>
          <w:tcPr>
            <w:tcW w:w="906" w:type="dxa"/>
            <w:tcBorders>
              <w:top w:val="nil"/>
              <w:left w:val="nil"/>
              <w:bottom w:val="single" w:color="auto" w:sz="12" w:space="0"/>
              <w:right w:val="nil"/>
            </w:tcBorders>
            <w:noWrap w:val="0"/>
            <w:tcMar>
              <w:top w:w="-1" w:type="dxa"/>
              <w:left w:w="-1" w:type="dxa"/>
              <w:bottom w:w="-1" w:type="dxa"/>
              <w:right w:w="-1" w:type="dxa"/>
            </w:tcMar>
            <w:vAlign w:val="center"/>
          </w:tcPr>
          <w:p w14:paraId="74A9AD8F">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50%</w:t>
            </w:r>
          </w:p>
        </w:tc>
        <w:tc>
          <w:tcPr>
            <w:tcW w:w="1058" w:type="dxa"/>
            <w:tcBorders>
              <w:top w:val="nil"/>
              <w:left w:val="nil"/>
              <w:bottom w:val="single" w:color="auto" w:sz="12" w:space="0"/>
              <w:right w:val="nil"/>
            </w:tcBorders>
            <w:noWrap w:val="0"/>
            <w:tcMar>
              <w:top w:w="-1" w:type="dxa"/>
              <w:left w:w="-1" w:type="dxa"/>
              <w:bottom w:w="-1" w:type="dxa"/>
              <w:right w:w="-1" w:type="dxa"/>
            </w:tcMar>
            <w:vAlign w:val="center"/>
          </w:tcPr>
          <w:p w14:paraId="20DD9D72">
            <w:pPr>
              <w:keepNext/>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60%</w:t>
            </w:r>
          </w:p>
        </w:tc>
      </w:tr>
    </w:tbl>
    <w:p w14:paraId="5B97F13F">
      <w:pPr>
        <w:pageBreakBefore w:val="0"/>
        <w:widowControl w:val="0"/>
        <w:kinsoku/>
        <w:wordWrap/>
        <w:overflowPunct/>
        <w:topLinePunct w:val="0"/>
        <w:autoSpaceDE/>
        <w:autoSpaceDN/>
        <w:bidi w:val="0"/>
        <w:adjustRightInd/>
        <w:spacing w:line="440" w:lineRule="atLeast"/>
        <w:ind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第三年认养净收入六十一万元，已超过村庄二零二零年樱桃总收入的峰值水平，且具备每年递增的续费基础。这是本项目所有业务线中毛利率最高、可持续性最强、线上化程度最深的一条，也是第十章财务模型中最为稳定的收入支柱。</w:t>
      </w:r>
    </w:p>
    <w:p w14:paraId="37AC15D2">
      <w:pPr>
        <w:pStyle w:val="3"/>
        <w:bidi w:val="0"/>
        <w:rPr>
          <w:rFonts w:hint="eastAsia"/>
        </w:rPr>
      </w:pPr>
      <w:bookmarkStart w:id="86" w:name="_Toc26667"/>
      <w:r>
        <w:rPr>
          <w:rFonts w:hint="eastAsia"/>
        </w:rPr>
        <w:t>5.</w:t>
      </w:r>
      <w:r>
        <w:rPr>
          <w:rFonts w:hint="eastAsia"/>
          <w:lang w:val="en-US" w:eastAsia="zh-CN"/>
        </w:rPr>
        <w:t>4</w:t>
      </w:r>
      <w:r>
        <w:rPr>
          <w:rFonts w:hint="eastAsia"/>
        </w:rPr>
        <w:t xml:space="preserve"> 产品分级与数字化身份证</w:t>
      </w:r>
      <w:bookmarkEnd w:id="86"/>
    </w:p>
    <w:p w14:paraId="5FB119F2">
      <w:pPr>
        <w:pStyle w:val="4"/>
        <w:bidi w:val="0"/>
        <w:rPr>
          <w:rFonts w:hint="eastAsia"/>
        </w:rPr>
      </w:pPr>
      <w:bookmarkStart w:id="87" w:name="_Toc14915"/>
      <w:r>
        <w:rPr>
          <w:rFonts w:hint="eastAsia"/>
        </w:rPr>
        <w:t>5.</w:t>
      </w:r>
      <w:r>
        <w:rPr>
          <w:rFonts w:hint="eastAsia"/>
          <w:lang w:val="en-US" w:eastAsia="zh-CN"/>
        </w:rPr>
        <w:t>4</w:t>
      </w:r>
      <w:r>
        <w:rPr>
          <w:rFonts w:hint="eastAsia"/>
        </w:rPr>
        <w:t>.1 S/A/B/C四级产品体系</w:t>
      </w:r>
      <w:bookmarkEnd w:id="87"/>
    </w:p>
    <w:p w14:paraId="2B9F1124">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针对不同的市场定位与消费场景，我们将杨家东庄的樱桃产品划分为S、A、B、C四个级别，形成从高端定制到大众消费、从鲜果销售到深加工延伸的完整产品矩阵。</w:t>
      </w:r>
    </w:p>
    <w:p w14:paraId="5520FAC0">
      <w:pPr>
        <w:pageBreakBefore w:val="0"/>
        <w:widowControl w:val="0"/>
        <w:kinsoku/>
        <w:wordWrap/>
        <w:overflowPunct/>
        <w:topLinePunct w:val="0"/>
        <w:autoSpaceDE/>
        <w:autoSpaceDN/>
        <w:bidi w:val="0"/>
        <w:adjustRightInd/>
        <w:spacing w:line="440" w:lineRule="atLeas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S级：认养树专属礼盒，面向高端客户与企业团购。主打情感价值与稀缺性，含数字孪生果树、专属社群、体验日等。单价888-1888元/年。</w:t>
      </w:r>
    </w:p>
    <w:p w14:paraId="2B47E4C6">
      <w:pPr>
        <w:pageBreakBefore w:val="0"/>
        <w:widowControl w:val="0"/>
        <w:kinsoku/>
        <w:wordWrap/>
        <w:overflowPunct/>
        <w:topLinePunct w:val="0"/>
        <w:autoSpaceDE/>
        <w:autoSpaceDN/>
        <w:bidi w:val="0"/>
        <w:adjustRightInd/>
        <w:spacing w:line="440" w:lineRule="atLeas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A级：精品鲜果礼盒，配溯源证书与水源地标签，主攻送礼市场。强调品质背书与仪式感，二维码可查果树编号与管护记录。单价198-388元/盒。</w:t>
      </w:r>
    </w:p>
    <w:p w14:paraId="11258A03">
      <w:pPr>
        <w:pageBreakBefore w:val="0"/>
        <w:widowControl w:val="0"/>
        <w:kinsoku/>
        <w:wordWrap/>
        <w:overflowPunct/>
        <w:topLinePunct w:val="0"/>
        <w:autoSpaceDE/>
        <w:autoSpaceDN/>
        <w:bidi w:val="0"/>
        <w:adjustRightInd/>
        <w:spacing w:line="440" w:lineRule="atLeast"/>
        <w:jc w:val="left"/>
        <w:textAlignment w:val="auto"/>
        <w:rPr>
          <w:rFonts w:hint="eastAsia" w:ascii="宋体" w:hAnsi="宋体" w:eastAsia="宋体" w:cs="宋体"/>
          <w:sz w:val="24"/>
          <w:szCs w:val="24"/>
          <w:lang w:val="en-US" w:eastAsia="zh-CN"/>
        </w:rPr>
      </w:pPr>
    </w:p>
    <w:p w14:paraId="3743C7FC">
      <w:pPr>
        <w:pageBreakBefore w:val="0"/>
        <w:widowControl w:val="0"/>
        <w:kinsoku/>
        <w:wordWrap/>
        <w:overflowPunct/>
        <w:topLinePunct w:val="0"/>
        <w:autoSpaceDE/>
        <w:autoSpaceDN/>
        <w:bidi w:val="0"/>
        <w:adjustRightInd/>
        <w:spacing w:line="440" w:lineRule="atLeas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B级：标准装鲜果，统一品牌包装，面向大众与电商。侧重性价比与便捷性，品质达标但分级略宽松。单价68-128元/盒，用于走量铺货。</w:t>
      </w:r>
    </w:p>
    <w:p w14:paraId="69D356C9">
      <w:pPr>
        <w:pageBreakBefore w:val="0"/>
        <w:widowControl w:val="0"/>
        <w:kinsoku/>
        <w:wordWrap/>
        <w:overflowPunct/>
        <w:topLinePunct w:val="0"/>
        <w:autoSpaceDE/>
        <w:autoSpaceDN/>
        <w:bidi w:val="0"/>
        <w:adjustRightInd/>
        <w:spacing w:line="440" w:lineRule="atLeas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级：深加工产品（果酱、果干、果酒、果醋、酵素、花茶、冻干脆片等），覆盖长尾、伴手礼、骑行补给。延长产业链，消化非标果及尾货，填补非樱桃季空白。重点产品：樱桃酵素（养生）、樱桃花茶（非季输出）、冻干脆片（轻伴手礼+能量补给）。单价28-98元/件。</w:t>
      </w:r>
    </w:p>
    <w:p w14:paraId="7A116517">
      <w:pPr>
        <w:pageBreakBefore w:val="0"/>
        <w:widowControl w:val="0"/>
        <w:kinsoku/>
        <w:wordWrap/>
        <w:overflowPunct/>
        <w:topLinePunct w:val="0"/>
        <w:autoSpaceDE/>
        <w:autoSpaceDN/>
        <w:bidi w:val="0"/>
        <w:adjustRightInd/>
        <w:spacing w:line="440" w:lineRule="atLeast"/>
        <w:ind w:firstLine="48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分级作用：S级拉升品牌、锁定预售；A级承接礼品需求；B级覆盖日常渠道；C级消化尾货、延伸场景。共同构建品牌分层策略。</w:t>
      </w:r>
    </w:p>
    <w:p w14:paraId="61FC2DB9">
      <w:pPr>
        <w:pageBreakBefore w:val="0"/>
        <w:widowControl w:val="0"/>
        <w:kinsoku/>
        <w:wordWrap/>
        <w:overflowPunct/>
        <w:topLinePunct w:val="0"/>
        <w:autoSpaceDE/>
        <w:autoSpaceDN/>
        <w:bidi w:val="0"/>
        <w:adjustRightInd/>
        <w:spacing w:line="440" w:lineRule="atLeast"/>
        <w:ind w:firstLine="480"/>
        <w:jc w:val="center"/>
        <w:textAlignment w:val="auto"/>
        <w:rPr>
          <w:rFonts w:hint="eastAsia" w:ascii="宋体" w:hAnsi="宋体" w:eastAsia="宋体" w:cs="宋体"/>
          <w:sz w:val="24"/>
          <w:szCs w:val="24"/>
        </w:rPr>
      </w:pPr>
      <w:r>
        <w:rPr>
          <w:rFonts w:hint="eastAsia" w:ascii="宋体" w:hAnsi="宋体" w:eastAsia="宋体" w:cs="宋体"/>
          <w:b/>
          <w:i w:val="0"/>
          <w:sz w:val="24"/>
          <w:szCs w:val="24"/>
        </w:rPr>
        <w:t>表5-</w:t>
      </w:r>
      <w:r>
        <w:rPr>
          <w:rFonts w:hint="eastAsia" w:ascii="宋体" w:hAnsi="宋体" w:eastAsia="宋体" w:cs="宋体"/>
          <w:b/>
          <w:i w:val="0"/>
          <w:sz w:val="24"/>
          <w:szCs w:val="24"/>
          <w:lang w:val="en-US" w:eastAsia="zh-CN"/>
        </w:rPr>
        <w:t>6</w:t>
      </w:r>
      <w:r>
        <w:rPr>
          <w:rFonts w:hint="eastAsia" w:ascii="宋体" w:hAnsi="宋体" w:eastAsia="宋体" w:cs="宋体"/>
          <w:b/>
          <w:i w:val="0"/>
          <w:sz w:val="24"/>
          <w:szCs w:val="24"/>
        </w:rPr>
        <w:t xml:space="preserve">  产品分级体系</w:t>
      </w:r>
    </w:p>
    <w:tbl>
      <w:tblPr>
        <w:tblStyle w:val="15"/>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57"/>
        <w:gridCol w:w="3270"/>
        <w:gridCol w:w="1506"/>
        <w:gridCol w:w="1405"/>
        <w:gridCol w:w="1484"/>
      </w:tblGrid>
      <w:tr w14:paraId="709F547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57" w:type="dxa"/>
            <w:tcBorders>
              <w:top w:val="single" w:color="auto" w:sz="12" w:space="0"/>
              <w:left w:val="nil"/>
              <w:bottom w:val="nil"/>
              <w:right w:val="nil"/>
            </w:tcBorders>
            <w:noWrap w:val="0"/>
            <w:tcMar>
              <w:top w:w="-1" w:type="dxa"/>
              <w:left w:w="-1" w:type="dxa"/>
              <w:bottom w:w="-1" w:type="dxa"/>
              <w:right w:w="-1" w:type="dxa"/>
            </w:tcMar>
            <w:vAlign w:val="center"/>
          </w:tcPr>
          <w:p w14:paraId="3560F9B5">
            <w:pPr>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eastAsia" w:ascii="宋体" w:hAnsi="宋体" w:eastAsia="宋体" w:cs="宋体"/>
                <w:b/>
                <w:sz w:val="24"/>
                <w:szCs w:val="24"/>
              </w:rPr>
            </w:pPr>
            <w:r>
              <w:rPr>
                <w:rFonts w:hint="eastAsia" w:ascii="宋体" w:hAnsi="宋体" w:eastAsia="宋体" w:cs="宋体"/>
                <w:b/>
                <w:sz w:val="24"/>
                <w:szCs w:val="24"/>
              </w:rPr>
              <w:t>级别</w:t>
            </w:r>
          </w:p>
        </w:tc>
        <w:tc>
          <w:tcPr>
            <w:tcW w:w="3270" w:type="dxa"/>
            <w:tcBorders>
              <w:top w:val="single" w:color="auto" w:sz="12" w:space="0"/>
              <w:left w:val="nil"/>
              <w:bottom w:val="nil"/>
              <w:right w:val="nil"/>
            </w:tcBorders>
            <w:noWrap w:val="0"/>
            <w:tcMar>
              <w:top w:w="-1" w:type="dxa"/>
              <w:left w:w="-1" w:type="dxa"/>
              <w:bottom w:w="-1" w:type="dxa"/>
              <w:right w:w="-1" w:type="dxa"/>
            </w:tcMar>
            <w:vAlign w:val="center"/>
          </w:tcPr>
          <w:p w14:paraId="538EF2C3">
            <w:pPr>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eastAsia" w:ascii="宋体" w:hAnsi="宋体" w:eastAsia="宋体" w:cs="宋体"/>
                <w:b/>
                <w:sz w:val="24"/>
                <w:szCs w:val="24"/>
              </w:rPr>
            </w:pPr>
            <w:r>
              <w:rPr>
                <w:rFonts w:hint="eastAsia" w:ascii="宋体" w:hAnsi="宋体" w:eastAsia="宋体" w:cs="宋体"/>
                <w:b/>
                <w:sz w:val="24"/>
                <w:szCs w:val="24"/>
              </w:rPr>
              <w:t>产品形态</w:t>
            </w:r>
          </w:p>
        </w:tc>
        <w:tc>
          <w:tcPr>
            <w:tcW w:w="1506" w:type="dxa"/>
            <w:tcBorders>
              <w:top w:val="single" w:color="auto" w:sz="12" w:space="0"/>
              <w:left w:val="nil"/>
              <w:bottom w:val="nil"/>
              <w:right w:val="nil"/>
            </w:tcBorders>
            <w:noWrap w:val="0"/>
            <w:tcMar>
              <w:top w:w="-1" w:type="dxa"/>
              <w:left w:w="-1" w:type="dxa"/>
              <w:bottom w:w="-1" w:type="dxa"/>
              <w:right w:w="-1" w:type="dxa"/>
            </w:tcMar>
            <w:vAlign w:val="center"/>
          </w:tcPr>
          <w:p w14:paraId="0479FE14">
            <w:pPr>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eastAsia" w:ascii="宋体" w:hAnsi="宋体" w:eastAsia="宋体" w:cs="宋体"/>
                <w:b/>
                <w:sz w:val="24"/>
                <w:szCs w:val="24"/>
              </w:rPr>
            </w:pPr>
            <w:r>
              <w:rPr>
                <w:rFonts w:hint="eastAsia" w:ascii="宋体" w:hAnsi="宋体" w:eastAsia="宋体" w:cs="宋体"/>
                <w:b/>
                <w:sz w:val="24"/>
                <w:szCs w:val="24"/>
              </w:rPr>
              <w:t>目标市场</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BAD0A53">
            <w:pPr>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eastAsia" w:ascii="宋体" w:hAnsi="宋体" w:eastAsia="宋体" w:cs="宋体"/>
                <w:b/>
                <w:sz w:val="24"/>
                <w:szCs w:val="24"/>
              </w:rPr>
            </w:pPr>
            <w:r>
              <w:rPr>
                <w:rFonts w:hint="eastAsia" w:ascii="宋体" w:hAnsi="宋体" w:eastAsia="宋体" w:cs="宋体"/>
                <w:b/>
                <w:sz w:val="24"/>
                <w:szCs w:val="24"/>
              </w:rPr>
              <w:t>定价逻辑</w:t>
            </w:r>
          </w:p>
        </w:tc>
        <w:tc>
          <w:tcPr>
            <w:tcW w:w="1484" w:type="dxa"/>
            <w:tcBorders>
              <w:top w:val="single" w:color="auto" w:sz="12" w:space="0"/>
              <w:left w:val="nil"/>
              <w:bottom w:val="nil"/>
              <w:right w:val="nil"/>
            </w:tcBorders>
            <w:noWrap w:val="0"/>
            <w:tcMar>
              <w:top w:w="-1" w:type="dxa"/>
              <w:left w:w="-1" w:type="dxa"/>
              <w:bottom w:w="-1" w:type="dxa"/>
              <w:right w:w="-1" w:type="dxa"/>
            </w:tcMar>
            <w:vAlign w:val="center"/>
          </w:tcPr>
          <w:p w14:paraId="1ABEEA2B">
            <w:pPr>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eastAsia" w:ascii="宋体" w:hAnsi="宋体" w:eastAsia="宋体" w:cs="宋体"/>
                <w:b/>
                <w:sz w:val="24"/>
                <w:szCs w:val="24"/>
              </w:rPr>
            </w:pPr>
            <w:r>
              <w:rPr>
                <w:rFonts w:hint="eastAsia" w:ascii="宋体" w:hAnsi="宋体" w:eastAsia="宋体" w:cs="宋体"/>
                <w:b/>
                <w:sz w:val="24"/>
                <w:szCs w:val="24"/>
              </w:rPr>
              <w:t>预估单价</w:t>
            </w:r>
          </w:p>
        </w:tc>
      </w:tr>
      <w:tr w14:paraId="500193C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857" w:type="dxa"/>
            <w:tcBorders>
              <w:top w:val="single" w:color="auto" w:sz="4" w:space="0"/>
              <w:left w:val="nil"/>
              <w:bottom w:val="nil"/>
              <w:right w:val="nil"/>
            </w:tcBorders>
            <w:noWrap w:val="0"/>
            <w:tcMar>
              <w:top w:w="-1" w:type="dxa"/>
              <w:left w:w="-1" w:type="dxa"/>
              <w:bottom w:w="-1" w:type="dxa"/>
              <w:right w:w="-1" w:type="dxa"/>
            </w:tcMar>
            <w:vAlign w:val="center"/>
          </w:tcPr>
          <w:p w14:paraId="2A984299">
            <w:pPr>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S级</w:t>
            </w:r>
          </w:p>
        </w:tc>
        <w:tc>
          <w:tcPr>
            <w:tcW w:w="3270" w:type="dxa"/>
            <w:tcBorders>
              <w:top w:val="single" w:color="auto" w:sz="4" w:space="0"/>
              <w:left w:val="nil"/>
              <w:bottom w:val="nil"/>
              <w:right w:val="nil"/>
            </w:tcBorders>
            <w:noWrap w:val="0"/>
            <w:tcMar>
              <w:top w:w="-1" w:type="dxa"/>
              <w:left w:w="-1" w:type="dxa"/>
              <w:bottom w:w="-1" w:type="dxa"/>
              <w:right w:w="-1" w:type="dxa"/>
            </w:tcMar>
            <w:vAlign w:val="center"/>
          </w:tcPr>
          <w:p w14:paraId="6264F8B7">
            <w:pPr>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认养树专属礼盒+年度权益</w:t>
            </w:r>
          </w:p>
        </w:tc>
        <w:tc>
          <w:tcPr>
            <w:tcW w:w="1506" w:type="dxa"/>
            <w:tcBorders>
              <w:top w:val="single" w:color="auto" w:sz="4" w:space="0"/>
              <w:left w:val="nil"/>
              <w:bottom w:val="nil"/>
              <w:right w:val="nil"/>
            </w:tcBorders>
            <w:noWrap w:val="0"/>
            <w:tcMar>
              <w:top w:w="-1" w:type="dxa"/>
              <w:left w:w="-1" w:type="dxa"/>
              <w:bottom w:w="-1" w:type="dxa"/>
              <w:right w:w="-1" w:type="dxa"/>
            </w:tcMar>
            <w:vAlign w:val="center"/>
          </w:tcPr>
          <w:p w14:paraId="3C6A9822">
            <w:pPr>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高端客户/企业团购</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890882">
            <w:pPr>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情感价值+稀缺性</w:t>
            </w:r>
          </w:p>
        </w:tc>
        <w:tc>
          <w:tcPr>
            <w:tcW w:w="1484" w:type="dxa"/>
            <w:tcBorders>
              <w:top w:val="single" w:color="auto" w:sz="4" w:space="0"/>
              <w:left w:val="nil"/>
              <w:bottom w:val="nil"/>
              <w:right w:val="nil"/>
            </w:tcBorders>
            <w:noWrap w:val="0"/>
            <w:tcMar>
              <w:top w:w="-1" w:type="dxa"/>
              <w:left w:w="-1" w:type="dxa"/>
              <w:bottom w:w="-1" w:type="dxa"/>
              <w:right w:w="-1" w:type="dxa"/>
            </w:tcMar>
            <w:vAlign w:val="center"/>
          </w:tcPr>
          <w:p w14:paraId="3331842A">
            <w:pPr>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888-1888元/年</w:t>
            </w:r>
          </w:p>
        </w:tc>
      </w:tr>
      <w:tr w14:paraId="08D0BC5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857" w:type="dxa"/>
            <w:tcBorders>
              <w:top w:val="nil"/>
              <w:left w:val="nil"/>
              <w:bottom w:val="nil"/>
              <w:right w:val="nil"/>
            </w:tcBorders>
            <w:noWrap w:val="0"/>
            <w:tcMar>
              <w:top w:w="-1" w:type="dxa"/>
              <w:left w:w="-1" w:type="dxa"/>
              <w:bottom w:w="-1" w:type="dxa"/>
              <w:right w:w="-1" w:type="dxa"/>
            </w:tcMar>
            <w:vAlign w:val="center"/>
          </w:tcPr>
          <w:p w14:paraId="626E7A51">
            <w:pPr>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A级</w:t>
            </w:r>
          </w:p>
        </w:tc>
        <w:tc>
          <w:tcPr>
            <w:tcW w:w="3270" w:type="dxa"/>
            <w:tcBorders>
              <w:top w:val="nil"/>
              <w:left w:val="nil"/>
              <w:bottom w:val="nil"/>
              <w:right w:val="nil"/>
            </w:tcBorders>
            <w:noWrap w:val="0"/>
            <w:tcMar>
              <w:top w:w="-1" w:type="dxa"/>
              <w:left w:w="-1" w:type="dxa"/>
              <w:bottom w:w="-1" w:type="dxa"/>
              <w:right w:w="-1" w:type="dxa"/>
            </w:tcMar>
            <w:vAlign w:val="center"/>
          </w:tcPr>
          <w:p w14:paraId="5A98CBD4">
            <w:pPr>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精品鲜果礼盒+溯源证书+水源地认证</w:t>
            </w:r>
          </w:p>
        </w:tc>
        <w:tc>
          <w:tcPr>
            <w:tcW w:w="1506" w:type="dxa"/>
            <w:tcBorders>
              <w:top w:val="nil"/>
              <w:left w:val="nil"/>
              <w:bottom w:val="nil"/>
              <w:right w:val="nil"/>
            </w:tcBorders>
            <w:noWrap w:val="0"/>
            <w:tcMar>
              <w:top w:w="-1" w:type="dxa"/>
              <w:left w:w="-1" w:type="dxa"/>
              <w:bottom w:w="-1" w:type="dxa"/>
              <w:right w:w="-1" w:type="dxa"/>
            </w:tcMar>
            <w:vAlign w:val="center"/>
          </w:tcPr>
          <w:p w14:paraId="5FEAE3A1">
            <w:pPr>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送礼市场</w:t>
            </w:r>
          </w:p>
        </w:tc>
        <w:tc>
          <w:tcPr>
            <w:tcW w:w="0" w:type="auto"/>
            <w:tcBorders>
              <w:top w:val="nil"/>
              <w:left w:val="nil"/>
              <w:bottom w:val="nil"/>
              <w:right w:val="nil"/>
            </w:tcBorders>
            <w:noWrap w:val="0"/>
            <w:tcMar>
              <w:top w:w="-1" w:type="dxa"/>
              <w:left w:w="-1" w:type="dxa"/>
              <w:bottom w:w="-1" w:type="dxa"/>
              <w:right w:w="-1" w:type="dxa"/>
            </w:tcMar>
            <w:vAlign w:val="center"/>
          </w:tcPr>
          <w:p w14:paraId="57552814">
            <w:pPr>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品质背书+仪式感</w:t>
            </w:r>
          </w:p>
        </w:tc>
        <w:tc>
          <w:tcPr>
            <w:tcW w:w="1484" w:type="dxa"/>
            <w:tcBorders>
              <w:top w:val="nil"/>
              <w:left w:val="nil"/>
              <w:bottom w:val="nil"/>
              <w:right w:val="nil"/>
            </w:tcBorders>
            <w:noWrap w:val="0"/>
            <w:tcMar>
              <w:top w:w="-1" w:type="dxa"/>
              <w:left w:w="-1" w:type="dxa"/>
              <w:bottom w:w="-1" w:type="dxa"/>
              <w:right w:w="-1" w:type="dxa"/>
            </w:tcMar>
            <w:vAlign w:val="center"/>
          </w:tcPr>
          <w:p w14:paraId="6F60DD31">
            <w:pPr>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198-388元/盒</w:t>
            </w:r>
          </w:p>
        </w:tc>
      </w:tr>
      <w:tr w14:paraId="0236813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857" w:type="dxa"/>
            <w:tcBorders>
              <w:top w:val="nil"/>
              <w:left w:val="nil"/>
              <w:bottom w:val="nil"/>
              <w:right w:val="nil"/>
            </w:tcBorders>
            <w:noWrap w:val="0"/>
            <w:tcMar>
              <w:top w:w="-1" w:type="dxa"/>
              <w:left w:w="-1" w:type="dxa"/>
              <w:bottom w:w="-1" w:type="dxa"/>
              <w:right w:w="-1" w:type="dxa"/>
            </w:tcMar>
            <w:vAlign w:val="center"/>
          </w:tcPr>
          <w:p w14:paraId="39B4D725">
            <w:pPr>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B级</w:t>
            </w:r>
          </w:p>
        </w:tc>
        <w:tc>
          <w:tcPr>
            <w:tcW w:w="3270" w:type="dxa"/>
            <w:tcBorders>
              <w:top w:val="nil"/>
              <w:left w:val="nil"/>
              <w:bottom w:val="nil"/>
              <w:right w:val="nil"/>
            </w:tcBorders>
            <w:noWrap w:val="0"/>
            <w:tcMar>
              <w:top w:w="-1" w:type="dxa"/>
              <w:left w:w="-1" w:type="dxa"/>
              <w:bottom w:w="-1" w:type="dxa"/>
              <w:right w:w="-1" w:type="dxa"/>
            </w:tcMar>
            <w:vAlign w:val="center"/>
          </w:tcPr>
          <w:p w14:paraId="0C3C5F5A">
            <w:pPr>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标准装鲜果+品牌包装</w:t>
            </w:r>
          </w:p>
        </w:tc>
        <w:tc>
          <w:tcPr>
            <w:tcW w:w="1506" w:type="dxa"/>
            <w:tcBorders>
              <w:top w:val="nil"/>
              <w:left w:val="nil"/>
              <w:bottom w:val="nil"/>
              <w:right w:val="nil"/>
            </w:tcBorders>
            <w:noWrap w:val="0"/>
            <w:tcMar>
              <w:top w:w="-1" w:type="dxa"/>
              <w:left w:w="-1" w:type="dxa"/>
              <w:bottom w:w="-1" w:type="dxa"/>
              <w:right w:w="-1" w:type="dxa"/>
            </w:tcMar>
            <w:vAlign w:val="center"/>
          </w:tcPr>
          <w:p w14:paraId="5DCEE4C1">
            <w:pPr>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大众消费/电商</w:t>
            </w:r>
          </w:p>
        </w:tc>
        <w:tc>
          <w:tcPr>
            <w:tcW w:w="0" w:type="auto"/>
            <w:tcBorders>
              <w:top w:val="nil"/>
              <w:left w:val="nil"/>
              <w:bottom w:val="nil"/>
              <w:right w:val="nil"/>
            </w:tcBorders>
            <w:noWrap w:val="0"/>
            <w:tcMar>
              <w:top w:w="-1" w:type="dxa"/>
              <w:left w:w="-1" w:type="dxa"/>
              <w:bottom w:w="-1" w:type="dxa"/>
              <w:right w:w="-1" w:type="dxa"/>
            </w:tcMar>
            <w:vAlign w:val="center"/>
          </w:tcPr>
          <w:p w14:paraId="44A586E1">
            <w:pPr>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性价比+便捷</w:t>
            </w:r>
          </w:p>
        </w:tc>
        <w:tc>
          <w:tcPr>
            <w:tcW w:w="1484" w:type="dxa"/>
            <w:tcBorders>
              <w:top w:val="nil"/>
              <w:left w:val="nil"/>
              <w:bottom w:val="nil"/>
              <w:right w:val="nil"/>
            </w:tcBorders>
            <w:noWrap w:val="0"/>
            <w:tcMar>
              <w:top w:w="-1" w:type="dxa"/>
              <w:left w:w="-1" w:type="dxa"/>
              <w:bottom w:w="-1" w:type="dxa"/>
              <w:right w:w="-1" w:type="dxa"/>
            </w:tcMar>
            <w:vAlign w:val="center"/>
          </w:tcPr>
          <w:p w14:paraId="41425A9B">
            <w:pPr>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68-128元/盒</w:t>
            </w:r>
          </w:p>
        </w:tc>
      </w:tr>
      <w:tr w14:paraId="5B83D63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857" w:type="dxa"/>
            <w:tcBorders>
              <w:top w:val="nil"/>
              <w:left w:val="nil"/>
              <w:bottom w:val="single" w:color="auto" w:sz="12" w:space="0"/>
              <w:right w:val="nil"/>
            </w:tcBorders>
            <w:noWrap w:val="0"/>
            <w:tcMar>
              <w:top w:w="-1" w:type="dxa"/>
              <w:left w:w="-1" w:type="dxa"/>
              <w:bottom w:w="-1" w:type="dxa"/>
              <w:right w:w="-1" w:type="dxa"/>
            </w:tcMar>
            <w:vAlign w:val="center"/>
          </w:tcPr>
          <w:p w14:paraId="026B92C5">
            <w:pPr>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C级</w:t>
            </w:r>
          </w:p>
        </w:tc>
        <w:tc>
          <w:tcPr>
            <w:tcW w:w="3270" w:type="dxa"/>
            <w:tcBorders>
              <w:top w:val="nil"/>
              <w:left w:val="nil"/>
              <w:bottom w:val="single" w:color="auto" w:sz="12" w:space="0"/>
              <w:right w:val="nil"/>
            </w:tcBorders>
            <w:noWrap w:val="0"/>
            <w:tcMar>
              <w:top w:w="-1" w:type="dxa"/>
              <w:left w:w="-1" w:type="dxa"/>
              <w:bottom w:w="-1" w:type="dxa"/>
              <w:right w:w="-1" w:type="dxa"/>
            </w:tcMar>
            <w:vAlign w:val="center"/>
          </w:tcPr>
          <w:p w14:paraId="6DC4457E">
            <w:pPr>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深加工产品（果酱/果干/果酒/果醋/酵素/花茶/冻干脆片）</w:t>
            </w:r>
          </w:p>
        </w:tc>
        <w:tc>
          <w:tcPr>
            <w:tcW w:w="1506" w:type="dxa"/>
            <w:tcBorders>
              <w:top w:val="nil"/>
              <w:left w:val="nil"/>
              <w:bottom w:val="single" w:color="auto" w:sz="12" w:space="0"/>
              <w:right w:val="nil"/>
            </w:tcBorders>
            <w:noWrap w:val="0"/>
            <w:tcMar>
              <w:top w:w="-1" w:type="dxa"/>
              <w:left w:w="-1" w:type="dxa"/>
              <w:bottom w:w="-1" w:type="dxa"/>
              <w:right w:w="-1" w:type="dxa"/>
            </w:tcMar>
            <w:vAlign w:val="center"/>
          </w:tcPr>
          <w:p w14:paraId="6A2A6C99">
            <w:pPr>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长尾市场/伴手礼/骑行补给</w:t>
            </w:r>
          </w:p>
        </w:tc>
        <w:tc>
          <w:tcPr>
            <w:tcW w:w="1405" w:type="dxa"/>
            <w:tcBorders>
              <w:top w:val="nil"/>
              <w:left w:val="nil"/>
              <w:bottom w:val="single" w:color="auto" w:sz="12" w:space="0"/>
              <w:right w:val="nil"/>
            </w:tcBorders>
            <w:noWrap w:val="0"/>
            <w:tcMar>
              <w:top w:w="-1" w:type="dxa"/>
              <w:left w:w="-1" w:type="dxa"/>
              <w:bottom w:w="-1" w:type="dxa"/>
              <w:right w:w="-1" w:type="dxa"/>
            </w:tcMar>
            <w:vAlign w:val="center"/>
          </w:tcPr>
          <w:p w14:paraId="7E1AC970">
            <w:pPr>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延长产业链+消化全量</w:t>
            </w:r>
          </w:p>
        </w:tc>
        <w:tc>
          <w:tcPr>
            <w:tcW w:w="1484" w:type="dxa"/>
            <w:tcBorders>
              <w:top w:val="nil"/>
              <w:left w:val="nil"/>
              <w:bottom w:val="single" w:color="auto" w:sz="12" w:space="0"/>
              <w:right w:val="nil"/>
            </w:tcBorders>
            <w:noWrap w:val="0"/>
            <w:tcMar>
              <w:top w:w="-1" w:type="dxa"/>
              <w:left w:w="-1" w:type="dxa"/>
              <w:bottom w:w="-1" w:type="dxa"/>
              <w:right w:w="-1" w:type="dxa"/>
            </w:tcMar>
            <w:vAlign w:val="center"/>
          </w:tcPr>
          <w:p w14:paraId="01170F83">
            <w:pPr>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28-98元/件</w:t>
            </w:r>
          </w:p>
        </w:tc>
      </w:tr>
    </w:tbl>
    <w:p w14:paraId="2130F8BA">
      <w:pPr>
        <w:pStyle w:val="4"/>
        <w:bidi w:val="0"/>
        <w:rPr>
          <w:rFonts w:hint="eastAsia"/>
        </w:rPr>
      </w:pPr>
      <w:bookmarkStart w:id="88" w:name="_Toc9460"/>
      <w:r>
        <w:rPr>
          <w:rFonts w:hint="eastAsia"/>
        </w:rPr>
        <w:t>5.</w:t>
      </w:r>
      <w:r>
        <w:rPr>
          <w:rFonts w:hint="eastAsia"/>
          <w:lang w:val="en-US" w:eastAsia="zh-CN"/>
        </w:rPr>
        <w:t>4</w:t>
      </w:r>
      <w:r>
        <w:rPr>
          <w:rFonts w:hint="eastAsia"/>
        </w:rPr>
        <w:t>.2 溯源二维码与</w:t>
      </w:r>
      <w:r>
        <w:rPr>
          <w:rFonts w:hint="eastAsia"/>
          <w:lang w:val="en-US" w:eastAsia="zh-CN"/>
        </w:rPr>
        <w:t>樱桃</w:t>
      </w:r>
      <w:r>
        <w:rPr>
          <w:rFonts w:hint="eastAsia"/>
        </w:rPr>
        <w:t>身份证</w:t>
      </w:r>
      <w:bookmarkEnd w:id="88"/>
    </w:p>
    <w:p w14:paraId="42032A6C">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溯源二维码与樱桃身份证，本质上是为解决农产品流通过程中的信任问题而设计的两个工具。杨家东庄拥有一级水源保护区这一核心优势，但优势本身需要被验证。将二维码印制在产品包装上，消费者扫码后即可获取详细信息，这种可追溯的方式较之口头宣传更具说服力。</w:t>
      </w:r>
    </w:p>
    <w:p w14:paraId="735809DB">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扫码后进入一个简洁的信息页面。页面顶部显示这盒樱桃的专属编号，随后呈现果树的编号及具体位置。继续向下浏览，可以看到该棵果树在整个生长周期中的关键节点记录，包括开花时间、疏果日期、采摘日期，以及期间施肥、用药等管护操作的详细记录，每项操作均附有时间戳与执行人信息。页面底部提供土壤与水源检测报告，不堆砌冗余数据，仅标注核心指标并以绿色标识合格项，信息呈现清晰直观。</w:t>
      </w:r>
    </w:p>
    <w:p w14:paraId="517F9FE7">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樱桃身份证是一张实体卡片，置于A级及以上的礼盒之中。卡片正面印制品种、产地、采摘日期及果农签名，背面书写一句简洁的描述，例如“这棵树喝了一级水源地的水长大”。设计并不复杂，但收礼人通过这张卡片能够感知到产品具有明确的来源，而非无差异化的标准化商品。许多收礼人会习惯性地保留这张卡片，置于桌面或夹入书中，品牌因此获得持续暴露的机会。</w:t>
      </w:r>
    </w:p>
    <w:p w14:paraId="440CA5D1">
      <w:pPr>
        <w:keepNext w:val="0"/>
        <w:keepLines w:val="0"/>
        <w:pageBreakBefore w:val="0"/>
        <w:widowControl w:val="0"/>
        <w:kinsoku/>
        <w:wordWrap/>
        <w:overflowPunct/>
        <w:topLinePunct w:val="0"/>
        <w:autoSpaceDE/>
        <w:autoSpaceDN/>
        <w:bidi w:val="0"/>
        <w:adjustRightInd/>
        <w:snapToGrid/>
        <w:spacing w:line="440" w:lineRule="atLeast"/>
        <w:ind w:firstLine="480" w:firstLineChars="20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2237740" cy="2985770"/>
            <wp:effectExtent l="0" t="0" r="2540" b="1270"/>
            <wp:docPr id="10" name="图片 10" descr="91c09a7d5c6115996bfec179850f6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91c09a7d5c6115996bfec179850f6875"/>
                    <pic:cNvPicPr>
                      <a:picLocks noChangeAspect="1"/>
                    </pic:cNvPicPr>
                  </pic:nvPicPr>
                  <pic:blipFill>
                    <a:blip r:embed="rId36"/>
                    <a:stretch>
                      <a:fillRect/>
                    </a:stretch>
                  </pic:blipFill>
                  <pic:spPr>
                    <a:xfrm>
                      <a:off x="0" y="0"/>
                      <a:ext cx="2237740" cy="2985770"/>
                    </a:xfrm>
                    <a:prstGeom prst="rect">
                      <a:avLst/>
                    </a:prstGeom>
                  </pic:spPr>
                </pic:pic>
              </a:graphicData>
            </a:graphic>
          </wp:inline>
        </w:drawing>
      </w:r>
    </w:p>
    <w:p w14:paraId="6C78E0CA">
      <w:pPr>
        <w:keepNext w:val="0"/>
        <w:keepLines w:val="0"/>
        <w:pageBreakBefore w:val="0"/>
        <w:widowControl w:val="0"/>
        <w:kinsoku/>
        <w:wordWrap/>
        <w:overflowPunct/>
        <w:topLinePunct w:val="0"/>
        <w:autoSpaceDE/>
        <w:autoSpaceDN/>
        <w:bidi w:val="0"/>
        <w:adjustRightInd/>
        <w:snapToGrid/>
        <w:spacing w:line="440" w:lineRule="atLeast"/>
        <w:ind w:firstLine="482" w:firstLineChars="200"/>
        <w:jc w:val="center"/>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图5-5 樱桃身份证</w:t>
      </w:r>
    </w:p>
    <w:p w14:paraId="77BA6B8A">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一体系的技术门槛不高，但解决了消费者对产品品质的信任问题。消费者最为反感的是扫码后进入一个充斥营销话术的页面，翻阅许久也找不到实质内容。因此，本方案将最核心的信息置于页面最前，检测报告直接呈现结论，不做冗余表述。樱桃身份证则采取不同的沟通路径，不依赖数据，而依托情感元素。一张小卡片、一句朴素描述，往往比长篇的品牌宣言更具说服力。</w:t>
      </w:r>
    </w:p>
    <w:p w14:paraId="29F86F69">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不同级别产品的配置方式亦有明确区分。S级和A级产品必须同时配备二维码与身份证，B级产品仅保留二维码，C级深加工产品则按批次进行溯源，无需每一独立包装单独编码。这一配置策略既为核心产品线建立了充分的信任基础，又避免在低单价产品上增加不必要的成本。消费者愿意为高价位产品买单的前提，是其相信价格与价值相匹配。而信任的建立，最终需要依靠可验证的信息，扫码验证即是最直接的实现方式。</w:t>
      </w:r>
    </w:p>
    <w:p w14:paraId="770F3C65">
      <w:pPr>
        <w:pStyle w:val="3"/>
        <w:pageBreakBefore w:val="0"/>
        <w:widowControl w:val="0"/>
        <w:kinsoku/>
        <w:wordWrap/>
        <w:overflowPunct/>
        <w:topLinePunct w:val="0"/>
        <w:autoSpaceDE/>
        <w:autoSpaceDN/>
        <w:bidi w:val="0"/>
        <w:adjustRightInd/>
        <w:spacing w:line="440" w:lineRule="atLeast"/>
        <w:textAlignment w:val="auto"/>
        <w:rPr>
          <w:rFonts w:hint="eastAsia"/>
        </w:rPr>
      </w:pPr>
      <w:bookmarkStart w:id="89" w:name="_Toc30760"/>
      <w:r>
        <w:rPr>
          <w:rFonts w:hint="eastAsia"/>
        </w:rPr>
        <w:t>5.</w:t>
      </w:r>
      <w:r>
        <w:rPr>
          <w:rFonts w:hint="eastAsia"/>
          <w:lang w:val="en-US" w:eastAsia="zh-CN"/>
        </w:rPr>
        <w:t>5</w:t>
      </w:r>
      <w:r>
        <w:rPr>
          <w:rFonts w:hint="eastAsia"/>
        </w:rPr>
        <w:t xml:space="preserve"> 数字营销矩阵</w:t>
      </w:r>
      <w:bookmarkEnd w:id="89"/>
    </w:p>
    <w:p w14:paraId="563D400A">
      <w:pPr>
        <w:pStyle w:val="4"/>
        <w:pageBreakBefore w:val="0"/>
        <w:widowControl w:val="0"/>
        <w:kinsoku/>
        <w:wordWrap/>
        <w:overflowPunct/>
        <w:topLinePunct w:val="0"/>
        <w:autoSpaceDE/>
        <w:autoSpaceDN/>
        <w:bidi w:val="0"/>
        <w:adjustRightInd/>
        <w:spacing w:line="440" w:lineRule="atLeast"/>
        <w:textAlignment w:val="auto"/>
        <w:rPr>
          <w:rFonts w:hint="eastAsia"/>
          <w:lang w:val="en-US" w:eastAsia="zh-CN"/>
        </w:rPr>
      </w:pPr>
      <w:bookmarkStart w:id="90" w:name="_Toc25123"/>
      <w:r>
        <w:rPr>
          <w:rFonts w:hint="eastAsia"/>
        </w:rPr>
        <w:t>5.</w:t>
      </w:r>
      <w:r>
        <w:rPr>
          <w:rFonts w:hint="eastAsia"/>
          <w:lang w:val="en-US" w:eastAsia="zh-CN"/>
        </w:rPr>
        <w:t>5</w:t>
      </w:r>
      <w:r>
        <w:rPr>
          <w:rFonts w:hint="eastAsia"/>
        </w:rPr>
        <w:t xml:space="preserve">.1 </w:t>
      </w:r>
      <w:r>
        <w:rPr>
          <w:rFonts w:hint="eastAsia"/>
          <w:lang w:val="en-US" w:eastAsia="zh-CN"/>
        </w:rPr>
        <w:t>新媒体矩阵</w:t>
      </w:r>
      <w:bookmarkEnd w:id="90"/>
    </w:p>
    <w:p w14:paraId="01E6A2C7">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品牌传播不能只靠一个平台打天下，不同渠道承载不同功能</w:t>
      </w:r>
      <w:r>
        <w:rPr>
          <w:rFonts w:hint="eastAsia" w:ascii="宋体" w:hAnsi="宋体" w:eastAsia="宋体" w:cs="宋体"/>
          <w:sz w:val="24"/>
          <w:szCs w:val="24"/>
          <w:lang w:eastAsia="zh-CN"/>
        </w:rPr>
        <w:t>。</w:t>
      </w:r>
      <w:r>
        <w:rPr>
          <w:rFonts w:hint="eastAsia" w:ascii="宋体" w:hAnsi="宋体" w:eastAsia="宋体" w:cs="宋体"/>
          <w:sz w:val="24"/>
          <w:szCs w:val="24"/>
        </w:rPr>
        <w:t>有的负责拉新，有的负责种草，有的负责沉淀私域，有的负责建立信任。针对杨家东庄村的资源特点和目标客群，我们选择了八个平台，并为每个平台设计了差异化的内容策略和运营节奏。</w:t>
      </w:r>
    </w:p>
    <w:p w14:paraId="0BE6797E">
      <w:pPr>
        <w:pStyle w:val="5"/>
        <w:pageBreakBefore w:val="0"/>
        <w:widowControl w:val="0"/>
        <w:kinsoku/>
        <w:wordWrap/>
        <w:overflowPunct/>
        <w:topLinePunct w:val="0"/>
        <w:autoSpaceDE/>
        <w:autoSpaceDN/>
        <w:bidi w:val="0"/>
        <w:adjustRightInd/>
        <w:spacing w:line="440" w:lineRule="atLeast"/>
        <w:textAlignment w:val="auto"/>
        <w:rPr>
          <w:rFonts w:hint="eastAsia"/>
          <w:lang w:eastAsia="zh-CN"/>
        </w:rPr>
      </w:pPr>
      <w:r>
        <w:rPr>
          <w:rFonts w:hint="eastAsia"/>
        </w:rPr>
        <w:t>（1）播客</w:t>
      </w:r>
    </w:p>
    <w:p w14:paraId="3560E28D">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播客的定位是深度陪伴和品牌叙事。在通勤、运动、做家务这些场景里，人们有大量时间需要听点什么。大部分乡村品牌忽略了播客这个渠道，但它恰恰适合讲水源、樱桃、骑行这些有画面感但又不那么快节奏的故事。我们计划做一档季播节目，名字暂定《骑到水源地》或者《东庄四季》，每期三十到四十分钟。播客不追求带货，它负责建立一种“我认识这个地方很久了”的情感连接。听众可能在听完三四期之后，不会立刻下单买樱桃，但当他某天想带家人去京郊过周末，脑子里第一个跳出来的就是杨家东庄。</w:t>
      </w:r>
    </w:p>
    <w:p w14:paraId="43B67C29">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内容方向上，播客可以放三类东西。一类是村庄的口述史，比如一九五八年水库搬迁的故事、果农种了二十年樱桃的经历、水源保护区这些年的变化。一类是骑行和户外主题，邀请骑行博主或者普通骑友来聊他们的骑行体验、推荐的京郊路线、路上的见闻。还有一类是京郊生活方式，比如亲子露营怎么准备、周末短途旅行怎么安排、什么季节去怀柔最好。每期一个主题，不刻意推销樱桃，但樱桃、水源、骑行会自然出现在对话里。</w:t>
      </w:r>
    </w:p>
    <w:p w14:paraId="5C6ADA62">
      <w:pPr>
        <w:pStyle w:val="5"/>
        <w:pageBreakBefore w:val="0"/>
        <w:widowControl w:val="0"/>
        <w:kinsoku/>
        <w:wordWrap/>
        <w:overflowPunct/>
        <w:topLinePunct w:val="0"/>
        <w:autoSpaceDE/>
        <w:autoSpaceDN/>
        <w:bidi w:val="0"/>
        <w:adjustRightInd/>
        <w:spacing w:line="440" w:lineRule="atLeast"/>
        <w:textAlignment w:val="auto"/>
        <w:rPr>
          <w:rFonts w:hint="eastAsia"/>
          <w:lang w:eastAsia="zh-CN"/>
        </w:rPr>
      </w:pPr>
      <w:r>
        <w:rPr>
          <w:rFonts w:hint="eastAsia"/>
        </w:rPr>
        <w:t>（2）抖音</w:t>
      </w:r>
    </w:p>
    <w:p w14:paraId="6EB0AC9C">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抖音的定位是流量入口和电商转化主力。它的用户基数大、推荐机制强，是让杨家东庄被看见的最快渠道。抖音上的内容不能太深，要短、要直观、要有情绪。我们用它来拉新，把那些从来没听说过杨家东庄的人吸引进来，然后通过直播直接转化销售。</w:t>
      </w:r>
    </w:p>
    <w:p w14:paraId="29C67428">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内容方向上，抖音适合放两类视频。一类是视觉冲击强的场景片段，比如樱桃园清晨的露水、骑行路上水库的波光、果农摘樱桃时脸上淌的汗。另一类是带有一定网感的小剧情或挑战，比如“村书记今天卖了多少樱桃”“骑行到终点能不能吃到最甜的那一颗”。直播是抖音的重头戏，樱桃季的时候直接在果园里现摘现卖，非樱桃季可以播深加工产品的制作过程或者研学活动的现场。总体节奏是每周更新三到五条，采摘季加大频率。</w:t>
      </w:r>
    </w:p>
    <w:p w14:paraId="6D3F9394">
      <w:pPr>
        <w:pStyle w:val="5"/>
        <w:pageBreakBefore w:val="0"/>
        <w:widowControl w:val="0"/>
        <w:kinsoku/>
        <w:wordWrap/>
        <w:overflowPunct/>
        <w:topLinePunct w:val="0"/>
        <w:autoSpaceDE/>
        <w:autoSpaceDN/>
        <w:bidi w:val="0"/>
        <w:adjustRightInd/>
        <w:spacing w:line="440" w:lineRule="atLeast"/>
        <w:textAlignment w:val="auto"/>
        <w:rPr>
          <w:rFonts w:hint="eastAsia"/>
          <w:lang w:eastAsia="zh-CN"/>
        </w:rPr>
      </w:pPr>
      <w:r>
        <w:rPr>
          <w:rFonts w:hint="eastAsia"/>
        </w:rPr>
        <w:t>（3）快手</w:t>
      </w:r>
    </w:p>
    <w:p w14:paraId="6F4FDFF7">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快手上，这套品牌故事换了一种更朴素的讲法。快手用户对精致内容不太买账，越不修饰反而越容易建立信任。所以内容的核心是用村民自己的视角、自己的语言、自己的日常来呈现。镜头可以不那么稳，光线可以不那么讲究，但说的话必须是真的。比如果农蹲在樱桃树下，手里捏着一颗刚摘的果子，直接对着镜头说“你们看这个颜色，黑紫了，甜透了”，不需要提任何甜度数值，颜色本身就是最好的证明。</w:t>
      </w:r>
    </w:p>
    <w:p w14:paraId="7B3084E8">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骑行内容的融入也不需要刻意宣讲。果农在清晨或傍晚站在村口那条环库路上，身后恰好有刚骑过去的人，他只需要说一句“又有人骑过来了，一会儿到我园子里歇脚”就够了。或者拍一个十几秒的片段：几辆自行车靠在樱桃园的铁丝网边，车把上挂着水壶，果农拎着一篮子樱桃走过去，嘴里自然地说“骑了二十公里来的，得让人家尝口新鲜的”。</w:t>
      </w:r>
    </w:p>
    <w:p w14:paraId="5CF6499E">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更琐碎的日常也会被记录下来。傍晚收工时，镜头扫过路边停着的几辆自行车，果农说“今天来了七八拨骑车的，樱桃卖出去十几筐”。或者拍果农给骑行的人递水、指路、帮忙打气，这些小事在快手上就是最好的信任建设素材。</w:t>
      </w:r>
    </w:p>
    <w:p w14:paraId="7B9E2006">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快手上的更新频率控制在每周两到三条，每一条都像是果农随手拍下的、随口说出的真实片段。小黄车挂在视频下方，销售的是B级樱桃和果酱、果干等深加工产品，定价不高。用户看了觉得可信，顺手就买了。这正是下沉市场所需要的沟通方式，不绕弯子，实在，就能换来信任。</w:t>
      </w:r>
    </w:p>
    <w:p w14:paraId="6A7C1E04">
      <w:pPr>
        <w:pStyle w:val="5"/>
        <w:pageBreakBefore w:val="0"/>
        <w:widowControl w:val="0"/>
        <w:kinsoku/>
        <w:wordWrap/>
        <w:overflowPunct/>
        <w:topLinePunct w:val="0"/>
        <w:autoSpaceDE/>
        <w:autoSpaceDN/>
        <w:bidi w:val="0"/>
        <w:adjustRightInd/>
        <w:spacing w:line="440" w:lineRule="atLeast"/>
        <w:textAlignment w:val="auto"/>
        <w:rPr>
          <w:rFonts w:hint="eastAsia"/>
          <w:lang w:eastAsia="zh-CN"/>
        </w:rPr>
      </w:pPr>
      <w:r>
        <w:rPr>
          <w:rFonts w:hint="eastAsia"/>
        </w:rPr>
        <w:t>（4）小红书</w:t>
      </w:r>
    </w:p>
    <w:p w14:paraId="3BDAFA3F">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小红书的定位是种草和生活方式塑造。它是年轻家庭和骑行爱好者做决策前必刷的平台，用户习惯在这里搜索“京郊周末去哪”“骑行路线推荐”“亲子采摘攻略”。小红书的笔记必须好看、好拍、好用，用户的分享意愿极强，一条爆款笔记能带来持续几个月的长尾流量。</w:t>
      </w:r>
    </w:p>
    <w:p w14:paraId="0825912E">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内容方向上，小红书适合放几类内容。一类是骑行打卡笔记，比如“实测怀柔水库西岸骑行路线，风景绝了”，配九张图，标出打卡点和拍照机位。一类是亲子体验笔记，比如“带娃摘樱桃+做果酱+看天文台，一天怎么安排”。还有一类是生活方式类的内容，比如“一级水源地的樱桃到底值不值得买”“周末逃离城市，我在水库边过了一天慢日子”。每一篇笔记都要有明确的实用价值或者情绪价值，让读者看完想收藏或者转发。每周更新两到三条，配合话题标签和博主合作。</w:t>
      </w:r>
    </w:p>
    <w:p w14:paraId="43B1A580">
      <w:pPr>
        <w:pStyle w:val="5"/>
        <w:pageBreakBefore w:val="0"/>
        <w:widowControl w:val="0"/>
        <w:kinsoku/>
        <w:wordWrap/>
        <w:overflowPunct/>
        <w:topLinePunct w:val="0"/>
        <w:autoSpaceDE/>
        <w:autoSpaceDN/>
        <w:bidi w:val="0"/>
        <w:adjustRightInd/>
        <w:spacing w:line="440" w:lineRule="atLeast"/>
        <w:textAlignment w:val="auto"/>
        <w:rPr>
          <w:rFonts w:hint="eastAsia"/>
          <w:lang w:eastAsia="zh-CN"/>
        </w:rPr>
      </w:pPr>
      <w:r>
        <w:rPr>
          <w:rFonts w:hint="eastAsia"/>
        </w:rPr>
        <w:t>（5）公众号</w:t>
      </w:r>
    </w:p>
    <w:p w14:paraId="65BE2C99">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公众号的定位是品牌阵地和私域沉淀池。公众号的打开率在下降，但它仍然是承载深度内容和会员服务的最高效平台。粉丝关注公众号，意味着已经对品牌有了一定的认知和信任。我们用它来发布认养计划的详细说明、骑行赛事的正式招募、品牌故事的完整版本，以及会员专属的福利通知。</w:t>
      </w:r>
    </w:p>
    <w:p w14:paraId="2309A133">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内容方向上，公众号可以放三类东西。一类是深度图文，比如杨家东庄的品牌故事（带历史照片和手绘插画）、水源保护的科普长文、骑行路线的详细攻略。一类是活动和产品的正式发布，比如认养计划2.0上线、樱桃季预售开启、研学课程报名。还有一类是村庄的动态纪实，比如“东庄四季”系列，用文字和图片记录每个月村庄的变化。更新频率不需要太高，每周一到两条，但每一条都要有信息量，不能为了发而发。</w:t>
      </w:r>
    </w:p>
    <w:p w14:paraId="30E97949">
      <w:pPr>
        <w:pStyle w:val="5"/>
        <w:pageBreakBefore w:val="0"/>
        <w:widowControl w:val="0"/>
        <w:kinsoku/>
        <w:wordWrap/>
        <w:overflowPunct/>
        <w:topLinePunct w:val="0"/>
        <w:autoSpaceDE/>
        <w:autoSpaceDN/>
        <w:bidi w:val="0"/>
        <w:adjustRightInd/>
        <w:spacing w:line="440" w:lineRule="atLeast"/>
        <w:textAlignment w:val="auto"/>
        <w:rPr>
          <w:rFonts w:hint="eastAsia"/>
          <w:lang w:eastAsia="zh-CN"/>
        </w:rPr>
      </w:pPr>
      <w:r>
        <w:rPr>
          <w:rFonts w:hint="eastAsia"/>
        </w:rPr>
        <w:t>（6）视频号</w:t>
      </w:r>
    </w:p>
    <w:p w14:paraId="731E50D7">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视频号的定位是微信生态内的信任建设和私域导流。视频号的内容可以比抖音慢、比B站轻，它的传播依赖朋友圈和社群转发，所以内容必须“值得分享”。视频号和小程序、公众号、社群无缝打通，用户看到视频后可以一键跳转购买或预约，转化路径非常短。</w:t>
      </w:r>
    </w:p>
    <w:p w14:paraId="2B21310B">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内容方向上，视频号适合放几类视频。一类是人物故事，比如“村书记的一天”“果农老张的樱桃树”“骑行体验官的回访”。一类是活动纪实，比如骑行赛事的精彩集锦、研学课堂的花絮、露营夜的星空延时。还有一类是品牌微纪录片，比如“一颗樱桃的旅行”系列，用三到五分钟讲清楚从开花到采摘的全过程。每周更新一到两条，重要节点</w:t>
      </w:r>
      <w:r>
        <w:rPr>
          <w:rFonts w:hint="eastAsia" w:ascii="宋体" w:hAnsi="宋体" w:eastAsia="宋体" w:cs="宋体"/>
          <w:sz w:val="24"/>
          <w:szCs w:val="24"/>
          <w:lang w:eastAsia="zh-CN"/>
        </w:rPr>
        <w:t>，</w:t>
      </w:r>
      <w:r>
        <w:rPr>
          <w:rFonts w:hint="eastAsia" w:ascii="宋体" w:hAnsi="宋体" w:eastAsia="宋体" w:cs="宋体"/>
          <w:sz w:val="24"/>
          <w:szCs w:val="24"/>
        </w:rPr>
        <w:t>如樱桃季开园、认养计划启动</w:t>
      </w:r>
      <w:r>
        <w:rPr>
          <w:rFonts w:hint="eastAsia" w:ascii="宋体" w:hAnsi="宋体" w:eastAsia="宋体" w:cs="宋体"/>
          <w:sz w:val="24"/>
          <w:szCs w:val="24"/>
          <w:lang w:val="en-US" w:eastAsia="zh-CN"/>
        </w:rPr>
        <w:t>等，</w:t>
      </w:r>
      <w:r>
        <w:rPr>
          <w:rFonts w:hint="eastAsia" w:ascii="宋体" w:hAnsi="宋体" w:eastAsia="宋体" w:cs="宋体"/>
          <w:sz w:val="24"/>
          <w:szCs w:val="24"/>
        </w:rPr>
        <w:t>加大发布频率。</w:t>
      </w:r>
    </w:p>
    <w:p w14:paraId="367BBA86">
      <w:pPr>
        <w:pStyle w:val="5"/>
        <w:pageBreakBefore w:val="0"/>
        <w:widowControl w:val="0"/>
        <w:kinsoku/>
        <w:wordWrap/>
        <w:overflowPunct/>
        <w:topLinePunct w:val="0"/>
        <w:autoSpaceDE/>
        <w:autoSpaceDN/>
        <w:bidi w:val="0"/>
        <w:adjustRightInd/>
        <w:spacing w:line="440" w:lineRule="atLeast"/>
        <w:textAlignment w:val="auto"/>
        <w:rPr>
          <w:rFonts w:hint="eastAsia"/>
          <w:lang w:eastAsia="zh-CN"/>
        </w:rPr>
      </w:pPr>
      <w:r>
        <w:rPr>
          <w:rFonts w:hint="eastAsia"/>
        </w:rPr>
        <w:t>（7）微博</w:t>
      </w:r>
    </w:p>
    <w:p w14:paraId="10094422">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微博的定位是话题引爆和公共传播。微博的开放性最强，适合制造热搜话题、联动KOL和媒体、承接公域流量。它不直接产生销售，但能影响品牌在搜索引擎和社交平台上的声量。当一个人在小红书上看到笔记后去微博搜“杨家东庄”，如果看到很多讨论和正面评价，他的决策信心会大大增强。</w:t>
      </w:r>
    </w:p>
    <w:p w14:paraId="43C4DCCB">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内容方向上，微博适合放两类内容。一类是短平快的日常互动，比如“今日东庄天气晴，樱桃正在变红”“骑行打卡抽奖送果酱”“认养果树的成长瞬间”。另一类是节点性的事件营销，比如樱桃季开始前发起#北京最好吃的樱桃在哪#话题，骑行赛前发起#周末一起去怀柔骑车吧#话题，配合KOL转发和蓝V互动，争取同城热搜。微博的更新频率每天一到两条，重在保持存在感，不需要每一条都很重。</w:t>
      </w:r>
    </w:p>
    <w:p w14:paraId="319800E3">
      <w:pPr>
        <w:pStyle w:val="5"/>
        <w:pageBreakBefore w:val="0"/>
        <w:widowControl w:val="0"/>
        <w:kinsoku/>
        <w:wordWrap/>
        <w:overflowPunct/>
        <w:topLinePunct w:val="0"/>
        <w:autoSpaceDE/>
        <w:autoSpaceDN/>
        <w:bidi w:val="0"/>
        <w:adjustRightInd/>
        <w:spacing w:line="440" w:lineRule="atLeast"/>
        <w:textAlignment w:val="auto"/>
        <w:rPr>
          <w:rFonts w:hint="eastAsia"/>
          <w:lang w:eastAsia="zh-CN"/>
        </w:rPr>
      </w:pPr>
      <w:r>
        <w:rPr>
          <w:rFonts w:hint="eastAsia"/>
        </w:rPr>
        <w:t>（8）Bilibili</w:t>
      </w:r>
    </w:p>
    <w:p w14:paraId="52C7119A">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Bilibili的定位是年轻用户的深度内容与知识传播。B站用户对广告敏感，但对优质内容非常包容，而且忠诚度高。他们愿意花十几分钟看一个乡村纪实或者硬核科普，看完之后可能会成为认养计划的长期支持者。B站不是走量的渠道，但能带来高质量的种子用户。</w:t>
      </w:r>
    </w:p>
    <w:p w14:paraId="01FD78EB">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内容方向上，B站适合放三类中长视频。一类是硬核科普，比如“一级水源保护区的樱桃为什么更甜”，可以从水文、土壤、品种选育的角度讲，请农学背景的博主合作或者由团队自己出镜。一类是骑行Vlog，用第一视角完整记录环库骑行路线，穿插风景、科普、补给站体验。还有一类是乡村纪实，类似“我在北京水源地当果农的一天”或者“东庄四季：从春天樱花开到冬天火炕暖”，沉浸式展示村庄的真实生活。每期八到十五分钟，每月更新两到三期，质量优先于数量。</w:t>
      </w:r>
    </w:p>
    <w:p w14:paraId="4A08D20F">
      <w:pPr>
        <w:pStyle w:val="4"/>
        <w:pageBreakBefore w:val="0"/>
        <w:widowControl w:val="0"/>
        <w:kinsoku/>
        <w:wordWrap/>
        <w:overflowPunct/>
        <w:topLinePunct w:val="0"/>
        <w:autoSpaceDE/>
        <w:autoSpaceDN/>
        <w:bidi w:val="0"/>
        <w:adjustRightInd/>
        <w:spacing w:line="440" w:lineRule="atLeast"/>
        <w:textAlignment w:val="auto"/>
        <w:rPr>
          <w:rFonts w:hint="eastAsia"/>
        </w:rPr>
      </w:pPr>
      <w:bookmarkStart w:id="91" w:name="_Toc24863"/>
      <w:r>
        <w:rPr>
          <w:rFonts w:hint="eastAsia"/>
        </w:rPr>
        <w:t>5.</w:t>
      </w:r>
      <w:r>
        <w:rPr>
          <w:rFonts w:hint="eastAsia"/>
          <w:lang w:val="en-US" w:eastAsia="zh-CN"/>
        </w:rPr>
        <w:t>5</w:t>
      </w:r>
      <w:r>
        <w:rPr>
          <w:rFonts w:hint="eastAsia"/>
        </w:rPr>
        <w:t>.</w:t>
      </w:r>
      <w:r>
        <w:rPr>
          <w:rFonts w:hint="eastAsia"/>
          <w:lang w:val="en-US" w:eastAsia="zh-CN"/>
        </w:rPr>
        <w:t>2</w:t>
      </w:r>
      <w:r>
        <w:rPr>
          <w:rFonts w:hint="eastAsia"/>
        </w:rPr>
        <w:t xml:space="preserve"> 微信小程序</w:t>
      </w:r>
      <w:bookmarkEnd w:id="91"/>
    </w:p>
    <w:p w14:paraId="09138380">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微信小程序是杨家东庄品牌体系的数字底座。它不是一个堆砌功能的商城，而是把认养、溯源、积分这三件事串起来的运营中枢。消费者从第一次了解到完成购买再到反复回购，整个过程中的关键动作都会通过小程序来完成。它把线下的体验和线上的服务连在了一起。</w:t>
      </w:r>
    </w:p>
    <w:p w14:paraId="02796ED9">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认养模块是情感连接最强的部分。用户付年费认养一棵樱桃树之后，小程序里会生成一个专属页面。页面上是一棵数字孪生果树，树的形态会跟着真实季节和天气变化，春天开花、夏天挂果、秋天落叶、冬天休眠。每周系统会自动推一条成长日记，比如“您的果树这周长出了第一批花苞，预计十天后进入盛花期”。采摘季的时候，认养人可以预约体验日，亲自到村里给自己的树浇水、摘果。这套设计把“买樱桃”从一次性消费变成了一整年的陪伴。</w:t>
      </w:r>
    </w:p>
    <w:p w14:paraId="19ACE899">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溯源模块解决的是信任问题</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上面已介绍过。</w:t>
      </w:r>
    </w:p>
    <w:p w14:paraId="7DDFB8FD">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积分模块是驱动复购的润滑剂。用户在小程序上的每次有效行为都能拿到积分，比如骑行打卡、购买产品、分享海报、邀请好友、参加活动。积分可以用来兑换各种权益，比如采摘折扣、深加工产品试吃、骑行装备租赁优惠、文创小礼品。更重要的是，积分体系把骑行和品牌两个场景打通了</w:t>
      </w:r>
      <w:r>
        <w:rPr>
          <w:rFonts w:hint="eastAsia" w:ascii="宋体" w:hAnsi="宋体" w:eastAsia="宋体" w:cs="宋体"/>
          <w:sz w:val="24"/>
          <w:szCs w:val="24"/>
          <w:lang w:eastAsia="zh-CN"/>
        </w:rPr>
        <w:t>，</w:t>
      </w:r>
      <w:r>
        <w:rPr>
          <w:rFonts w:hint="eastAsia" w:ascii="宋体" w:hAnsi="宋体" w:eastAsia="宋体" w:cs="宋体"/>
          <w:sz w:val="24"/>
          <w:szCs w:val="24"/>
        </w:rPr>
        <w:t>骑行打卡攒的积分可以换樱桃产品，买樱桃攒的积分可以换骑行装备租赁。这样一来，不管用户是因为骑行来的还是因为樱桃来的，最终都会进入同一个会员体系，形成一次注册、长期活跃的循环。小程序还会根据用户的积分余额和消费记录，在合适的时候推送提醒，比如“您还有200积分即将过期，可以换一瓶樱桃果酱”，或者“您认养的果树已经开花，本周来村可享骑行租车半价”。</w:t>
      </w:r>
    </w:p>
    <w:p w14:paraId="080904A9">
      <w:pPr>
        <w:pStyle w:val="4"/>
        <w:pageBreakBefore w:val="0"/>
        <w:widowControl w:val="0"/>
        <w:kinsoku/>
        <w:wordWrap/>
        <w:overflowPunct/>
        <w:topLinePunct w:val="0"/>
        <w:autoSpaceDE/>
        <w:autoSpaceDN/>
        <w:bidi w:val="0"/>
        <w:adjustRightInd/>
        <w:spacing w:line="440" w:lineRule="atLeast"/>
        <w:textAlignment w:val="auto"/>
        <w:rPr>
          <w:rFonts w:hint="eastAsia"/>
        </w:rPr>
      </w:pPr>
      <w:bookmarkStart w:id="92" w:name="_Toc13906"/>
      <w:r>
        <w:rPr>
          <w:rFonts w:hint="eastAsia"/>
        </w:rPr>
        <w:t>5.</w:t>
      </w:r>
      <w:r>
        <w:rPr>
          <w:rFonts w:hint="eastAsia"/>
          <w:lang w:val="en-US" w:eastAsia="zh-CN"/>
        </w:rPr>
        <w:t>5</w:t>
      </w:r>
      <w:r>
        <w:rPr>
          <w:rFonts w:hint="eastAsia"/>
        </w:rPr>
        <w:t>.</w:t>
      </w:r>
      <w:r>
        <w:rPr>
          <w:rFonts w:hint="eastAsia"/>
          <w:lang w:val="en-US" w:eastAsia="zh-CN"/>
        </w:rPr>
        <w:t>3</w:t>
      </w:r>
      <w:r>
        <w:rPr>
          <w:rFonts w:hint="eastAsia"/>
        </w:rPr>
        <w:t xml:space="preserve"> 社群</w:t>
      </w:r>
      <w:bookmarkEnd w:id="92"/>
    </w:p>
    <w:p w14:paraId="0A2784C4">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微信社群是品牌和消费者之间最直接的连接通道。公众号和小程序更适合单向发布信息，而社群的优势在于可以双向互动，消息也能实时触达。</w:t>
      </w:r>
      <w:r>
        <w:rPr>
          <w:rFonts w:hint="eastAsia" w:ascii="宋体" w:hAnsi="宋体" w:eastAsia="宋体" w:cs="宋体"/>
          <w:sz w:val="24"/>
          <w:szCs w:val="24"/>
          <w:lang w:val="en-US" w:eastAsia="zh-CN"/>
        </w:rPr>
        <w:t>目前</w:t>
      </w:r>
      <w:r>
        <w:rPr>
          <w:rFonts w:hint="eastAsia" w:ascii="宋体" w:hAnsi="宋体" w:eastAsia="宋体" w:cs="宋体"/>
          <w:sz w:val="24"/>
          <w:szCs w:val="24"/>
        </w:rPr>
        <w:t>我们规划了三种主题的社群，分别对应不同的用户需求和运营节奏。三个群之间会做交叉引流，让用户根据自己的兴趣选择加入一个或多个。</w:t>
      </w:r>
    </w:p>
    <w:p w14:paraId="29D19920">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骑行群面向骑行爱好者和周末运动人群。运营的核心是路线分享、活动召集和打卡激励。群里会定期发布最新的骑行路况。周末的骑行活动会在群里优先开放报名，群成员可以享受租车折扣或者补给站的小福利。每次骑行结束后，鼓励大家在群里晒自己的骑行海报和打卡照片，每周选出一张最佳照片，送一份樱桃伴手礼。骑行群的氛围应该是活跃、自律、有运动感的，群管理员由村里的骑行爱好者或者合作俱乐部的领队担任，保证回复及时、话题对路。</w:t>
      </w:r>
    </w:p>
    <w:p w14:paraId="01312719">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养生群面向对健康饮食和生态农产品感兴趣的人群，尤其是家庭女性和中老年用户。运营的核心是樱桃的营养价值科普、深加工产品的使用场景分享，以及水源地生态理念的传递。群里会定期发一些实用的内容，比如“樱桃含铁量比苹果高多少”“果酱怎么吃更健康”“冻干樱桃脆片和普通果干的区别”。也可以邀请合作社的果农或者有营养学背景的志愿者在群里做简短的答疑。养生群不硬推产品，而是通过持续输出有用的健康知识，让群成员对杨家东庄的樱桃建立起“安全、干净、有营养”的印象。到了樱桃季或者年货季，他们自然会在群里问今年的礼盒什么时候上。</w:t>
      </w:r>
    </w:p>
    <w:p w14:paraId="3AAA665D">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村庄故事群是最特别的一个群，面向对乡村生活有好奇心和情感认同的用户，包括认养计划的参与者、来村里深度体验过的游客、以及对乡村振兴话题感兴趣的城市人群。运营的核心是“云逛东庄”。群管理员会不定时发一些村里正在发生的小事，比如果农在给樱桃树修剪枝条、水库边的芦苇黄了很适合拍照、村里来了个骑行队在驿站歇脚喝茶。这些内容不需要精心编排，越是日常越有温度。群成员也可以在群里提问或者分享自己的回忆，比如去年带孩子去过，孩子到现在还惦记那个樱桃味的棒棒糖。村庄故事群不追求转化率，它存在的意义是让一群喜欢杨家东庄的人有一个地方待着。当品牌需要做口碑传播或者活动召集时，这群人就是最可靠的种子用户。</w:t>
      </w:r>
    </w:p>
    <w:p w14:paraId="3E893458">
      <w:pPr>
        <w:pStyle w:val="3"/>
        <w:pageBreakBefore w:val="0"/>
        <w:widowControl w:val="0"/>
        <w:kinsoku/>
        <w:wordWrap/>
        <w:overflowPunct/>
        <w:topLinePunct w:val="0"/>
        <w:autoSpaceDE/>
        <w:autoSpaceDN/>
        <w:bidi w:val="0"/>
        <w:adjustRightInd/>
        <w:spacing w:line="440" w:lineRule="atLeast"/>
        <w:textAlignment w:val="auto"/>
        <w:outlineLvl w:val="1"/>
        <w:rPr>
          <w:rFonts w:hint="eastAsia" w:ascii="Arial" w:hAnsi="Arial" w:eastAsia="黑体" w:cstheme="minorBidi"/>
          <w:b/>
          <w:kern w:val="2"/>
          <w:sz w:val="32"/>
          <w:szCs w:val="24"/>
          <w:lang w:val="en-US" w:eastAsia="zh-CN" w:bidi="ar-SA"/>
        </w:rPr>
      </w:pPr>
      <w:bookmarkStart w:id="93" w:name="_Toc25972"/>
      <w:r>
        <w:rPr>
          <w:rFonts w:hint="eastAsia" w:ascii="Arial" w:hAnsi="Arial" w:eastAsia="黑体" w:cstheme="minorBidi"/>
          <w:b/>
          <w:kern w:val="2"/>
          <w:sz w:val="32"/>
          <w:szCs w:val="24"/>
          <w:lang w:val="en-US" w:eastAsia="zh-CN" w:bidi="ar-SA"/>
        </w:rPr>
        <w:t>5.6 “东庄四季”全年营销日历</w:t>
      </w:r>
      <w:bookmarkEnd w:id="93"/>
    </w:p>
    <w:p w14:paraId="24533E6E">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rPr>
        <w:t>为了解决樱桃季一过就没有声量的问题，我们以全年12个月为周期，每个月设定一个营销主题和对应的关键动作，确保品牌持续出现在消费者视野中。</w:t>
      </w:r>
      <w:r>
        <w:rPr>
          <w:rFonts w:hint="eastAsia" w:ascii="宋体" w:hAnsi="宋体" w:eastAsia="宋体" w:cs="宋体"/>
          <w:sz w:val="24"/>
          <w:szCs w:val="24"/>
          <w:lang w:val="en-US" w:eastAsia="zh-CN"/>
        </w:rPr>
        <w:t>设计如下表：</w:t>
      </w:r>
    </w:p>
    <w:p w14:paraId="094216A3">
      <w:pPr>
        <w:keepNext/>
        <w:pageBreakBefore w:val="0"/>
        <w:widowControl w:val="0"/>
        <w:kinsoku/>
        <w:wordWrap/>
        <w:overflowPunct/>
        <w:topLinePunct w:val="0"/>
        <w:autoSpaceDE/>
        <w:autoSpaceDN/>
        <w:bidi w:val="0"/>
        <w:adjustRightInd/>
        <w:spacing w:line="440" w:lineRule="atLeast"/>
        <w:jc w:val="center"/>
        <w:textAlignment w:val="auto"/>
        <w:rPr>
          <w:rFonts w:hint="eastAsia" w:ascii="宋体" w:hAnsi="宋体" w:eastAsia="宋体" w:cs="宋体"/>
          <w:sz w:val="24"/>
          <w:szCs w:val="24"/>
        </w:rPr>
      </w:pPr>
      <w:r>
        <w:rPr>
          <w:rFonts w:hint="eastAsia" w:ascii="宋体" w:hAnsi="宋体" w:eastAsia="宋体" w:cs="宋体"/>
          <w:b/>
          <w:i w:val="0"/>
          <w:sz w:val="24"/>
          <w:szCs w:val="24"/>
        </w:rPr>
        <w:t>表5-</w:t>
      </w:r>
      <w:r>
        <w:rPr>
          <w:rFonts w:hint="eastAsia" w:ascii="宋体" w:hAnsi="宋体" w:eastAsia="宋体" w:cs="宋体"/>
          <w:b/>
          <w:i w:val="0"/>
          <w:sz w:val="24"/>
          <w:szCs w:val="24"/>
          <w:lang w:val="en-US" w:eastAsia="zh-CN"/>
        </w:rPr>
        <w:t>9</w:t>
      </w:r>
      <w:r>
        <w:rPr>
          <w:rFonts w:hint="eastAsia" w:ascii="宋体" w:hAnsi="宋体" w:eastAsia="宋体" w:cs="宋体"/>
          <w:b/>
          <w:i w:val="0"/>
          <w:sz w:val="24"/>
          <w:szCs w:val="24"/>
        </w:rPr>
        <w:t xml:space="preserve">  全年营销日历</w:t>
      </w:r>
    </w:p>
    <w:tbl>
      <w:tblPr>
        <w:tblStyle w:val="15"/>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070"/>
        <w:gridCol w:w="4180"/>
        <w:gridCol w:w="3272"/>
      </w:tblGrid>
      <w:tr w14:paraId="0C2EE0B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070" w:type="dxa"/>
            <w:tcBorders>
              <w:top w:val="single" w:color="auto" w:sz="12" w:space="0"/>
              <w:left w:val="nil"/>
              <w:bottom w:val="nil"/>
              <w:right w:val="nil"/>
            </w:tcBorders>
            <w:noWrap w:val="0"/>
            <w:tcMar>
              <w:top w:w="-1" w:type="dxa"/>
              <w:left w:w="-1" w:type="dxa"/>
              <w:bottom w:w="-1" w:type="dxa"/>
              <w:right w:w="-1" w:type="dxa"/>
            </w:tcMar>
            <w:vAlign w:val="center"/>
          </w:tcPr>
          <w:p w14:paraId="23630EFA">
            <w:pPr>
              <w:keepNext/>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eastAsia" w:ascii="宋体" w:hAnsi="宋体" w:eastAsia="宋体" w:cs="宋体"/>
                <w:b/>
                <w:sz w:val="24"/>
                <w:szCs w:val="24"/>
              </w:rPr>
            </w:pPr>
            <w:r>
              <w:rPr>
                <w:rFonts w:hint="eastAsia" w:ascii="宋体" w:hAnsi="宋体" w:eastAsia="宋体" w:cs="宋体"/>
                <w:b/>
                <w:sz w:val="24"/>
                <w:szCs w:val="24"/>
              </w:rPr>
              <w:t>月份</w:t>
            </w:r>
          </w:p>
        </w:tc>
        <w:tc>
          <w:tcPr>
            <w:tcW w:w="4180" w:type="dxa"/>
            <w:tcBorders>
              <w:top w:val="single" w:color="auto" w:sz="12" w:space="0"/>
              <w:left w:val="nil"/>
              <w:bottom w:val="nil"/>
              <w:right w:val="nil"/>
            </w:tcBorders>
            <w:noWrap w:val="0"/>
            <w:tcMar>
              <w:top w:w="-1" w:type="dxa"/>
              <w:left w:w="-1" w:type="dxa"/>
              <w:bottom w:w="-1" w:type="dxa"/>
              <w:right w:w="-1" w:type="dxa"/>
            </w:tcMar>
            <w:vAlign w:val="center"/>
          </w:tcPr>
          <w:p w14:paraId="66EA29B9">
            <w:pPr>
              <w:keepNext/>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eastAsia" w:ascii="宋体" w:hAnsi="宋体" w:eastAsia="宋体" w:cs="宋体"/>
                <w:b/>
                <w:sz w:val="24"/>
                <w:szCs w:val="24"/>
              </w:rPr>
            </w:pPr>
            <w:r>
              <w:rPr>
                <w:rFonts w:hint="eastAsia" w:ascii="宋体" w:hAnsi="宋体" w:eastAsia="宋体" w:cs="宋体"/>
                <w:b/>
                <w:sz w:val="24"/>
                <w:szCs w:val="24"/>
              </w:rPr>
              <w:t>关键动作</w:t>
            </w:r>
          </w:p>
        </w:tc>
        <w:tc>
          <w:tcPr>
            <w:tcW w:w="3272" w:type="dxa"/>
            <w:tcBorders>
              <w:top w:val="single" w:color="auto" w:sz="12" w:space="0"/>
              <w:left w:val="nil"/>
              <w:bottom w:val="nil"/>
              <w:right w:val="nil"/>
            </w:tcBorders>
            <w:noWrap w:val="0"/>
            <w:tcMar>
              <w:top w:w="-1" w:type="dxa"/>
              <w:left w:w="-1" w:type="dxa"/>
              <w:bottom w:w="-1" w:type="dxa"/>
              <w:right w:w="-1" w:type="dxa"/>
            </w:tcMar>
            <w:vAlign w:val="center"/>
          </w:tcPr>
          <w:p w14:paraId="2A47E04A">
            <w:pPr>
              <w:keepNext/>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eastAsia" w:ascii="宋体" w:hAnsi="宋体" w:eastAsia="宋体" w:cs="宋体"/>
                <w:b/>
                <w:sz w:val="24"/>
                <w:szCs w:val="24"/>
              </w:rPr>
            </w:pPr>
            <w:r>
              <w:rPr>
                <w:rFonts w:hint="eastAsia" w:ascii="宋体" w:hAnsi="宋体" w:eastAsia="宋体" w:cs="宋体"/>
                <w:b/>
                <w:sz w:val="24"/>
                <w:szCs w:val="24"/>
              </w:rPr>
              <w:t>对应产品/活动</w:t>
            </w:r>
          </w:p>
        </w:tc>
      </w:tr>
      <w:tr w14:paraId="3C79008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070" w:type="dxa"/>
            <w:tcBorders>
              <w:top w:val="single" w:color="auto" w:sz="4" w:space="0"/>
              <w:left w:val="nil"/>
              <w:bottom w:val="nil"/>
              <w:right w:val="nil"/>
            </w:tcBorders>
            <w:noWrap w:val="0"/>
            <w:tcMar>
              <w:top w:w="-1" w:type="dxa"/>
              <w:left w:w="-1" w:type="dxa"/>
              <w:bottom w:w="-1" w:type="dxa"/>
              <w:right w:w="-1" w:type="dxa"/>
            </w:tcMar>
            <w:vAlign w:val="center"/>
          </w:tcPr>
          <w:p w14:paraId="1F392E01">
            <w:pPr>
              <w:keepNext/>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1-2月</w:t>
            </w:r>
          </w:p>
        </w:tc>
        <w:tc>
          <w:tcPr>
            <w:tcW w:w="4180" w:type="dxa"/>
            <w:tcBorders>
              <w:top w:val="single" w:color="auto" w:sz="4" w:space="0"/>
              <w:left w:val="nil"/>
              <w:bottom w:val="nil"/>
              <w:right w:val="nil"/>
            </w:tcBorders>
            <w:noWrap w:val="0"/>
            <w:tcMar>
              <w:top w:w="-1" w:type="dxa"/>
              <w:left w:w="-1" w:type="dxa"/>
              <w:bottom w:w="-1" w:type="dxa"/>
              <w:right w:w="-1" w:type="dxa"/>
            </w:tcMar>
            <w:vAlign w:val="center"/>
          </w:tcPr>
          <w:p w14:paraId="686B8374">
            <w:pPr>
              <w:keepNext/>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年货礼盒推广+认养计划预热</w:t>
            </w:r>
          </w:p>
        </w:tc>
        <w:tc>
          <w:tcPr>
            <w:tcW w:w="3272" w:type="dxa"/>
            <w:tcBorders>
              <w:top w:val="single" w:color="auto" w:sz="4" w:space="0"/>
              <w:left w:val="nil"/>
              <w:bottom w:val="nil"/>
              <w:right w:val="nil"/>
            </w:tcBorders>
            <w:noWrap w:val="0"/>
            <w:tcMar>
              <w:top w:w="-1" w:type="dxa"/>
              <w:left w:w="-1" w:type="dxa"/>
              <w:bottom w:w="-1" w:type="dxa"/>
              <w:right w:w="-1" w:type="dxa"/>
            </w:tcMar>
            <w:vAlign w:val="center"/>
          </w:tcPr>
          <w:p w14:paraId="2FCB6FAB">
            <w:pPr>
              <w:keepNext/>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深加工礼盒/认养权益卡</w:t>
            </w:r>
          </w:p>
        </w:tc>
      </w:tr>
      <w:tr w14:paraId="68FC2AB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070" w:type="dxa"/>
            <w:tcBorders>
              <w:top w:val="nil"/>
              <w:left w:val="nil"/>
              <w:bottom w:val="nil"/>
              <w:right w:val="nil"/>
            </w:tcBorders>
            <w:noWrap w:val="0"/>
            <w:tcMar>
              <w:top w:w="-1" w:type="dxa"/>
              <w:left w:w="-1" w:type="dxa"/>
              <w:bottom w:w="-1" w:type="dxa"/>
              <w:right w:w="-1" w:type="dxa"/>
            </w:tcMar>
            <w:vAlign w:val="center"/>
          </w:tcPr>
          <w:p w14:paraId="549C66D3">
            <w:pPr>
              <w:keepNext/>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3月</w:t>
            </w:r>
          </w:p>
        </w:tc>
        <w:tc>
          <w:tcPr>
            <w:tcW w:w="4180" w:type="dxa"/>
            <w:tcBorders>
              <w:top w:val="nil"/>
              <w:left w:val="nil"/>
              <w:bottom w:val="nil"/>
              <w:right w:val="nil"/>
            </w:tcBorders>
            <w:noWrap w:val="0"/>
            <w:tcMar>
              <w:top w:w="-1" w:type="dxa"/>
              <w:left w:w="-1" w:type="dxa"/>
              <w:bottom w:w="-1" w:type="dxa"/>
              <w:right w:w="-1" w:type="dxa"/>
            </w:tcMar>
            <w:vAlign w:val="center"/>
          </w:tcPr>
          <w:p w14:paraId="7EC3082F">
            <w:pPr>
              <w:keepNext/>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樱花季内容启动+"一颗樱桃的旅行"开拍</w:t>
            </w:r>
          </w:p>
        </w:tc>
        <w:tc>
          <w:tcPr>
            <w:tcW w:w="3272" w:type="dxa"/>
            <w:tcBorders>
              <w:top w:val="nil"/>
              <w:left w:val="nil"/>
              <w:bottom w:val="nil"/>
              <w:right w:val="nil"/>
            </w:tcBorders>
            <w:noWrap w:val="0"/>
            <w:tcMar>
              <w:top w:w="-1" w:type="dxa"/>
              <w:left w:w="-1" w:type="dxa"/>
              <w:bottom w:w="-1" w:type="dxa"/>
              <w:right w:w="-1" w:type="dxa"/>
            </w:tcMar>
            <w:vAlign w:val="center"/>
          </w:tcPr>
          <w:p w14:paraId="6D6D7027">
            <w:pPr>
              <w:keepNext/>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认养正式开售/春日套餐</w:t>
            </w:r>
          </w:p>
        </w:tc>
      </w:tr>
      <w:tr w14:paraId="42C8CA1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070" w:type="dxa"/>
            <w:tcBorders>
              <w:top w:val="nil"/>
              <w:left w:val="nil"/>
              <w:bottom w:val="nil"/>
              <w:right w:val="nil"/>
            </w:tcBorders>
            <w:noWrap w:val="0"/>
            <w:tcMar>
              <w:top w:w="-1" w:type="dxa"/>
              <w:left w:w="-1" w:type="dxa"/>
              <w:bottom w:w="-1" w:type="dxa"/>
              <w:right w:w="-1" w:type="dxa"/>
            </w:tcMar>
            <w:vAlign w:val="center"/>
          </w:tcPr>
          <w:p w14:paraId="650A6B1F">
            <w:pPr>
              <w:keepNext/>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4月</w:t>
            </w:r>
          </w:p>
        </w:tc>
        <w:tc>
          <w:tcPr>
            <w:tcW w:w="4180" w:type="dxa"/>
            <w:tcBorders>
              <w:top w:val="nil"/>
              <w:left w:val="nil"/>
              <w:bottom w:val="nil"/>
              <w:right w:val="nil"/>
            </w:tcBorders>
            <w:noWrap w:val="0"/>
            <w:tcMar>
              <w:top w:w="-1" w:type="dxa"/>
              <w:left w:w="-1" w:type="dxa"/>
              <w:bottom w:w="-1" w:type="dxa"/>
              <w:right w:w="-1" w:type="dxa"/>
            </w:tcMar>
            <w:vAlign w:val="center"/>
          </w:tcPr>
          <w:p w14:paraId="6689A22B">
            <w:pPr>
              <w:keepNext/>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骑行季预热+路线发布+体验官招募</w:t>
            </w:r>
          </w:p>
        </w:tc>
        <w:tc>
          <w:tcPr>
            <w:tcW w:w="3272" w:type="dxa"/>
            <w:tcBorders>
              <w:top w:val="nil"/>
              <w:left w:val="nil"/>
              <w:bottom w:val="nil"/>
              <w:right w:val="nil"/>
            </w:tcBorders>
            <w:noWrap w:val="0"/>
            <w:tcMar>
              <w:top w:w="-1" w:type="dxa"/>
              <w:left w:w="-1" w:type="dxa"/>
              <w:bottom w:w="-1" w:type="dxa"/>
              <w:right w:w="-1" w:type="dxa"/>
            </w:tcMar>
            <w:vAlign w:val="center"/>
          </w:tcPr>
          <w:p w14:paraId="0DB34BCD">
            <w:pPr>
              <w:keepNext/>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骑行+采摘联票预售</w:t>
            </w:r>
          </w:p>
        </w:tc>
      </w:tr>
      <w:tr w14:paraId="00A07BD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070" w:type="dxa"/>
            <w:tcBorders>
              <w:top w:val="nil"/>
              <w:left w:val="nil"/>
              <w:bottom w:val="nil"/>
              <w:right w:val="nil"/>
            </w:tcBorders>
            <w:noWrap w:val="0"/>
            <w:tcMar>
              <w:top w:w="-1" w:type="dxa"/>
              <w:left w:w="-1" w:type="dxa"/>
              <w:bottom w:w="-1" w:type="dxa"/>
              <w:right w:w="-1" w:type="dxa"/>
            </w:tcMar>
            <w:vAlign w:val="center"/>
          </w:tcPr>
          <w:p w14:paraId="0238BF2B">
            <w:pPr>
              <w:keepNext/>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5-6月</w:t>
            </w:r>
          </w:p>
        </w:tc>
        <w:tc>
          <w:tcPr>
            <w:tcW w:w="4180" w:type="dxa"/>
            <w:tcBorders>
              <w:top w:val="nil"/>
              <w:left w:val="nil"/>
              <w:bottom w:val="nil"/>
              <w:right w:val="nil"/>
            </w:tcBorders>
            <w:noWrap w:val="0"/>
            <w:tcMar>
              <w:top w:w="-1" w:type="dxa"/>
              <w:left w:w="-1" w:type="dxa"/>
              <w:bottom w:w="-1" w:type="dxa"/>
              <w:right w:w="-1" w:type="dxa"/>
            </w:tcMar>
            <w:vAlign w:val="center"/>
          </w:tcPr>
          <w:p w14:paraId="3D3B2507">
            <w:pPr>
              <w:keepNext/>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樱桃采摘季爆发（核心营收期）+直播带货</w:t>
            </w:r>
          </w:p>
        </w:tc>
        <w:tc>
          <w:tcPr>
            <w:tcW w:w="3272" w:type="dxa"/>
            <w:tcBorders>
              <w:top w:val="nil"/>
              <w:left w:val="nil"/>
              <w:bottom w:val="nil"/>
              <w:right w:val="nil"/>
            </w:tcBorders>
            <w:noWrap w:val="0"/>
            <w:tcMar>
              <w:top w:w="-1" w:type="dxa"/>
              <w:left w:w="-1" w:type="dxa"/>
              <w:bottom w:w="-1" w:type="dxa"/>
              <w:right w:w="-1" w:type="dxa"/>
            </w:tcMar>
            <w:vAlign w:val="center"/>
          </w:tcPr>
          <w:p w14:paraId="6C2E8321">
            <w:pPr>
              <w:keepNext/>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鲜果全级别+采摘体验+骑行旺季</w:t>
            </w:r>
          </w:p>
        </w:tc>
      </w:tr>
      <w:tr w14:paraId="291577B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070" w:type="dxa"/>
            <w:tcBorders>
              <w:top w:val="nil"/>
              <w:left w:val="nil"/>
              <w:bottom w:val="nil"/>
              <w:right w:val="nil"/>
            </w:tcBorders>
            <w:noWrap w:val="0"/>
            <w:tcMar>
              <w:top w:w="-1" w:type="dxa"/>
              <w:left w:w="-1" w:type="dxa"/>
              <w:bottom w:w="-1" w:type="dxa"/>
              <w:right w:w="-1" w:type="dxa"/>
            </w:tcMar>
            <w:vAlign w:val="center"/>
          </w:tcPr>
          <w:p w14:paraId="2C5537B8">
            <w:pPr>
              <w:keepNext/>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7月</w:t>
            </w:r>
          </w:p>
        </w:tc>
        <w:tc>
          <w:tcPr>
            <w:tcW w:w="4180" w:type="dxa"/>
            <w:tcBorders>
              <w:top w:val="nil"/>
              <w:left w:val="nil"/>
              <w:bottom w:val="nil"/>
              <w:right w:val="nil"/>
            </w:tcBorders>
            <w:noWrap w:val="0"/>
            <w:tcMar>
              <w:top w:w="-1" w:type="dxa"/>
              <w:left w:w="-1" w:type="dxa"/>
              <w:bottom w:w="-1" w:type="dxa"/>
              <w:right w:w="-1" w:type="dxa"/>
            </w:tcMar>
            <w:vAlign w:val="center"/>
          </w:tcPr>
          <w:p w14:paraId="10C80415">
            <w:pPr>
              <w:keepNext/>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采摘季复盘+深加工产品上线+暑期研学启动</w:t>
            </w:r>
          </w:p>
        </w:tc>
        <w:tc>
          <w:tcPr>
            <w:tcW w:w="3272" w:type="dxa"/>
            <w:tcBorders>
              <w:top w:val="nil"/>
              <w:left w:val="nil"/>
              <w:bottom w:val="nil"/>
              <w:right w:val="nil"/>
            </w:tcBorders>
            <w:noWrap w:val="0"/>
            <w:tcMar>
              <w:top w:w="-1" w:type="dxa"/>
              <w:left w:w="-1" w:type="dxa"/>
              <w:bottom w:w="-1" w:type="dxa"/>
              <w:right w:w="-1" w:type="dxa"/>
            </w:tcMar>
            <w:vAlign w:val="center"/>
          </w:tcPr>
          <w:p w14:paraId="734B4596">
            <w:pPr>
              <w:keepNext/>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果酱/果干/果酒+研学课程</w:t>
            </w:r>
          </w:p>
        </w:tc>
      </w:tr>
      <w:tr w14:paraId="7F96CBD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070" w:type="dxa"/>
            <w:tcBorders>
              <w:top w:val="nil"/>
              <w:left w:val="nil"/>
              <w:bottom w:val="nil"/>
              <w:right w:val="nil"/>
            </w:tcBorders>
            <w:noWrap w:val="0"/>
            <w:tcMar>
              <w:top w:w="-1" w:type="dxa"/>
              <w:left w:w="-1" w:type="dxa"/>
              <w:bottom w:w="-1" w:type="dxa"/>
              <w:right w:w="-1" w:type="dxa"/>
            </w:tcMar>
            <w:vAlign w:val="center"/>
          </w:tcPr>
          <w:p w14:paraId="5D5A6985">
            <w:pPr>
              <w:keepNext/>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8月</w:t>
            </w:r>
          </w:p>
        </w:tc>
        <w:tc>
          <w:tcPr>
            <w:tcW w:w="4180" w:type="dxa"/>
            <w:tcBorders>
              <w:top w:val="nil"/>
              <w:left w:val="nil"/>
              <w:bottom w:val="nil"/>
              <w:right w:val="nil"/>
            </w:tcBorders>
            <w:noWrap w:val="0"/>
            <w:tcMar>
              <w:top w:w="-1" w:type="dxa"/>
              <w:left w:w="-1" w:type="dxa"/>
              <w:bottom w:w="-1" w:type="dxa"/>
              <w:right w:w="-1" w:type="dxa"/>
            </w:tcMar>
            <w:vAlign w:val="center"/>
          </w:tcPr>
          <w:p w14:paraId="1208544B">
            <w:pPr>
              <w:keepNext/>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暑期亲子活动月+研学高峰</w:t>
            </w:r>
          </w:p>
        </w:tc>
        <w:tc>
          <w:tcPr>
            <w:tcW w:w="3272" w:type="dxa"/>
            <w:tcBorders>
              <w:top w:val="nil"/>
              <w:left w:val="nil"/>
              <w:bottom w:val="nil"/>
              <w:right w:val="nil"/>
            </w:tcBorders>
            <w:noWrap w:val="0"/>
            <w:tcMar>
              <w:top w:w="-1" w:type="dxa"/>
              <w:left w:w="-1" w:type="dxa"/>
              <w:bottom w:w="-1" w:type="dxa"/>
              <w:right w:w="-1" w:type="dxa"/>
            </w:tcMar>
            <w:vAlign w:val="center"/>
          </w:tcPr>
          <w:p w14:paraId="52A0FBC0">
            <w:pPr>
              <w:keepNext/>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研学课程+伴手礼+亲子骑行</w:t>
            </w:r>
          </w:p>
        </w:tc>
      </w:tr>
      <w:tr w14:paraId="0C9386E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070" w:type="dxa"/>
            <w:tcBorders>
              <w:top w:val="nil"/>
              <w:left w:val="nil"/>
              <w:bottom w:val="nil"/>
              <w:right w:val="nil"/>
            </w:tcBorders>
            <w:noWrap w:val="0"/>
            <w:tcMar>
              <w:top w:w="-1" w:type="dxa"/>
              <w:left w:w="-1" w:type="dxa"/>
              <w:bottom w:w="-1" w:type="dxa"/>
              <w:right w:w="-1" w:type="dxa"/>
            </w:tcMar>
            <w:vAlign w:val="center"/>
          </w:tcPr>
          <w:p w14:paraId="5087362C">
            <w:pPr>
              <w:keepNext/>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9月</w:t>
            </w:r>
          </w:p>
        </w:tc>
        <w:tc>
          <w:tcPr>
            <w:tcW w:w="4180" w:type="dxa"/>
            <w:tcBorders>
              <w:top w:val="nil"/>
              <w:left w:val="nil"/>
              <w:bottom w:val="nil"/>
              <w:right w:val="nil"/>
            </w:tcBorders>
            <w:noWrap w:val="0"/>
            <w:tcMar>
              <w:top w:w="-1" w:type="dxa"/>
              <w:left w:w="-1" w:type="dxa"/>
              <w:bottom w:w="-1" w:type="dxa"/>
              <w:right w:w="-1" w:type="dxa"/>
            </w:tcMar>
            <w:vAlign w:val="center"/>
          </w:tcPr>
          <w:p w14:paraId="35203F87">
            <w:pPr>
              <w:keepNext/>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丰收感恩节+秋季徒步/骑行赛</w:t>
            </w:r>
          </w:p>
        </w:tc>
        <w:tc>
          <w:tcPr>
            <w:tcW w:w="3272" w:type="dxa"/>
            <w:tcBorders>
              <w:top w:val="nil"/>
              <w:left w:val="nil"/>
              <w:bottom w:val="nil"/>
              <w:right w:val="nil"/>
            </w:tcBorders>
            <w:noWrap w:val="0"/>
            <w:tcMar>
              <w:top w:w="-1" w:type="dxa"/>
              <w:left w:w="-1" w:type="dxa"/>
              <w:bottom w:w="-1" w:type="dxa"/>
              <w:right w:w="-1" w:type="dxa"/>
            </w:tcMar>
            <w:vAlign w:val="center"/>
          </w:tcPr>
          <w:p w14:paraId="35FD69E0">
            <w:pPr>
              <w:keepNext/>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农事体验+秋季骑行赛</w:t>
            </w:r>
          </w:p>
        </w:tc>
      </w:tr>
      <w:tr w14:paraId="317E671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070" w:type="dxa"/>
            <w:tcBorders>
              <w:top w:val="nil"/>
              <w:left w:val="nil"/>
              <w:bottom w:val="nil"/>
              <w:right w:val="nil"/>
            </w:tcBorders>
            <w:noWrap w:val="0"/>
            <w:tcMar>
              <w:top w:w="-1" w:type="dxa"/>
              <w:left w:w="-1" w:type="dxa"/>
              <w:bottom w:w="-1" w:type="dxa"/>
              <w:right w:w="-1" w:type="dxa"/>
            </w:tcMar>
            <w:vAlign w:val="center"/>
          </w:tcPr>
          <w:p w14:paraId="5F292B98">
            <w:pPr>
              <w:keepNext/>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10月</w:t>
            </w:r>
          </w:p>
        </w:tc>
        <w:tc>
          <w:tcPr>
            <w:tcW w:w="4180" w:type="dxa"/>
            <w:tcBorders>
              <w:top w:val="nil"/>
              <w:left w:val="nil"/>
              <w:bottom w:val="nil"/>
              <w:right w:val="nil"/>
            </w:tcBorders>
            <w:noWrap w:val="0"/>
            <w:tcMar>
              <w:top w:w="-1" w:type="dxa"/>
              <w:left w:w="-1" w:type="dxa"/>
              <w:bottom w:w="-1" w:type="dxa"/>
              <w:right w:w="-1" w:type="dxa"/>
            </w:tcMar>
            <w:vAlign w:val="center"/>
          </w:tcPr>
          <w:p w14:paraId="44C48D8A">
            <w:pPr>
              <w:keepNext/>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国庆骑行嘉年华+金秋体验</w:t>
            </w:r>
          </w:p>
        </w:tc>
        <w:tc>
          <w:tcPr>
            <w:tcW w:w="3272" w:type="dxa"/>
            <w:tcBorders>
              <w:top w:val="nil"/>
              <w:left w:val="nil"/>
              <w:bottom w:val="nil"/>
              <w:right w:val="nil"/>
            </w:tcBorders>
            <w:noWrap w:val="0"/>
            <w:tcMar>
              <w:top w:w="-1" w:type="dxa"/>
              <w:left w:w="-1" w:type="dxa"/>
              <w:bottom w:w="-1" w:type="dxa"/>
              <w:right w:w="-1" w:type="dxa"/>
            </w:tcMar>
            <w:vAlign w:val="center"/>
          </w:tcPr>
          <w:p w14:paraId="0D838DB4">
            <w:pPr>
              <w:keepNext/>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骑行赛事+体验套餐+企业团建</w:t>
            </w:r>
          </w:p>
        </w:tc>
      </w:tr>
      <w:tr w14:paraId="3251FA7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070" w:type="dxa"/>
            <w:tcBorders>
              <w:top w:val="nil"/>
              <w:left w:val="nil"/>
              <w:bottom w:val="nil"/>
              <w:right w:val="nil"/>
            </w:tcBorders>
            <w:noWrap w:val="0"/>
            <w:tcMar>
              <w:top w:w="-1" w:type="dxa"/>
              <w:left w:w="-1" w:type="dxa"/>
              <w:bottom w:w="-1" w:type="dxa"/>
              <w:right w:w="-1" w:type="dxa"/>
            </w:tcMar>
            <w:vAlign w:val="center"/>
          </w:tcPr>
          <w:p w14:paraId="64DDEFEF">
            <w:pPr>
              <w:keepNext/>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11月</w:t>
            </w:r>
          </w:p>
        </w:tc>
        <w:tc>
          <w:tcPr>
            <w:tcW w:w="4180" w:type="dxa"/>
            <w:tcBorders>
              <w:top w:val="nil"/>
              <w:left w:val="nil"/>
              <w:bottom w:val="nil"/>
              <w:right w:val="nil"/>
            </w:tcBorders>
            <w:noWrap w:val="0"/>
            <w:tcMar>
              <w:top w:w="-1" w:type="dxa"/>
              <w:left w:w="-1" w:type="dxa"/>
              <w:bottom w:w="-1" w:type="dxa"/>
              <w:right w:w="-1" w:type="dxa"/>
            </w:tcMar>
            <w:vAlign w:val="center"/>
          </w:tcPr>
          <w:p w14:paraId="6BF9D61C">
            <w:pPr>
              <w:keepNext/>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感恩季+企业年终团购启动</w:t>
            </w:r>
          </w:p>
        </w:tc>
        <w:tc>
          <w:tcPr>
            <w:tcW w:w="3272" w:type="dxa"/>
            <w:tcBorders>
              <w:top w:val="nil"/>
              <w:left w:val="nil"/>
              <w:bottom w:val="nil"/>
              <w:right w:val="nil"/>
            </w:tcBorders>
            <w:noWrap w:val="0"/>
            <w:tcMar>
              <w:top w:w="-1" w:type="dxa"/>
              <w:left w:w="-1" w:type="dxa"/>
              <w:bottom w:w="-1" w:type="dxa"/>
              <w:right w:w="-1" w:type="dxa"/>
            </w:tcMar>
            <w:vAlign w:val="center"/>
          </w:tcPr>
          <w:p w14:paraId="3EFF2752">
            <w:pPr>
              <w:keepNext/>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企业定制礼盒+团建套餐</w:t>
            </w:r>
          </w:p>
        </w:tc>
      </w:tr>
      <w:tr w14:paraId="07A5A66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070" w:type="dxa"/>
            <w:tcBorders>
              <w:top w:val="nil"/>
              <w:left w:val="nil"/>
              <w:bottom w:val="nil"/>
              <w:right w:val="nil"/>
            </w:tcBorders>
            <w:noWrap w:val="0"/>
            <w:tcMar>
              <w:top w:w="-1" w:type="dxa"/>
              <w:left w:w="-1" w:type="dxa"/>
              <w:bottom w:w="-1" w:type="dxa"/>
              <w:right w:w="-1" w:type="dxa"/>
            </w:tcMar>
            <w:vAlign w:val="center"/>
          </w:tcPr>
          <w:p w14:paraId="3F4DC87F">
            <w:pPr>
              <w:keepNext/>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12月</w:t>
            </w:r>
          </w:p>
        </w:tc>
        <w:tc>
          <w:tcPr>
            <w:tcW w:w="4180" w:type="dxa"/>
            <w:tcBorders>
              <w:top w:val="nil"/>
              <w:left w:val="nil"/>
              <w:bottom w:val="nil"/>
              <w:right w:val="nil"/>
            </w:tcBorders>
            <w:noWrap w:val="0"/>
            <w:tcMar>
              <w:top w:w="-1" w:type="dxa"/>
              <w:left w:w="-1" w:type="dxa"/>
              <w:bottom w:w="-1" w:type="dxa"/>
              <w:right w:w="-1" w:type="dxa"/>
            </w:tcMar>
            <w:vAlign w:val="center"/>
          </w:tcPr>
          <w:p w14:paraId="7E434766">
            <w:pPr>
              <w:keepNext/>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冬季火炕体验+年货预售+认养续费</w:t>
            </w:r>
          </w:p>
        </w:tc>
        <w:tc>
          <w:tcPr>
            <w:tcW w:w="3272" w:type="dxa"/>
            <w:tcBorders>
              <w:top w:val="nil"/>
              <w:left w:val="nil"/>
              <w:bottom w:val="nil"/>
              <w:right w:val="nil"/>
            </w:tcBorders>
            <w:noWrap w:val="0"/>
            <w:tcMar>
              <w:top w:w="-1" w:type="dxa"/>
              <w:left w:w="-1" w:type="dxa"/>
              <w:bottom w:w="-1" w:type="dxa"/>
              <w:right w:w="-1" w:type="dxa"/>
            </w:tcMar>
            <w:vAlign w:val="center"/>
          </w:tcPr>
          <w:p w14:paraId="5C8B50D6">
            <w:pPr>
              <w:keepNext/>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火炕民宿+年货套装+认养续约</w:t>
            </w:r>
          </w:p>
        </w:tc>
      </w:tr>
      <w:tr w14:paraId="0143159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070" w:type="dxa"/>
            <w:tcBorders>
              <w:top w:val="nil"/>
              <w:left w:val="nil"/>
              <w:bottom w:val="single" w:color="auto" w:sz="12" w:space="0"/>
              <w:right w:val="nil"/>
            </w:tcBorders>
            <w:noWrap w:val="0"/>
            <w:tcMar>
              <w:top w:w="-1" w:type="dxa"/>
              <w:left w:w="-1" w:type="dxa"/>
              <w:bottom w:w="-1" w:type="dxa"/>
              <w:right w:w="-1" w:type="dxa"/>
            </w:tcMar>
            <w:vAlign w:val="center"/>
          </w:tcPr>
          <w:p w14:paraId="6E40A61A">
            <w:pPr>
              <w:keepNext/>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全年</w:t>
            </w:r>
          </w:p>
        </w:tc>
        <w:tc>
          <w:tcPr>
            <w:tcW w:w="4180" w:type="dxa"/>
            <w:tcBorders>
              <w:top w:val="nil"/>
              <w:left w:val="nil"/>
              <w:bottom w:val="single" w:color="auto" w:sz="12" w:space="0"/>
              <w:right w:val="nil"/>
            </w:tcBorders>
            <w:noWrap w:val="0"/>
            <w:tcMar>
              <w:top w:w="-1" w:type="dxa"/>
              <w:left w:w="-1" w:type="dxa"/>
              <w:bottom w:w="-1" w:type="dxa"/>
              <w:right w:w="-1" w:type="dxa"/>
            </w:tcMar>
            <w:vAlign w:val="center"/>
          </w:tcPr>
          <w:p w14:paraId="7514CC7E">
            <w:pPr>
              <w:keepNext/>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社群运营+内容矩阵持续输出</w:t>
            </w:r>
          </w:p>
        </w:tc>
        <w:tc>
          <w:tcPr>
            <w:tcW w:w="3272" w:type="dxa"/>
            <w:tcBorders>
              <w:top w:val="nil"/>
              <w:left w:val="nil"/>
              <w:bottom w:val="single" w:color="auto" w:sz="12" w:space="0"/>
              <w:right w:val="nil"/>
            </w:tcBorders>
            <w:noWrap w:val="0"/>
            <w:tcMar>
              <w:top w:w="-1" w:type="dxa"/>
              <w:left w:w="-1" w:type="dxa"/>
              <w:bottom w:w="-1" w:type="dxa"/>
              <w:right w:w="-1" w:type="dxa"/>
            </w:tcMar>
            <w:vAlign w:val="center"/>
          </w:tcPr>
          <w:p w14:paraId="749F0F6E">
            <w:pPr>
              <w:keepNext/>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会员维护+品牌内容+数据分析</w:t>
            </w:r>
          </w:p>
        </w:tc>
      </w:tr>
    </w:tbl>
    <w:p w14:paraId="14D82C12">
      <w:pPr>
        <w:pStyle w:val="3"/>
        <w:pageBreakBefore w:val="0"/>
        <w:widowControl w:val="0"/>
        <w:kinsoku/>
        <w:wordWrap/>
        <w:overflowPunct/>
        <w:topLinePunct w:val="0"/>
        <w:autoSpaceDE/>
        <w:autoSpaceDN/>
        <w:bidi w:val="0"/>
        <w:adjustRightInd/>
        <w:spacing w:line="440" w:lineRule="atLeast"/>
        <w:textAlignment w:val="auto"/>
        <w:rPr>
          <w:rFonts w:hint="eastAsia"/>
        </w:rPr>
      </w:pPr>
      <w:bookmarkStart w:id="94" w:name="_Toc7248"/>
      <w:r>
        <w:rPr>
          <w:rFonts w:hint="eastAsia"/>
        </w:rPr>
        <w:t>5.</w:t>
      </w:r>
      <w:r>
        <w:rPr>
          <w:rFonts w:hint="eastAsia"/>
          <w:lang w:val="en-US" w:eastAsia="zh-CN"/>
        </w:rPr>
        <w:t>7</w:t>
      </w:r>
      <w:r>
        <w:rPr>
          <w:rFonts w:hint="eastAsia"/>
        </w:rPr>
        <w:t xml:space="preserve"> KOL与</w:t>
      </w:r>
      <w:r>
        <w:rPr>
          <w:rFonts w:hint="eastAsia"/>
          <w:lang w:eastAsia="zh-CN"/>
        </w:rPr>
        <w:t>“</w:t>
      </w:r>
      <w:r>
        <w:rPr>
          <w:rFonts w:hint="eastAsia"/>
        </w:rPr>
        <w:t>东庄体验官</w:t>
      </w:r>
      <w:r>
        <w:rPr>
          <w:rFonts w:hint="eastAsia"/>
          <w:lang w:eastAsia="zh-CN"/>
        </w:rPr>
        <w:t>”</w:t>
      </w:r>
      <w:r>
        <w:rPr>
          <w:rFonts w:hint="eastAsia"/>
        </w:rPr>
        <w:t>计划</w:t>
      </w:r>
      <w:bookmarkEnd w:id="94"/>
    </w:p>
    <w:p w14:paraId="6B97D896">
      <w:pPr>
        <w:pStyle w:val="4"/>
        <w:pageBreakBefore w:val="0"/>
        <w:widowControl w:val="0"/>
        <w:kinsoku/>
        <w:wordWrap/>
        <w:overflowPunct/>
        <w:topLinePunct w:val="0"/>
        <w:autoSpaceDE/>
        <w:autoSpaceDN/>
        <w:bidi w:val="0"/>
        <w:adjustRightInd/>
        <w:spacing w:line="440" w:lineRule="atLeast"/>
        <w:textAlignment w:val="auto"/>
        <w:rPr>
          <w:rFonts w:hint="eastAsia"/>
        </w:rPr>
      </w:pPr>
      <w:bookmarkStart w:id="95" w:name="_Toc31136"/>
      <w:r>
        <w:rPr>
          <w:rFonts w:hint="eastAsia"/>
        </w:rPr>
        <w:t>5.</w:t>
      </w:r>
      <w:r>
        <w:rPr>
          <w:rFonts w:hint="eastAsia"/>
          <w:lang w:val="en-US" w:eastAsia="zh-CN"/>
        </w:rPr>
        <w:t>7</w:t>
      </w:r>
      <w:r>
        <w:rPr>
          <w:rFonts w:hint="eastAsia"/>
        </w:rPr>
        <w:t>.1 三层传播体系</w:t>
      </w:r>
      <w:bookmarkEnd w:id="95"/>
    </w:p>
    <w:p w14:paraId="5EECC8D5">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杨家东庄的KOL传播策略采用三层结构，从专业背书到大众裂变，形成完整的传播链条。第一层是“东庄体验官”，邀请粉丝量在1万到10万之间的垂类博主，覆盖骑行、美食、亲子、旅行等方向。这些博主不需要特别大的流量，但内容质量要高，调性与健康生活方式匹配，而且最好有过京郊、骑行或采摘相关的内容经验。我们为体验官提供免费体验全部场景的机会，包括骑行、采摘、科普、手作等，同时团队会提前准备好航拍、特写、人物照等素材包，方便他们产出内容。体验官不需要支付费用，只需要在体验后发布至少两条高质量图文或视频，用内容置换体验。首批计划招募10到15位，预期带来总曝光50万以上。</w:t>
      </w:r>
    </w:p>
    <w:p w14:paraId="4A754144">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二层是垂类KOL，粉丝量在10万到50万之间，主要是骑行和京郊生活博主。这部分采用付费合作方式，每位KOL制作1到2条深度内容，同时绑定长期优惠码进行分销。合作数量控制在3到5位，预期总曝光100万以上，预算大约2到5万元。KOL的内容会作为品牌的核心素材反复使用，不只发一次就结束。</w:t>
      </w:r>
    </w:p>
    <w:p w14:paraId="078FC7D9">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第三层是素人UGC，面向所有到访的游客和骑行用户。这一层不设人数上限，靠的是持续积累。游客在村里骑行打卡后，系统会自动生成带品牌水印的骑行海报，分享到社交平台就能获得积分。我们还会每月评选“最佳打卡”，送出限定文创。为了降低创作门槛，打卡海报是自动合成的，用户不需要自己修图写文案。这一层的主要成本是积分兑换，控制起来比较灵活，但带来的长尾曝光非常可观。</w:t>
      </w:r>
    </w:p>
    <w:p w14:paraId="4103B23A">
      <w:pPr>
        <w:pageBreakBefore w:val="0"/>
        <w:widowControl w:val="0"/>
        <w:kinsoku/>
        <w:wordWrap/>
        <w:overflowPunct/>
        <w:topLinePunct w:val="0"/>
        <w:autoSpaceDE/>
        <w:autoSpaceDN/>
        <w:bidi w:val="0"/>
        <w:adjustRightInd/>
        <w:spacing w:line="440" w:lineRule="atLeast"/>
        <w:jc w:val="center"/>
        <w:textAlignment w:val="auto"/>
        <w:rPr>
          <w:rFonts w:hint="eastAsia" w:ascii="宋体" w:hAnsi="宋体" w:eastAsia="宋体" w:cs="宋体"/>
          <w:sz w:val="24"/>
          <w:szCs w:val="24"/>
        </w:rPr>
      </w:pPr>
      <w:r>
        <w:rPr>
          <w:rFonts w:hint="eastAsia" w:ascii="宋体" w:hAnsi="宋体" w:eastAsia="宋体" w:cs="宋体"/>
          <w:b/>
          <w:i w:val="0"/>
          <w:sz w:val="24"/>
          <w:szCs w:val="24"/>
        </w:rPr>
        <w:t>表5-</w:t>
      </w:r>
      <w:r>
        <w:rPr>
          <w:rFonts w:hint="eastAsia" w:ascii="宋体" w:hAnsi="宋体" w:eastAsia="宋体" w:cs="宋体"/>
          <w:b/>
          <w:i w:val="0"/>
          <w:sz w:val="24"/>
          <w:szCs w:val="24"/>
          <w:lang w:val="en-US" w:eastAsia="zh-CN"/>
        </w:rPr>
        <w:t>10</w:t>
      </w:r>
      <w:r>
        <w:rPr>
          <w:rFonts w:hint="eastAsia" w:ascii="宋体" w:hAnsi="宋体" w:eastAsia="宋体" w:cs="宋体"/>
          <w:b/>
          <w:i w:val="0"/>
          <w:sz w:val="24"/>
          <w:szCs w:val="24"/>
        </w:rPr>
        <w:t xml:space="preserve">  三层KOL传播体系</w:t>
      </w:r>
    </w:p>
    <w:tbl>
      <w:tblPr>
        <w:tblStyle w:val="15"/>
        <w:tblW w:w="1054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942"/>
        <w:gridCol w:w="1982"/>
        <w:gridCol w:w="2856"/>
        <w:gridCol w:w="1296"/>
        <w:gridCol w:w="1299"/>
        <w:gridCol w:w="1173"/>
      </w:tblGrid>
      <w:tr w14:paraId="229CA13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98EB002">
            <w:pPr>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eastAsia" w:ascii="宋体" w:hAnsi="宋体" w:eastAsia="宋体" w:cs="宋体"/>
                <w:b/>
                <w:sz w:val="24"/>
                <w:szCs w:val="24"/>
              </w:rPr>
            </w:pPr>
            <w:r>
              <w:rPr>
                <w:rFonts w:hint="eastAsia" w:ascii="宋体" w:hAnsi="宋体" w:eastAsia="宋体" w:cs="宋体"/>
                <w:b/>
                <w:sz w:val="24"/>
                <w:szCs w:val="24"/>
              </w:rPr>
              <w:t>层级</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7F79300">
            <w:pPr>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eastAsia" w:ascii="宋体" w:hAnsi="宋体" w:eastAsia="宋体" w:cs="宋体"/>
                <w:b/>
                <w:sz w:val="24"/>
                <w:szCs w:val="24"/>
              </w:rPr>
            </w:pPr>
            <w:r>
              <w:rPr>
                <w:rFonts w:hint="eastAsia" w:ascii="宋体" w:hAnsi="宋体" w:eastAsia="宋体" w:cs="宋体"/>
                <w:b/>
                <w:sz w:val="24"/>
                <w:szCs w:val="24"/>
              </w:rPr>
              <w:t>对象</w:t>
            </w:r>
          </w:p>
        </w:tc>
        <w:tc>
          <w:tcPr>
            <w:tcW w:w="2856" w:type="dxa"/>
            <w:tcBorders>
              <w:top w:val="single" w:color="auto" w:sz="12" w:space="0"/>
              <w:left w:val="nil"/>
              <w:bottom w:val="nil"/>
              <w:right w:val="nil"/>
            </w:tcBorders>
            <w:noWrap w:val="0"/>
            <w:tcMar>
              <w:top w:w="-1" w:type="dxa"/>
              <w:left w:w="-1" w:type="dxa"/>
              <w:bottom w:w="-1" w:type="dxa"/>
              <w:right w:w="-1" w:type="dxa"/>
            </w:tcMar>
            <w:vAlign w:val="center"/>
          </w:tcPr>
          <w:p w14:paraId="213E47B3">
            <w:pPr>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eastAsia" w:ascii="宋体" w:hAnsi="宋体" w:eastAsia="宋体" w:cs="宋体"/>
                <w:b/>
                <w:sz w:val="24"/>
                <w:szCs w:val="24"/>
              </w:rPr>
            </w:pPr>
            <w:r>
              <w:rPr>
                <w:rFonts w:hint="eastAsia" w:ascii="宋体" w:hAnsi="宋体" w:eastAsia="宋体" w:cs="宋体"/>
                <w:b/>
                <w:sz w:val="24"/>
                <w:szCs w:val="24"/>
              </w:rPr>
              <w:t>合作方式</w:t>
            </w:r>
          </w:p>
        </w:tc>
        <w:tc>
          <w:tcPr>
            <w:tcW w:w="1296" w:type="dxa"/>
            <w:tcBorders>
              <w:top w:val="single" w:color="auto" w:sz="12" w:space="0"/>
              <w:left w:val="nil"/>
              <w:bottom w:val="nil"/>
              <w:right w:val="nil"/>
            </w:tcBorders>
            <w:noWrap w:val="0"/>
            <w:tcMar>
              <w:top w:w="-1" w:type="dxa"/>
              <w:left w:w="-1" w:type="dxa"/>
              <w:bottom w:w="-1" w:type="dxa"/>
              <w:right w:w="-1" w:type="dxa"/>
            </w:tcMar>
            <w:vAlign w:val="center"/>
          </w:tcPr>
          <w:p w14:paraId="794B6F70">
            <w:pPr>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eastAsia" w:ascii="宋体" w:hAnsi="宋体" w:eastAsia="宋体" w:cs="宋体"/>
                <w:b/>
                <w:sz w:val="24"/>
                <w:szCs w:val="24"/>
              </w:rPr>
            </w:pPr>
            <w:r>
              <w:rPr>
                <w:rFonts w:hint="eastAsia" w:ascii="宋体" w:hAnsi="宋体" w:eastAsia="宋体" w:cs="宋体"/>
                <w:b/>
                <w:sz w:val="24"/>
                <w:szCs w:val="24"/>
              </w:rPr>
              <w:t>数量</w:t>
            </w:r>
          </w:p>
        </w:tc>
        <w:tc>
          <w:tcPr>
            <w:tcW w:w="1299" w:type="dxa"/>
            <w:tcBorders>
              <w:top w:val="single" w:color="auto" w:sz="12" w:space="0"/>
              <w:left w:val="nil"/>
              <w:bottom w:val="nil"/>
              <w:right w:val="nil"/>
            </w:tcBorders>
            <w:noWrap w:val="0"/>
            <w:tcMar>
              <w:top w:w="-1" w:type="dxa"/>
              <w:left w:w="-1" w:type="dxa"/>
              <w:bottom w:w="-1" w:type="dxa"/>
              <w:right w:w="-1" w:type="dxa"/>
            </w:tcMar>
            <w:vAlign w:val="center"/>
          </w:tcPr>
          <w:p w14:paraId="42F08116">
            <w:pPr>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eastAsia" w:ascii="宋体" w:hAnsi="宋体" w:eastAsia="宋体" w:cs="宋体"/>
                <w:b/>
                <w:sz w:val="24"/>
                <w:szCs w:val="24"/>
              </w:rPr>
            </w:pPr>
            <w:r>
              <w:rPr>
                <w:rFonts w:hint="eastAsia" w:ascii="宋体" w:hAnsi="宋体" w:eastAsia="宋体" w:cs="宋体"/>
                <w:b/>
                <w:sz w:val="24"/>
                <w:szCs w:val="24"/>
              </w:rPr>
              <w:t>预期曝光</w:t>
            </w:r>
          </w:p>
        </w:tc>
        <w:tc>
          <w:tcPr>
            <w:tcW w:w="1173" w:type="dxa"/>
            <w:tcBorders>
              <w:top w:val="single" w:color="auto" w:sz="12" w:space="0"/>
              <w:left w:val="nil"/>
              <w:bottom w:val="nil"/>
              <w:right w:val="nil"/>
            </w:tcBorders>
            <w:noWrap w:val="0"/>
            <w:tcMar>
              <w:top w:w="-1" w:type="dxa"/>
              <w:left w:w="-1" w:type="dxa"/>
              <w:bottom w:w="-1" w:type="dxa"/>
              <w:right w:w="-1" w:type="dxa"/>
            </w:tcMar>
            <w:vAlign w:val="center"/>
          </w:tcPr>
          <w:p w14:paraId="1E911112">
            <w:pPr>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eastAsia" w:ascii="宋体" w:hAnsi="宋体" w:eastAsia="宋体" w:cs="宋体"/>
                <w:b/>
                <w:sz w:val="24"/>
                <w:szCs w:val="24"/>
              </w:rPr>
            </w:pPr>
            <w:r>
              <w:rPr>
                <w:rFonts w:hint="eastAsia" w:ascii="宋体" w:hAnsi="宋体" w:eastAsia="宋体" w:cs="宋体"/>
                <w:b/>
                <w:sz w:val="24"/>
                <w:szCs w:val="24"/>
              </w:rPr>
              <w:t>成本</w:t>
            </w:r>
          </w:p>
        </w:tc>
      </w:tr>
      <w:tr w14:paraId="33F201F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8FB080A">
            <w:pPr>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第一层：体验官</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7DBBDAC">
            <w:pPr>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粉丝1-10万的垂类博主（骑行/美食/亲子/旅行）</w:t>
            </w:r>
          </w:p>
        </w:tc>
        <w:tc>
          <w:tcPr>
            <w:tcW w:w="2856" w:type="dxa"/>
            <w:tcBorders>
              <w:top w:val="single" w:color="auto" w:sz="4" w:space="0"/>
              <w:left w:val="nil"/>
              <w:bottom w:val="nil"/>
              <w:right w:val="nil"/>
            </w:tcBorders>
            <w:noWrap w:val="0"/>
            <w:tcMar>
              <w:top w:w="-1" w:type="dxa"/>
              <w:left w:w="-1" w:type="dxa"/>
              <w:bottom w:w="-1" w:type="dxa"/>
              <w:right w:w="-1" w:type="dxa"/>
            </w:tcMar>
            <w:vAlign w:val="center"/>
          </w:tcPr>
          <w:p w14:paraId="70E78196">
            <w:pPr>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免费体验全部场景+团队提供素材包（航拍/特写/人物照）+内容置换</w:t>
            </w:r>
          </w:p>
        </w:tc>
        <w:tc>
          <w:tcPr>
            <w:tcW w:w="1296" w:type="dxa"/>
            <w:tcBorders>
              <w:top w:val="single" w:color="auto" w:sz="4" w:space="0"/>
              <w:left w:val="nil"/>
              <w:bottom w:val="nil"/>
              <w:right w:val="nil"/>
            </w:tcBorders>
            <w:noWrap w:val="0"/>
            <w:tcMar>
              <w:top w:w="-1" w:type="dxa"/>
              <w:left w:w="-1" w:type="dxa"/>
              <w:bottom w:w="-1" w:type="dxa"/>
              <w:right w:w="-1" w:type="dxa"/>
            </w:tcMar>
            <w:vAlign w:val="center"/>
          </w:tcPr>
          <w:p w14:paraId="0DC7805C">
            <w:pPr>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首批10-15位</w:t>
            </w:r>
          </w:p>
        </w:tc>
        <w:tc>
          <w:tcPr>
            <w:tcW w:w="1299" w:type="dxa"/>
            <w:tcBorders>
              <w:top w:val="single" w:color="auto" w:sz="4" w:space="0"/>
              <w:left w:val="nil"/>
              <w:bottom w:val="nil"/>
              <w:right w:val="nil"/>
            </w:tcBorders>
            <w:noWrap w:val="0"/>
            <w:tcMar>
              <w:top w:w="-1" w:type="dxa"/>
              <w:left w:w="-1" w:type="dxa"/>
              <w:bottom w:w="-1" w:type="dxa"/>
              <w:right w:w="-1" w:type="dxa"/>
            </w:tcMar>
            <w:vAlign w:val="center"/>
          </w:tcPr>
          <w:p w14:paraId="6F0FF05E">
            <w:pPr>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总曝光50万+</w:t>
            </w:r>
          </w:p>
        </w:tc>
        <w:tc>
          <w:tcPr>
            <w:tcW w:w="1173" w:type="dxa"/>
            <w:tcBorders>
              <w:top w:val="single" w:color="auto" w:sz="4" w:space="0"/>
              <w:left w:val="nil"/>
              <w:bottom w:val="nil"/>
              <w:right w:val="nil"/>
            </w:tcBorders>
            <w:noWrap w:val="0"/>
            <w:tcMar>
              <w:top w:w="-1" w:type="dxa"/>
              <w:left w:w="-1" w:type="dxa"/>
              <w:bottom w:w="-1" w:type="dxa"/>
              <w:right w:w="-1" w:type="dxa"/>
            </w:tcMar>
            <w:vAlign w:val="center"/>
          </w:tcPr>
          <w:p w14:paraId="088EB36E">
            <w:pPr>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零现金（以体验置换）</w:t>
            </w:r>
          </w:p>
        </w:tc>
      </w:tr>
      <w:tr w14:paraId="6F29E0D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311D788">
            <w:pPr>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第二层：垂类KOL</w:t>
            </w:r>
          </w:p>
        </w:tc>
        <w:tc>
          <w:tcPr>
            <w:tcW w:w="0" w:type="auto"/>
            <w:tcBorders>
              <w:top w:val="nil"/>
              <w:left w:val="nil"/>
              <w:bottom w:val="nil"/>
              <w:right w:val="nil"/>
            </w:tcBorders>
            <w:noWrap w:val="0"/>
            <w:tcMar>
              <w:top w:w="-1" w:type="dxa"/>
              <w:left w:w="-1" w:type="dxa"/>
              <w:bottom w:w="-1" w:type="dxa"/>
              <w:right w:w="-1" w:type="dxa"/>
            </w:tcMar>
            <w:vAlign w:val="center"/>
          </w:tcPr>
          <w:p w14:paraId="1BA88237">
            <w:pPr>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粉丝10-50万的骑行/京郊生活博主</w:t>
            </w:r>
          </w:p>
        </w:tc>
        <w:tc>
          <w:tcPr>
            <w:tcW w:w="2856" w:type="dxa"/>
            <w:tcBorders>
              <w:top w:val="nil"/>
              <w:left w:val="nil"/>
              <w:bottom w:val="nil"/>
              <w:right w:val="nil"/>
            </w:tcBorders>
            <w:noWrap w:val="0"/>
            <w:tcMar>
              <w:top w:w="-1" w:type="dxa"/>
              <w:left w:w="-1" w:type="dxa"/>
              <w:bottom w:w="-1" w:type="dxa"/>
              <w:right w:w="-1" w:type="dxa"/>
            </w:tcMar>
            <w:vAlign w:val="center"/>
          </w:tcPr>
          <w:p w14:paraId="446D9D00">
            <w:pPr>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付费合作1-2条深度内容+长期优惠码分销</w:t>
            </w:r>
          </w:p>
        </w:tc>
        <w:tc>
          <w:tcPr>
            <w:tcW w:w="1296" w:type="dxa"/>
            <w:tcBorders>
              <w:top w:val="nil"/>
              <w:left w:val="nil"/>
              <w:bottom w:val="nil"/>
              <w:right w:val="nil"/>
            </w:tcBorders>
            <w:noWrap w:val="0"/>
            <w:tcMar>
              <w:top w:w="-1" w:type="dxa"/>
              <w:left w:w="-1" w:type="dxa"/>
              <w:bottom w:w="-1" w:type="dxa"/>
              <w:right w:w="-1" w:type="dxa"/>
            </w:tcMar>
            <w:vAlign w:val="center"/>
          </w:tcPr>
          <w:p w14:paraId="44F09FAF">
            <w:pPr>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3-5位</w:t>
            </w:r>
          </w:p>
        </w:tc>
        <w:tc>
          <w:tcPr>
            <w:tcW w:w="1299" w:type="dxa"/>
            <w:tcBorders>
              <w:top w:val="nil"/>
              <w:left w:val="nil"/>
              <w:bottom w:val="nil"/>
              <w:right w:val="nil"/>
            </w:tcBorders>
            <w:noWrap w:val="0"/>
            <w:tcMar>
              <w:top w:w="-1" w:type="dxa"/>
              <w:left w:w="-1" w:type="dxa"/>
              <w:bottom w:w="-1" w:type="dxa"/>
              <w:right w:w="-1" w:type="dxa"/>
            </w:tcMar>
            <w:vAlign w:val="center"/>
          </w:tcPr>
          <w:p w14:paraId="5369A2BB">
            <w:pPr>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总曝光100万+</w:t>
            </w:r>
          </w:p>
        </w:tc>
        <w:tc>
          <w:tcPr>
            <w:tcW w:w="1173" w:type="dxa"/>
            <w:tcBorders>
              <w:top w:val="nil"/>
              <w:left w:val="nil"/>
              <w:bottom w:val="nil"/>
              <w:right w:val="nil"/>
            </w:tcBorders>
            <w:noWrap w:val="0"/>
            <w:tcMar>
              <w:top w:w="-1" w:type="dxa"/>
              <w:left w:w="-1" w:type="dxa"/>
              <w:bottom w:w="-1" w:type="dxa"/>
              <w:right w:w="-1" w:type="dxa"/>
            </w:tcMar>
            <w:vAlign w:val="center"/>
          </w:tcPr>
          <w:p w14:paraId="08A60FEF">
            <w:pPr>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约2-5万</w:t>
            </w:r>
          </w:p>
        </w:tc>
      </w:tr>
      <w:tr w14:paraId="7276B1D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42" w:type="dxa"/>
            <w:tcBorders>
              <w:top w:val="nil"/>
              <w:left w:val="nil"/>
              <w:bottom w:val="single" w:color="auto" w:sz="12" w:space="0"/>
              <w:right w:val="nil"/>
            </w:tcBorders>
            <w:noWrap w:val="0"/>
            <w:tcMar>
              <w:top w:w="-1" w:type="dxa"/>
              <w:left w:w="-1" w:type="dxa"/>
              <w:bottom w:w="-1" w:type="dxa"/>
              <w:right w:w="-1" w:type="dxa"/>
            </w:tcMar>
            <w:vAlign w:val="center"/>
          </w:tcPr>
          <w:p w14:paraId="3BC566E8">
            <w:pPr>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第三层：素人UGC</w:t>
            </w:r>
          </w:p>
        </w:tc>
        <w:tc>
          <w:tcPr>
            <w:tcW w:w="1982" w:type="dxa"/>
            <w:tcBorders>
              <w:top w:val="nil"/>
              <w:left w:val="nil"/>
              <w:bottom w:val="single" w:color="auto" w:sz="12" w:space="0"/>
              <w:right w:val="nil"/>
            </w:tcBorders>
            <w:noWrap w:val="0"/>
            <w:tcMar>
              <w:top w:w="-1" w:type="dxa"/>
              <w:left w:w="-1" w:type="dxa"/>
              <w:bottom w:w="-1" w:type="dxa"/>
              <w:right w:w="-1" w:type="dxa"/>
            </w:tcMar>
            <w:vAlign w:val="center"/>
          </w:tcPr>
          <w:p w14:paraId="5EC677F2">
            <w:pPr>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到访游客/骑行用户</w:t>
            </w:r>
          </w:p>
        </w:tc>
        <w:tc>
          <w:tcPr>
            <w:tcW w:w="2856" w:type="dxa"/>
            <w:tcBorders>
              <w:top w:val="nil"/>
              <w:left w:val="nil"/>
              <w:bottom w:val="single" w:color="auto" w:sz="12" w:space="0"/>
              <w:right w:val="nil"/>
            </w:tcBorders>
            <w:noWrap w:val="0"/>
            <w:tcMar>
              <w:top w:w="-1" w:type="dxa"/>
              <w:left w:w="-1" w:type="dxa"/>
              <w:bottom w:w="-1" w:type="dxa"/>
              <w:right w:w="-1" w:type="dxa"/>
            </w:tcMar>
            <w:vAlign w:val="center"/>
          </w:tcPr>
          <w:p w14:paraId="5983AFE7">
            <w:pPr>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打卡分享送积分+月度"最佳打卡"评选+骑行海报自动合成降低创作门槛</w:t>
            </w:r>
          </w:p>
        </w:tc>
        <w:tc>
          <w:tcPr>
            <w:tcW w:w="1296" w:type="dxa"/>
            <w:tcBorders>
              <w:top w:val="nil"/>
              <w:left w:val="nil"/>
              <w:bottom w:val="single" w:color="auto" w:sz="12" w:space="0"/>
              <w:right w:val="nil"/>
            </w:tcBorders>
            <w:noWrap w:val="0"/>
            <w:tcMar>
              <w:top w:w="-1" w:type="dxa"/>
              <w:left w:w="-1" w:type="dxa"/>
              <w:bottom w:w="-1" w:type="dxa"/>
              <w:right w:w="-1" w:type="dxa"/>
            </w:tcMar>
            <w:vAlign w:val="center"/>
          </w:tcPr>
          <w:p w14:paraId="06B5C2B8">
            <w:pPr>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持续积累</w:t>
            </w:r>
          </w:p>
        </w:tc>
        <w:tc>
          <w:tcPr>
            <w:tcW w:w="1299" w:type="dxa"/>
            <w:tcBorders>
              <w:top w:val="nil"/>
              <w:left w:val="nil"/>
              <w:bottom w:val="single" w:color="auto" w:sz="12" w:space="0"/>
              <w:right w:val="nil"/>
            </w:tcBorders>
            <w:noWrap w:val="0"/>
            <w:tcMar>
              <w:top w:w="-1" w:type="dxa"/>
              <w:left w:w="-1" w:type="dxa"/>
              <w:bottom w:w="-1" w:type="dxa"/>
              <w:right w:w="-1" w:type="dxa"/>
            </w:tcMar>
            <w:vAlign w:val="center"/>
          </w:tcPr>
          <w:p w14:paraId="24378D7D">
            <w:pPr>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长尾曝光</w:t>
            </w:r>
          </w:p>
        </w:tc>
        <w:tc>
          <w:tcPr>
            <w:tcW w:w="1173" w:type="dxa"/>
            <w:tcBorders>
              <w:top w:val="nil"/>
              <w:left w:val="nil"/>
              <w:bottom w:val="single" w:color="auto" w:sz="12" w:space="0"/>
              <w:right w:val="nil"/>
            </w:tcBorders>
            <w:noWrap w:val="0"/>
            <w:tcMar>
              <w:top w:w="-1" w:type="dxa"/>
              <w:left w:w="-1" w:type="dxa"/>
              <w:bottom w:w="-1" w:type="dxa"/>
              <w:right w:w="-1" w:type="dxa"/>
            </w:tcMar>
            <w:vAlign w:val="center"/>
          </w:tcPr>
          <w:p w14:paraId="7056C585">
            <w:pPr>
              <w:pageBreakBefore w:val="0"/>
              <w:widowControl w:val="0"/>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积分成本可控</w:t>
            </w:r>
          </w:p>
        </w:tc>
      </w:tr>
    </w:tbl>
    <w:p w14:paraId="7FB9D016">
      <w:pPr>
        <w:pStyle w:val="4"/>
        <w:pageBreakBefore w:val="0"/>
        <w:widowControl w:val="0"/>
        <w:kinsoku/>
        <w:wordWrap/>
        <w:overflowPunct/>
        <w:topLinePunct w:val="0"/>
        <w:autoSpaceDE/>
        <w:autoSpaceDN/>
        <w:bidi w:val="0"/>
        <w:adjustRightInd/>
        <w:spacing w:line="440" w:lineRule="atLeast"/>
        <w:textAlignment w:val="auto"/>
        <w:rPr>
          <w:rFonts w:hint="eastAsia"/>
        </w:rPr>
      </w:pPr>
      <w:bookmarkStart w:id="96" w:name="_Toc12277"/>
      <w:r>
        <w:rPr>
          <w:rFonts w:hint="eastAsia"/>
        </w:rPr>
        <w:t>5.</w:t>
      </w:r>
      <w:r>
        <w:rPr>
          <w:rFonts w:hint="eastAsia"/>
          <w:lang w:val="en-US" w:eastAsia="zh-CN"/>
        </w:rPr>
        <w:t>7</w:t>
      </w:r>
      <w:r>
        <w:rPr>
          <w:rFonts w:hint="eastAsia"/>
        </w:rPr>
        <w:t>.2 执行节奏与激励机制</w:t>
      </w:r>
      <w:bookmarkEnd w:id="96"/>
    </w:p>
    <w:p w14:paraId="194D7BD5">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整个传播体系的执行节奏分三个阶段推进。第一阶段是提前预热，在骑行路线试运营但尚未正式开放的时候，就启动首批体验官的邀请。让他们抢先体验，制造“还没对外开放就已经有人在玩了”的话题稀缺感。第二阶段是采摘季爆发期，集中邀请第二批体验官，同时配合直播带货，把体验官的内容和销售直接挂钩。第三阶段是全年持续运营，通过小程序里的打卡系统激励普通游客自发产出UGC内容，不需要每批都靠人工邀请。</w:t>
      </w:r>
    </w:p>
    <w:p w14:paraId="7D99C867">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内容发布后，如果数据好，可以升级为长期合作伙伴，后续活动优先邀请。KOL层面，除了合作费用，还会提供长期优惠码分销的佣金，以及年度“最佳合作伙伴”评选，获奖者可以获得额外奖励和媒体曝光。素人UGC层面，每次分享打卡海报可以获得积分，积分可以兑换采摘折扣、深加工产品、骑行装备租赁等。每月评选“最佳打卡”，送出限定文创产品。每年年底还会评选“年度骑行达人”，颁发特别奖牌和下一年的免费认养名额。</w:t>
      </w:r>
    </w:p>
    <w:p w14:paraId="58A20D87">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这套激励机制的核心是让不同层级的传播者都能感受到被重视，而不是被当作免费的宣传工具。体验官和KOL看重的是独家体验和内容素材，普通游客看重的是积分兑换和社交认可，两个方向都能跑通。</w:t>
      </w:r>
    </w:p>
    <w:p w14:paraId="627B8881">
      <w:pPr>
        <w:pStyle w:val="3"/>
        <w:pageBreakBefore w:val="0"/>
        <w:widowControl w:val="0"/>
        <w:kinsoku/>
        <w:wordWrap/>
        <w:overflowPunct/>
        <w:topLinePunct w:val="0"/>
        <w:autoSpaceDE/>
        <w:autoSpaceDN/>
        <w:bidi w:val="0"/>
        <w:adjustRightInd/>
        <w:spacing w:line="440" w:lineRule="atLeast"/>
        <w:textAlignment w:val="auto"/>
        <w:rPr>
          <w:rFonts w:hint="eastAsia"/>
        </w:rPr>
      </w:pPr>
      <w:bookmarkStart w:id="97" w:name="_Toc26203"/>
      <w:r>
        <w:rPr>
          <w:rFonts w:hint="eastAsia"/>
        </w:rPr>
        <w:t>5.</w:t>
      </w:r>
      <w:r>
        <w:rPr>
          <w:rFonts w:hint="eastAsia"/>
          <w:lang w:val="en-US" w:eastAsia="zh-CN"/>
        </w:rPr>
        <w:t>8</w:t>
      </w:r>
      <w:r>
        <w:rPr>
          <w:rFonts w:hint="eastAsia"/>
        </w:rPr>
        <w:t xml:space="preserve"> 收益预测与落地节奏</w:t>
      </w:r>
      <w:bookmarkEnd w:id="97"/>
    </w:p>
    <w:p w14:paraId="5B40E0E9">
      <w:pPr>
        <w:pStyle w:val="4"/>
        <w:pageBreakBefore w:val="0"/>
        <w:widowControl w:val="0"/>
        <w:kinsoku/>
        <w:wordWrap/>
        <w:overflowPunct/>
        <w:topLinePunct w:val="0"/>
        <w:autoSpaceDE/>
        <w:autoSpaceDN/>
        <w:bidi w:val="0"/>
        <w:adjustRightInd/>
        <w:spacing w:line="440" w:lineRule="atLeast"/>
        <w:textAlignment w:val="auto"/>
        <w:rPr>
          <w:rFonts w:hint="eastAsia"/>
        </w:rPr>
      </w:pPr>
      <w:bookmarkStart w:id="98" w:name="_Toc10856"/>
      <w:r>
        <w:rPr>
          <w:rFonts w:hint="eastAsia"/>
        </w:rPr>
        <w:t>5.</w:t>
      </w:r>
      <w:r>
        <w:rPr>
          <w:rFonts w:hint="eastAsia"/>
          <w:lang w:val="en-US" w:eastAsia="zh-CN"/>
        </w:rPr>
        <w:t>8</w:t>
      </w:r>
      <w:r>
        <w:rPr>
          <w:rFonts w:hint="eastAsia"/>
        </w:rPr>
        <w:t>.1 直接收益来源</w:t>
      </w:r>
      <w:bookmarkEnd w:id="98"/>
    </w:p>
    <w:p w14:paraId="67123535">
      <w:pPr>
        <w:pageBreakBefore w:val="0"/>
        <w:widowControl w:val="0"/>
        <w:kinsoku/>
        <w:wordWrap/>
        <w:overflowPunct/>
        <w:topLinePunct w:val="0"/>
        <w:autoSpaceDE/>
        <w:autoSpaceDN/>
        <w:bidi w:val="0"/>
        <w:adjustRightInd/>
        <w:spacing w:line="440" w:lineRule="atLeas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品牌价值体系的收益来源不是单一的樱桃销售，而是多个板块叠加的结果。鲜果销售因为品牌溢价和渠道拓宽，价格和销量都会明显提升。深加工产品线把原本可能滞销的果子转化为果酱、果干、果酒、酵素、花茶、冻干脆片等，既延长了产业链，也填补了非采摘季的产品空白。认养计划年费是预售收入，樱桃还没成熟就已经锁定了一部分营收。文创产品虽然单价不高，但品类丰富，可以作为伴手礼和骑行途中的冲动消费品。品牌授权和联名合作则是中长期才考虑的方向，需要等品牌有了一定知名度之后再启动。</w:t>
      </w:r>
    </w:p>
    <w:p w14:paraId="010527D8">
      <w:pPr>
        <w:pStyle w:val="4"/>
        <w:pageBreakBefore w:val="0"/>
        <w:widowControl w:val="0"/>
        <w:kinsoku/>
        <w:wordWrap/>
        <w:overflowPunct/>
        <w:topLinePunct w:val="0"/>
        <w:autoSpaceDE/>
        <w:autoSpaceDN/>
        <w:bidi w:val="0"/>
        <w:adjustRightInd/>
        <w:spacing w:line="440" w:lineRule="atLeast"/>
        <w:textAlignment w:val="auto"/>
        <w:rPr>
          <w:rFonts w:hint="eastAsia"/>
        </w:rPr>
      </w:pPr>
      <w:bookmarkStart w:id="99" w:name="_Toc3639"/>
      <w:r>
        <w:rPr>
          <w:rFonts w:hint="eastAsia"/>
        </w:rPr>
        <w:t>5.</w:t>
      </w:r>
      <w:r>
        <w:rPr>
          <w:rFonts w:hint="eastAsia"/>
          <w:lang w:val="en-US" w:eastAsia="zh-CN"/>
        </w:rPr>
        <w:t>8</w:t>
      </w:r>
      <w:r>
        <w:rPr>
          <w:rFonts w:hint="eastAsia"/>
        </w:rPr>
        <w:t>.2 就业带动</w:t>
      </w:r>
      <w:bookmarkEnd w:id="99"/>
    </w:p>
    <w:p w14:paraId="3C447EEB">
      <w:pPr>
        <w:pageBreakBefore w:val="0"/>
        <w:widowControl w:val="0"/>
        <w:kinsoku/>
        <w:wordWrap/>
        <w:overflowPunct/>
        <w:topLinePunct w:val="0"/>
        <w:autoSpaceDE/>
        <w:autoSpaceDN/>
        <w:bidi w:val="0"/>
        <w:adjustRightInd/>
        <w:spacing w:line="440" w:lineRule="atLeas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就业带动是品牌体系建设带来的另一个重要成果。项目落地之后，村里会陆续产生一批新的服务岗位。骑行驿站需要管理员，负责车辆租赁、维修补给和游客接待。采摘园需要导览员，给游客讲解樱桃品种和采摘技巧。研学课程需要带队和助教，水源科普展馆和非遗工坊也需要讲解人员。活动执行期间还需要临时的工作人员。这些岗位优先招聘本村村民，尤其是以前收入不稳定的中老年劳动力和返乡青年。</w:t>
      </w:r>
    </w:p>
    <w:p w14:paraId="75D46800">
      <w:pPr>
        <w:pStyle w:val="4"/>
        <w:pageBreakBefore w:val="0"/>
        <w:widowControl w:val="0"/>
        <w:kinsoku/>
        <w:wordWrap/>
        <w:overflowPunct/>
        <w:topLinePunct w:val="0"/>
        <w:autoSpaceDE/>
        <w:autoSpaceDN/>
        <w:bidi w:val="0"/>
        <w:adjustRightInd/>
        <w:spacing w:line="440" w:lineRule="atLeast"/>
        <w:textAlignment w:val="auto"/>
        <w:rPr>
          <w:rFonts w:hint="eastAsia"/>
        </w:rPr>
      </w:pPr>
      <w:bookmarkStart w:id="100" w:name="_Toc25044"/>
      <w:r>
        <w:rPr>
          <w:rFonts w:hint="eastAsia"/>
        </w:rPr>
        <w:t>5.</w:t>
      </w:r>
      <w:r>
        <w:rPr>
          <w:rFonts w:hint="eastAsia"/>
          <w:lang w:val="en-US" w:eastAsia="zh-CN"/>
        </w:rPr>
        <w:t>8</w:t>
      </w:r>
      <w:r>
        <w:rPr>
          <w:rFonts w:hint="eastAsia"/>
        </w:rPr>
        <w:t>.3 分阶段实施时间表</w:t>
      </w:r>
      <w:bookmarkEnd w:id="100"/>
    </w:p>
    <w:p w14:paraId="4D4FCD6D">
      <w:pPr>
        <w:rPr>
          <w:rFonts w:hint="eastAsia" w:ascii="宋体" w:hAnsi="宋体" w:eastAsia="宋体" w:cs="宋体"/>
          <w:sz w:val="24"/>
          <w:szCs w:val="24"/>
        </w:rPr>
      </w:pPr>
      <w:r>
        <w:rPr>
          <w:rFonts w:hint="eastAsia" w:ascii="宋体" w:hAnsi="宋体" w:eastAsia="宋体" w:cs="宋体"/>
          <w:sz w:val="24"/>
          <w:szCs w:val="24"/>
        </w:rPr>
        <w:t>分阶段实施时间表按照三个大的阶段来安排。第一阶段是调研奠基期，大约需要两个月。主要任务是完成实地调研，确认资源底数，细化方案，并逐条审查政策合规性，确保所有活动都在水源保护区的允许范围内。同时启动品牌物料的设计和小程序的基础开发。第二阶段是基础建设期，大约两个月。重点完成品牌VI和文创产品的打样生产，骑行路线的标识牌安装，两处闲置农房改造为骑行驿站，以及小程序核心功能的上线。这一阶段结束时，骑行路线应该具备试运营条件。第三阶段是试点运营期，覆盖樱桃季的三个月。首场骑行采摘活动、直播带货、认养计划体验日都会在这一阶段集中执行。团队会全程收集运营数据和用户反馈，为后续调整做准备。第四阶段是优化扩展期，从第8个月到第12个月。四季产品线陆续上线，秋季骑行赛和冬季火炕体验相继推出，渠道拓展和区域联动也开始推进。到一年左右的时候，品牌体系应该已经跑通了一个完整的年度周期，形成可复制的运营模式。具体到每周的排期，第九章有更细致的拆解，这里只给出整体的节奏感：前四个月是打基础，中间三个月是验证，后五个月是放大和复制。每一步都不冒进，但每一步都要有交付。</w:t>
      </w:r>
    </w:p>
    <w:p w14:paraId="34D43A1E">
      <w:pPr>
        <w:pStyle w:val="2"/>
        <w:bidi w:val="0"/>
        <w:rPr>
          <w:rFonts w:hint="eastAsia"/>
        </w:rPr>
      </w:pPr>
      <w:bookmarkStart w:id="101" w:name="_Toc32012"/>
      <w:r>
        <w:t>第六章  骑行流量体系建设</w:t>
      </w:r>
      <w:bookmarkEnd w:id="101"/>
    </w:p>
    <w:p w14:paraId="4CC66BA3">
      <w:pPr>
        <w:rPr>
          <w:rFonts w:hint="eastAsia" w:ascii="宋体" w:hAnsi="宋体" w:eastAsia="宋体"/>
          <w:sz w:val="21"/>
          <w:szCs w:val="21"/>
        </w:rPr>
      </w:pPr>
      <w:r>
        <w:rPr>
          <w:rFonts w:hint="eastAsia"/>
        </w:rPr>
        <w:t xml:space="preserve">   </w:t>
      </w:r>
      <w:r>
        <w:rPr>
          <w:rFonts w:hint="eastAsia" w:ascii="宋体" w:hAnsi="宋体" w:eastAsia="宋体"/>
          <w:sz w:val="21"/>
          <w:szCs w:val="21"/>
        </w:rPr>
        <w:t xml:space="preserve"> </w:t>
      </w:r>
      <w:r>
        <w:rPr>
          <w:rFonts w:ascii="宋体" w:hAnsi="宋体" w:eastAsia="宋体"/>
          <w:sz w:val="21"/>
          <w:szCs w:val="21"/>
        </w:rPr>
        <w:t>本章对标出题方任务二"联合周边地区，协助落地实施村内骑行打卡方案"。骑行是水源保护区内最合规、最高效、最自然的引流方式。本章从选择骑行的逻辑论证、三条路线的详细设计、七大打卡节点、打卡激励系统、驿站运营规范、活动策划到区域联动进行全链路阐述。</w:t>
      </w:r>
    </w:p>
    <w:p w14:paraId="731C24C7">
      <w:pPr>
        <w:pStyle w:val="3"/>
        <w:bidi w:val="0"/>
        <w:rPr>
          <w:rFonts w:hint="eastAsia"/>
        </w:rPr>
      </w:pPr>
      <w:bookmarkStart w:id="102" w:name="_Toc28585"/>
      <w:r>
        <w:t>6.1  为什么是骑行</w:t>
      </w:r>
      <w:bookmarkEnd w:id="102"/>
    </w:p>
    <w:p w14:paraId="19BBDAF6">
      <w:pPr>
        <w:rPr>
          <w:rFonts w:hint="eastAsia" w:ascii="宋体" w:hAnsi="宋体" w:eastAsia="宋体"/>
          <w:sz w:val="21"/>
          <w:szCs w:val="21"/>
        </w:rPr>
      </w:pPr>
      <w:r>
        <w:rPr>
          <w:rFonts w:ascii="宋体" w:hAnsi="宋体" w:eastAsia="宋体"/>
          <w:sz w:val="21"/>
          <w:szCs w:val="21"/>
        </w:rPr>
        <w:t>选择骑行作为引流方式并非随意，而是基于五重逻辑的严密论证：</w:t>
      </w:r>
    </w:p>
    <w:p w14:paraId="56CBBBCC">
      <w:pPr>
        <w:rPr>
          <w:rFonts w:hint="eastAsia" w:ascii="宋体" w:hAnsi="宋体" w:eastAsia="宋体"/>
          <w:sz w:val="21"/>
          <w:szCs w:val="21"/>
        </w:rPr>
      </w:pPr>
      <w:r>
        <w:rPr>
          <w:rFonts w:ascii="宋体" w:hAnsi="宋体" w:eastAsia="宋体"/>
          <w:sz w:val="21"/>
          <w:szCs w:val="21"/>
        </w:rPr>
        <w:t>第一，</w:t>
      </w:r>
      <w:r>
        <w:rPr>
          <w:rFonts w:ascii="宋体" w:hAnsi="宋体" w:eastAsia="宋体"/>
          <w:b/>
          <w:bCs/>
          <w:sz w:val="21"/>
          <w:szCs w:val="21"/>
        </w:rPr>
        <w:t>政策合规性</w:t>
      </w:r>
      <w:r>
        <w:rPr>
          <w:rFonts w:ascii="宋体" w:hAnsi="宋体" w:eastAsia="宋体"/>
          <w:sz w:val="21"/>
          <w:szCs w:val="21"/>
        </w:rPr>
        <w:t>：</w:t>
      </w:r>
      <w:r>
        <w:rPr>
          <w:rFonts w:ascii="宋体" w:hAnsi="宋体" w:eastAsia="宋体"/>
          <w:sz w:val="21"/>
          <w:szCs w:val="21"/>
          <w:highlight w:val="yellow"/>
        </w:rPr>
        <w:t>骑行是零污染、零建设、零排放的出行方式</w:t>
      </w:r>
      <w:r>
        <w:rPr>
          <w:rFonts w:ascii="宋体" w:hAnsi="宋体" w:eastAsia="宋体"/>
          <w:sz w:val="21"/>
          <w:szCs w:val="21"/>
        </w:rPr>
        <w:t>，完全符合一级水源保护区"低扰动"要求，是所有引流方式中政策风险最低的选项。</w:t>
      </w:r>
    </w:p>
    <w:p w14:paraId="60F0764C">
      <w:pPr>
        <w:rPr>
          <w:rFonts w:hint="eastAsia" w:ascii="宋体" w:hAnsi="宋体" w:eastAsia="宋体"/>
          <w:sz w:val="21"/>
          <w:szCs w:val="21"/>
        </w:rPr>
      </w:pPr>
      <w:r>
        <w:rPr>
          <w:rFonts w:ascii="宋体" w:hAnsi="宋体" w:eastAsia="宋体"/>
          <w:sz w:val="21"/>
          <w:szCs w:val="21"/>
        </w:rPr>
        <w:t>第二，</w:t>
      </w:r>
      <w:r>
        <w:rPr>
          <w:rFonts w:ascii="宋体" w:hAnsi="宋体" w:eastAsia="宋体"/>
          <w:b/>
          <w:bCs/>
          <w:sz w:val="21"/>
          <w:szCs w:val="21"/>
        </w:rPr>
        <w:t>自然条件适配</w:t>
      </w:r>
      <w:r>
        <w:rPr>
          <w:rFonts w:ascii="宋体" w:hAnsi="宋体" w:eastAsia="宋体"/>
          <w:sz w:val="21"/>
          <w:szCs w:val="21"/>
        </w:rPr>
        <w:t>：怀柔水库</w:t>
      </w:r>
      <w:r>
        <w:rPr>
          <w:rFonts w:hint="eastAsia" w:ascii="宋体" w:hAnsi="宋体" w:eastAsia="宋体"/>
          <w:sz w:val="21"/>
          <w:szCs w:val="21"/>
          <w:lang w:val="en-US" w:eastAsia="zh-CN"/>
        </w:rPr>
        <w:t>沿岸</w:t>
      </w:r>
      <w:r>
        <w:rPr>
          <w:rFonts w:ascii="宋体" w:hAnsi="宋体" w:eastAsia="宋体"/>
          <w:sz w:val="21"/>
          <w:szCs w:val="21"/>
        </w:rPr>
        <w:t>，坡度平缓、景观优美、空气质量优良，</w:t>
      </w:r>
      <w:r>
        <w:rPr>
          <w:rFonts w:ascii="宋体" w:hAnsi="宋体" w:eastAsia="宋体"/>
          <w:sz w:val="21"/>
          <w:szCs w:val="21"/>
          <w:highlight w:val="yellow"/>
        </w:rPr>
        <w:t>天然具备骑行条件，无需大规模基础设施投入</w:t>
      </w:r>
      <w:r>
        <w:rPr>
          <w:rFonts w:ascii="宋体" w:hAnsi="宋体" w:eastAsia="宋体"/>
          <w:sz w:val="21"/>
          <w:szCs w:val="21"/>
        </w:rPr>
        <w:t>。</w:t>
      </w:r>
    </w:p>
    <w:p w14:paraId="03F71EC0">
      <w:pPr>
        <w:rPr>
          <w:rFonts w:hint="eastAsia" w:ascii="宋体" w:hAnsi="宋体" w:eastAsia="宋体"/>
          <w:sz w:val="21"/>
          <w:szCs w:val="21"/>
        </w:rPr>
      </w:pPr>
      <w:r>
        <w:rPr>
          <w:rFonts w:ascii="宋体" w:hAnsi="宋体" w:eastAsia="宋体"/>
          <w:sz w:val="21"/>
          <w:szCs w:val="21"/>
        </w:rPr>
        <w:t>第三，</w:t>
      </w:r>
      <w:r>
        <w:rPr>
          <w:rFonts w:ascii="宋体" w:hAnsi="宋体" w:eastAsia="宋体"/>
          <w:b/>
          <w:bCs/>
          <w:sz w:val="21"/>
          <w:szCs w:val="21"/>
        </w:rPr>
        <w:t>人群画像匹配</w:t>
      </w:r>
      <w:r>
        <w:rPr>
          <w:rFonts w:ascii="宋体" w:hAnsi="宋体" w:eastAsia="宋体"/>
          <w:sz w:val="21"/>
          <w:szCs w:val="21"/>
        </w:rPr>
        <w:t>：</w:t>
      </w:r>
      <w:r>
        <w:rPr>
          <w:rFonts w:ascii="宋体" w:hAnsi="宋体" w:eastAsia="宋体"/>
          <w:sz w:val="21"/>
          <w:szCs w:val="21"/>
          <w:highlight w:val="yellow"/>
        </w:rPr>
        <w:t>骑行人群呈现"高学历、高收入、高分享意愿"特征</w:t>
      </w:r>
      <w:r>
        <w:rPr>
          <w:rFonts w:ascii="宋体" w:hAnsi="宋体" w:eastAsia="宋体"/>
          <w:sz w:val="21"/>
          <w:szCs w:val="21"/>
        </w:rPr>
        <w:t>，平均单次消费显著高于普通游客，且具有极强的社交传播属性（小红书/</w:t>
      </w:r>
      <w:r>
        <w:rPr>
          <w:rFonts w:hint="eastAsia" w:ascii="宋体" w:hAnsi="宋体" w:eastAsia="宋体"/>
          <w:sz w:val="21"/>
          <w:szCs w:val="21"/>
        </w:rPr>
        <w:t>抖音</w:t>
      </w:r>
      <w:r>
        <w:rPr>
          <w:rFonts w:ascii="宋体" w:hAnsi="宋体" w:eastAsia="宋体"/>
          <w:sz w:val="21"/>
          <w:szCs w:val="21"/>
        </w:rPr>
        <w:t>打卡文化），正是品牌传播所需的种子用户。</w:t>
      </w:r>
    </w:p>
    <w:p w14:paraId="3A6356C2">
      <w:pPr>
        <w:rPr>
          <w:rFonts w:hint="eastAsia" w:ascii="宋体" w:hAnsi="宋体" w:eastAsia="宋体"/>
          <w:sz w:val="21"/>
          <w:szCs w:val="21"/>
        </w:rPr>
      </w:pPr>
      <w:r>
        <w:rPr>
          <w:rFonts w:ascii="宋体" w:hAnsi="宋体" w:eastAsia="宋体"/>
          <w:sz w:val="21"/>
          <w:szCs w:val="21"/>
        </w:rPr>
        <w:t>第四，</w:t>
      </w:r>
      <w:r>
        <w:rPr>
          <w:rFonts w:ascii="宋体" w:hAnsi="宋体" w:eastAsia="宋体"/>
          <w:b/>
          <w:bCs/>
          <w:sz w:val="21"/>
          <w:szCs w:val="21"/>
        </w:rPr>
        <w:t>消费节点串联</w:t>
      </w:r>
      <w:r>
        <w:rPr>
          <w:rFonts w:ascii="宋体" w:hAnsi="宋体" w:eastAsia="宋体"/>
          <w:sz w:val="21"/>
          <w:szCs w:val="21"/>
        </w:rPr>
        <w:t>：骑行路线天然串联多个消费触点——经过樱桃园可以采摘、经过驿站可以补给、经过打卡</w:t>
      </w:r>
      <w:r>
        <w:rPr>
          <w:rFonts w:hint="eastAsia" w:ascii="宋体" w:hAnsi="宋体" w:eastAsia="宋体"/>
          <w:sz w:val="21"/>
          <w:szCs w:val="21"/>
          <w:lang w:val="en-US" w:eastAsia="zh-CN"/>
        </w:rPr>
        <w:t>点</w:t>
      </w:r>
      <w:r>
        <w:rPr>
          <w:rFonts w:ascii="宋体" w:hAnsi="宋体" w:eastAsia="宋体"/>
          <w:sz w:val="21"/>
          <w:szCs w:val="21"/>
        </w:rPr>
        <w:t>、经过终点可以购物</w:t>
      </w:r>
      <w:r>
        <w:rPr>
          <w:rFonts w:hint="eastAsia" w:ascii="宋体" w:hAnsi="宋体" w:eastAsia="宋体"/>
          <w:sz w:val="21"/>
          <w:szCs w:val="21"/>
        </w:rPr>
        <w:t>。</w:t>
      </w:r>
      <w:r>
        <w:rPr>
          <w:rFonts w:ascii="宋体" w:hAnsi="宋体" w:eastAsia="宋体"/>
          <w:sz w:val="21"/>
          <w:szCs w:val="21"/>
          <w:highlight w:val="yellow"/>
        </w:rPr>
        <w:t>实现"引流→停留→消费→传播"的完整闭环</w:t>
      </w:r>
      <w:r>
        <w:rPr>
          <w:rFonts w:ascii="宋体" w:hAnsi="宋体" w:eastAsia="宋体"/>
          <w:sz w:val="21"/>
          <w:szCs w:val="21"/>
        </w:rPr>
        <w:t>。</w:t>
      </w:r>
    </w:p>
    <w:p w14:paraId="1004345C">
      <w:pPr>
        <w:rPr>
          <w:rFonts w:hint="eastAsia" w:ascii="宋体" w:hAnsi="宋体" w:eastAsia="宋体"/>
          <w:sz w:val="21"/>
          <w:szCs w:val="21"/>
        </w:rPr>
      </w:pPr>
      <w:r>
        <w:rPr>
          <w:rFonts w:ascii="宋体" w:hAnsi="宋体" w:eastAsia="宋体"/>
          <w:sz w:val="21"/>
          <w:szCs w:val="21"/>
        </w:rPr>
        <w:t>第五，</w:t>
      </w:r>
      <w:r>
        <w:rPr>
          <w:rFonts w:ascii="宋体" w:hAnsi="宋体" w:eastAsia="宋体"/>
          <w:b/>
          <w:bCs/>
          <w:sz w:val="21"/>
          <w:szCs w:val="21"/>
        </w:rPr>
        <w:t>市场趋势支撑</w:t>
      </w:r>
      <w:r>
        <w:rPr>
          <w:rFonts w:ascii="宋体" w:hAnsi="宋体" w:eastAsia="宋体"/>
          <w:sz w:val="21"/>
          <w:szCs w:val="21"/>
        </w:rPr>
        <w:t>：北京骑行运动人口年增速达15%，市场持续扩容。</w:t>
      </w:r>
      <w:r>
        <w:rPr>
          <w:rFonts w:ascii="宋体" w:hAnsi="宋体" w:eastAsia="宋体"/>
          <w:sz w:val="21"/>
          <w:szCs w:val="21"/>
          <w:highlight w:val="yellow"/>
        </w:rPr>
        <w:t>怀柔区作为京郊骑行核心目的地</w:t>
      </w:r>
      <w:r>
        <w:rPr>
          <w:rFonts w:ascii="宋体" w:hAnsi="宋体" w:eastAsia="宋体"/>
          <w:sz w:val="21"/>
          <w:szCs w:val="21"/>
        </w:rPr>
        <w:t>，拥有八条官方骑行线路和优质山水资源，骑行旅游市场规模保守估计在1500万-4000万元/年，但目前缺乏系统化的骑行产品和配套服务，存在明显的市场空白。</w:t>
      </w:r>
    </w:p>
    <w:p w14:paraId="0C5965C5">
      <w:pPr>
        <w:rPr>
          <w:rFonts w:hint="eastAsia" w:ascii="宋体" w:hAnsi="宋体" w:eastAsia="宋体"/>
          <w:b/>
          <w:sz w:val="21"/>
          <w:szCs w:val="21"/>
        </w:rPr>
      </w:pPr>
      <w:r>
        <w:rPr>
          <w:rFonts w:ascii="宋体" w:hAnsi="宋体" w:eastAsia="宋体"/>
          <w:sz w:val="21"/>
          <w:szCs w:val="21"/>
        </w:rPr>
        <w:drawing>
          <wp:inline distT="0" distB="0" distL="0" distR="0">
            <wp:extent cx="5272405" cy="2452370"/>
            <wp:effectExtent l="0" t="0" r="10795" b="11430"/>
            <wp:docPr id="199316503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65032" name="图片 2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286921" cy="2452370"/>
                    </a:xfrm>
                    <a:prstGeom prst="rect">
                      <a:avLst/>
                    </a:prstGeom>
                    <a:noFill/>
                    <a:ln>
                      <a:noFill/>
                    </a:ln>
                  </pic:spPr>
                </pic:pic>
              </a:graphicData>
            </a:graphic>
          </wp:inline>
        </w:drawing>
      </w:r>
      <w:r>
        <w:rPr>
          <w:rFonts w:hint="eastAsia" w:ascii="宋体" w:hAnsi="宋体" w:eastAsia="宋体"/>
          <w:b/>
          <w:sz w:val="21"/>
          <w:szCs w:val="21"/>
        </w:rPr>
        <w:t xml:space="preserve"> </w:t>
      </w:r>
    </w:p>
    <w:p w14:paraId="5CA200D2">
      <w:pPr>
        <w:rPr>
          <w:rFonts w:hint="eastAsia" w:ascii="宋体" w:hAnsi="宋体" w:eastAsia="宋体"/>
          <w:b/>
          <w:sz w:val="21"/>
          <w:szCs w:val="21"/>
        </w:rPr>
      </w:pPr>
      <w:r>
        <w:rPr>
          <w:rFonts w:ascii="宋体" w:hAnsi="宋体" w:eastAsia="宋体"/>
          <w:sz w:val="21"/>
          <w:szCs w:val="21"/>
        </w:rPr>
        <w:drawing>
          <wp:inline distT="0" distB="0" distL="0" distR="0">
            <wp:extent cx="5274310" cy="2468880"/>
            <wp:effectExtent l="0" t="0" r="8890" b="7620"/>
            <wp:docPr id="147587149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71490" name="图片 2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274310" cy="2468880"/>
                    </a:xfrm>
                    <a:prstGeom prst="rect">
                      <a:avLst/>
                    </a:prstGeom>
                    <a:noFill/>
                    <a:ln>
                      <a:noFill/>
                    </a:ln>
                  </pic:spPr>
                </pic:pic>
              </a:graphicData>
            </a:graphic>
          </wp:inline>
        </w:drawing>
      </w:r>
      <w:r>
        <w:rPr>
          <w:rFonts w:hint="eastAsia" w:ascii="宋体" w:hAnsi="宋体" w:eastAsia="宋体"/>
          <w:b/>
          <w:sz w:val="21"/>
          <w:szCs w:val="21"/>
        </w:rPr>
        <w:t xml:space="preserve"> </w:t>
      </w:r>
    </w:p>
    <w:p w14:paraId="4E06525A">
      <w:pPr>
        <w:pStyle w:val="3"/>
        <w:bidi w:val="0"/>
        <w:rPr>
          <w:rFonts w:hint="eastAsia"/>
        </w:rPr>
      </w:pPr>
      <w:bookmarkStart w:id="103" w:name="_Toc30648"/>
      <w:r>
        <w:t>6.2  路线设计</w:t>
      </w:r>
      <w:bookmarkEnd w:id="103"/>
    </w:p>
    <w:p w14:paraId="63922D45">
      <w:pPr>
        <w:rPr>
          <w:rFonts w:ascii="宋体" w:hAnsi="宋体" w:eastAsia="宋体"/>
          <w:sz w:val="21"/>
          <w:szCs w:val="21"/>
        </w:rPr>
      </w:pPr>
      <w:r>
        <w:rPr>
          <w:rFonts w:ascii="宋体" w:hAnsi="宋体" w:eastAsia="宋体"/>
          <w:sz w:val="21"/>
          <w:szCs w:val="21"/>
        </w:rPr>
        <w:t>根据不同客群的需求和体能水平，设计三条主题骑行路线，分层满足全谱系客群：</w:t>
      </w:r>
    </w:p>
    <w:p w14:paraId="42064F41">
      <w:pPr>
        <w:pStyle w:val="4"/>
        <w:bidi w:val="0"/>
      </w:pPr>
      <w:bookmarkStart w:id="104" w:name="_Toc31177"/>
      <w:r>
        <w:rPr>
          <w:rFonts w:hint="eastAsia"/>
          <w:lang w:val="en-US" w:eastAsia="zh-CN"/>
        </w:rPr>
        <w:t>6.2.1 A线「樱桃漫道」—— 亲子休闲线（6-8km）</w:t>
      </w:r>
      <w:bookmarkEnd w:id="104"/>
    </w:p>
    <w:p w14:paraId="7E08C8E7">
      <w:pPr>
        <w:rPr>
          <w:rFonts w:ascii="宋体" w:hAnsi="宋体" w:eastAsia="宋体"/>
          <w:sz w:val="21"/>
          <w:szCs w:val="21"/>
        </w:rPr>
      </w:pPr>
      <w:r>
        <w:rPr>
          <w:rFonts w:ascii="宋体" w:hAnsi="宋体" w:eastAsia="宋体"/>
          <w:b/>
          <w:bCs/>
          <w:sz w:val="21"/>
          <w:szCs w:val="21"/>
        </w:rPr>
        <w:t>N1 村口迎宾站（起点）</w:t>
      </w:r>
      <w:r>
        <w:rPr>
          <w:rFonts w:ascii="宋体" w:hAnsi="宋体" w:eastAsia="宋体"/>
          <w:sz w:val="21"/>
          <w:szCs w:val="21"/>
        </w:rPr>
        <w:t xml:space="preserve">  →  沿村内南北向主干道向南骑行约800m</w:t>
      </w:r>
    </w:p>
    <w:p w14:paraId="3796BF68">
      <w:pPr>
        <w:rPr>
          <w:rFonts w:ascii="宋体" w:hAnsi="宋体" w:eastAsia="宋体"/>
          <w:sz w:val="21"/>
          <w:szCs w:val="21"/>
        </w:rPr>
      </w:pPr>
      <w:r>
        <w:rPr>
          <w:rFonts w:ascii="宋体" w:hAnsi="宋体" w:eastAsia="宋体"/>
          <w:b/>
          <w:bCs/>
          <w:sz w:val="21"/>
          <w:szCs w:val="21"/>
        </w:rPr>
        <w:t xml:space="preserve">N2 樱桃园驿站  </w:t>
      </w:r>
      <w:r>
        <w:rPr>
          <w:rFonts w:ascii="宋体" w:hAnsi="宋体" w:eastAsia="宋体"/>
          <w:sz w:val="21"/>
          <w:szCs w:val="21"/>
        </w:rPr>
        <w:t>→  沿樱桃园区间路绕行约1.5km（果园外围，硬化路面）</w:t>
      </w:r>
    </w:p>
    <w:p w14:paraId="75264145">
      <w:pPr>
        <w:rPr>
          <w:rFonts w:ascii="宋体" w:hAnsi="宋体" w:eastAsia="宋体"/>
          <w:sz w:val="21"/>
          <w:szCs w:val="21"/>
        </w:rPr>
      </w:pPr>
      <w:r>
        <w:rPr>
          <w:rFonts w:ascii="宋体" w:hAnsi="宋体" w:eastAsia="宋体"/>
          <w:b/>
          <w:bCs/>
          <w:sz w:val="21"/>
          <w:szCs w:val="21"/>
        </w:rPr>
        <w:t xml:space="preserve">N3 水源科普站 </w:t>
      </w:r>
      <w:r>
        <w:rPr>
          <w:rFonts w:ascii="宋体" w:hAnsi="宋体" w:eastAsia="宋体"/>
          <w:sz w:val="21"/>
          <w:szCs w:val="21"/>
        </w:rPr>
        <w:t xml:space="preserve"> →  沿东西向次干道向西至东庄路路口，沿东庄路向西骑行约1.5km </w:t>
      </w:r>
    </w:p>
    <w:p w14:paraId="286932C0">
      <w:pPr>
        <w:rPr>
          <w:rFonts w:hint="default" w:ascii="宋体" w:hAnsi="宋体" w:eastAsia="宋体"/>
          <w:sz w:val="21"/>
          <w:szCs w:val="21"/>
          <w:lang w:val="en-US" w:eastAsia="zh-CN"/>
        </w:rPr>
      </w:pPr>
      <w:r>
        <w:rPr>
          <w:rFonts w:ascii="宋体" w:hAnsi="宋体" w:eastAsia="宋体"/>
          <w:b/>
          <w:bCs/>
          <w:sz w:val="21"/>
          <w:szCs w:val="21"/>
        </w:rPr>
        <w:t>N4 秦家东庄联动点</w:t>
      </w:r>
      <w:r>
        <w:rPr>
          <w:rFonts w:ascii="宋体" w:hAnsi="宋体" w:eastAsia="宋体"/>
          <w:sz w:val="21"/>
          <w:szCs w:val="21"/>
        </w:rPr>
        <w:t xml:space="preserve">  →  沿村内主干道向北返回</w:t>
      </w:r>
      <w:r>
        <w:rPr>
          <w:rFonts w:hint="eastAsia" w:ascii="宋体" w:hAnsi="宋体" w:eastAsia="宋体"/>
          <w:sz w:val="21"/>
          <w:szCs w:val="21"/>
          <w:lang w:val="en-US" w:eastAsia="zh-CN"/>
        </w:rPr>
        <w:t>N6</w:t>
      </w:r>
    </w:p>
    <w:p w14:paraId="01D2DA53">
      <w:pPr>
        <w:rPr>
          <w:rFonts w:ascii="宋体" w:hAnsi="宋体" w:eastAsia="宋体"/>
          <w:sz w:val="21"/>
          <w:szCs w:val="21"/>
        </w:rPr>
      </w:pPr>
      <w:r>
        <w:rPr>
          <w:rFonts w:ascii="宋体" w:hAnsi="宋体" w:eastAsia="宋体"/>
          <w:b/>
          <w:bCs/>
          <w:sz w:val="21"/>
          <w:szCs w:val="21"/>
        </w:rPr>
        <w:t>N</w:t>
      </w:r>
      <w:r>
        <w:rPr>
          <w:rFonts w:hint="eastAsia" w:ascii="宋体" w:hAnsi="宋体" w:eastAsia="宋体"/>
          <w:b/>
          <w:bCs/>
          <w:sz w:val="21"/>
          <w:szCs w:val="21"/>
          <w:lang w:val="en-US" w:eastAsia="zh-CN"/>
        </w:rPr>
        <w:t>6</w:t>
      </w:r>
      <w:r>
        <w:rPr>
          <w:rFonts w:ascii="宋体" w:hAnsi="宋体" w:eastAsia="宋体"/>
          <w:b/>
          <w:bCs/>
          <w:sz w:val="21"/>
          <w:szCs w:val="21"/>
        </w:rPr>
        <w:t xml:space="preserve"> 文化终点站</w:t>
      </w:r>
      <w:r>
        <w:rPr>
          <w:rFonts w:ascii="宋体" w:hAnsi="宋体" w:eastAsia="宋体"/>
          <w:sz w:val="21"/>
          <w:szCs w:val="21"/>
        </w:rPr>
        <w:t xml:space="preserve">  →  完赛认证、纪念品兑换</w:t>
      </w:r>
    </w:p>
    <w:p w14:paraId="0BC9FAFE">
      <w:pPr>
        <w:rPr>
          <w:rFonts w:hint="default" w:ascii="宋体" w:hAnsi="宋体" w:eastAsia="宋体"/>
          <w:sz w:val="21"/>
          <w:szCs w:val="21"/>
          <w:lang w:val="en-US" w:eastAsia="zh-CN"/>
        </w:rPr>
      </w:pPr>
      <w:r>
        <w:rPr>
          <w:rFonts w:hint="eastAsia" w:ascii="宋体" w:hAnsi="宋体" w:eastAsia="宋体"/>
          <w:sz w:val="21"/>
          <w:szCs w:val="21"/>
          <w:lang w:val="en-US" w:eastAsia="zh-CN"/>
        </w:rPr>
        <w:t>A路线简单示意图</w:t>
      </w:r>
    </w:p>
    <w:p w14:paraId="2BC09078">
      <w:pPr>
        <w:rPr>
          <w:rFonts w:hint="eastAsia" w:ascii="宋体" w:hAnsi="宋体" w:eastAsia="宋体"/>
          <w:sz w:val="21"/>
          <w:szCs w:val="21"/>
          <w:lang w:eastAsia="zh-CN"/>
        </w:rPr>
      </w:pPr>
      <w:r>
        <w:rPr>
          <w:rFonts w:hint="eastAsia" w:ascii="宋体" w:hAnsi="宋体" w:eastAsia="宋体"/>
          <w:sz w:val="21"/>
          <w:szCs w:val="21"/>
          <w:lang w:eastAsia="zh-CN"/>
        </w:rPr>
        <w:drawing>
          <wp:inline distT="0" distB="0" distL="114300" distR="114300">
            <wp:extent cx="4030980" cy="1958340"/>
            <wp:effectExtent l="0" t="0" r="7620" b="7620"/>
            <wp:docPr id="16" name="图片 16" descr="8810a66ebbcebefff1c8e528093d9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8810a66ebbcebefff1c8e528093d9589"/>
                    <pic:cNvPicPr>
                      <a:picLocks noChangeAspect="1"/>
                    </pic:cNvPicPr>
                  </pic:nvPicPr>
                  <pic:blipFill>
                    <a:blip r:embed="rId39"/>
                    <a:srcRect t="44597" r="16446" b="9292"/>
                    <a:stretch>
                      <a:fillRect/>
                    </a:stretch>
                  </pic:blipFill>
                  <pic:spPr>
                    <a:xfrm>
                      <a:off x="0" y="0"/>
                      <a:ext cx="4030980" cy="1958340"/>
                    </a:xfrm>
                    <a:prstGeom prst="rect">
                      <a:avLst/>
                    </a:prstGeom>
                  </pic:spPr>
                </pic:pic>
              </a:graphicData>
            </a:graphic>
          </wp:inline>
        </w:drawing>
      </w:r>
    </w:p>
    <w:p w14:paraId="190858D1">
      <w:pPr>
        <w:pStyle w:val="4"/>
        <w:bidi w:val="0"/>
      </w:pPr>
      <w:bookmarkStart w:id="105" w:name="_Toc14088"/>
      <w:r>
        <w:rPr>
          <w:rFonts w:hint="eastAsia"/>
          <w:lang w:val="en-US" w:eastAsia="zh-CN"/>
        </w:rPr>
        <w:t>6.</w:t>
      </w:r>
      <w:r>
        <w:t>2.2 B线「</w:t>
      </w:r>
      <w:r>
        <w:rPr>
          <w:rFonts w:hint="eastAsia"/>
          <w:lang w:val="en-US" w:eastAsia="zh-CN"/>
        </w:rPr>
        <w:t>非遗体验</w:t>
      </w:r>
      <w:r>
        <w:t>」—— 推荐线（18-22km）</w:t>
      </w:r>
      <w:bookmarkEnd w:id="105"/>
    </w:p>
    <w:p w14:paraId="552E173D">
      <w:pPr>
        <w:rPr>
          <w:rFonts w:ascii="宋体" w:hAnsi="宋体" w:eastAsia="宋体"/>
          <w:sz w:val="21"/>
          <w:szCs w:val="21"/>
        </w:rPr>
      </w:pPr>
      <w:r>
        <w:rPr>
          <w:rFonts w:ascii="宋体" w:hAnsi="宋体" w:eastAsia="宋体"/>
          <w:b/>
          <w:bCs/>
          <w:sz w:val="21"/>
          <w:szCs w:val="21"/>
        </w:rPr>
        <w:t>N1 村口迎宾站（起点）</w:t>
      </w:r>
      <w:r>
        <w:rPr>
          <w:rFonts w:ascii="宋体" w:hAnsi="宋体" w:eastAsia="宋体"/>
          <w:sz w:val="21"/>
          <w:szCs w:val="21"/>
        </w:rPr>
        <w:t xml:space="preserve">  →  沿村内主干道向南约800m</w:t>
      </w:r>
    </w:p>
    <w:p w14:paraId="03BE672A">
      <w:pPr>
        <w:rPr>
          <w:rFonts w:ascii="宋体" w:hAnsi="宋体" w:eastAsia="宋体"/>
          <w:sz w:val="21"/>
          <w:szCs w:val="21"/>
        </w:rPr>
      </w:pPr>
      <w:r>
        <w:rPr>
          <w:rFonts w:ascii="宋体" w:hAnsi="宋体" w:eastAsia="宋体"/>
          <w:b/>
          <w:bCs/>
          <w:sz w:val="21"/>
          <w:szCs w:val="21"/>
        </w:rPr>
        <w:t xml:space="preserve">N2 樱桃园驿站 </w:t>
      </w:r>
      <w:r>
        <w:rPr>
          <w:rFonts w:ascii="宋体" w:hAnsi="宋体" w:eastAsia="宋体"/>
          <w:sz w:val="21"/>
          <w:szCs w:val="21"/>
        </w:rPr>
        <w:t xml:space="preserve"> →  继续向</w:t>
      </w:r>
      <w:r>
        <w:rPr>
          <w:rFonts w:hint="eastAsia" w:ascii="宋体" w:hAnsi="宋体" w:eastAsia="宋体"/>
          <w:sz w:val="21"/>
          <w:szCs w:val="21"/>
          <w:lang w:val="en-US" w:eastAsia="zh-CN"/>
        </w:rPr>
        <w:t>西</w:t>
      </w:r>
      <w:r>
        <w:rPr>
          <w:rFonts w:ascii="宋体" w:hAnsi="宋体" w:eastAsia="宋体"/>
          <w:sz w:val="21"/>
          <w:szCs w:val="21"/>
        </w:rPr>
        <w:t>至东庄路路口，</w:t>
      </w:r>
      <w:r>
        <w:rPr>
          <w:rFonts w:hint="eastAsia" w:ascii="宋体" w:hAnsi="宋体" w:eastAsia="宋体"/>
          <w:sz w:val="21"/>
          <w:szCs w:val="21"/>
          <w:lang w:val="en-US" w:eastAsia="zh-CN"/>
        </w:rPr>
        <w:t>再</w:t>
      </w:r>
      <w:r>
        <w:rPr>
          <w:rFonts w:ascii="宋体" w:hAnsi="宋体" w:eastAsia="宋体"/>
          <w:sz w:val="21"/>
          <w:szCs w:val="21"/>
        </w:rPr>
        <w:t>向东</w:t>
      </w:r>
      <w:r>
        <w:rPr>
          <w:rFonts w:hint="eastAsia" w:ascii="宋体" w:hAnsi="宋体" w:eastAsia="宋体"/>
          <w:sz w:val="21"/>
          <w:szCs w:val="21"/>
          <w:lang w:val="en-US" w:eastAsia="zh-CN"/>
        </w:rPr>
        <w:t>北</w:t>
      </w:r>
      <w:r>
        <w:rPr>
          <w:rFonts w:ascii="宋体" w:hAnsi="宋体" w:eastAsia="宋体"/>
          <w:sz w:val="21"/>
          <w:szCs w:val="21"/>
        </w:rPr>
        <w:t xml:space="preserve">方向  </w:t>
      </w:r>
    </w:p>
    <w:p w14:paraId="7F5DA560">
      <w:pPr>
        <w:rPr>
          <w:rFonts w:hint="default" w:ascii="宋体" w:hAnsi="宋体" w:eastAsia="宋体"/>
          <w:sz w:val="21"/>
          <w:szCs w:val="21"/>
          <w:lang w:val="en-US" w:eastAsia="zh-CN"/>
        </w:rPr>
      </w:pPr>
      <w:r>
        <w:rPr>
          <w:rFonts w:ascii="宋体" w:hAnsi="宋体" w:eastAsia="宋体"/>
          <w:b/>
          <w:bCs/>
          <w:sz w:val="21"/>
          <w:szCs w:val="21"/>
        </w:rPr>
        <w:t>N</w:t>
      </w:r>
      <w:r>
        <w:rPr>
          <w:rFonts w:hint="eastAsia" w:ascii="宋体" w:hAnsi="宋体" w:eastAsia="宋体"/>
          <w:b/>
          <w:bCs/>
          <w:sz w:val="21"/>
          <w:szCs w:val="21"/>
          <w:lang w:val="en-US" w:eastAsia="zh-CN"/>
        </w:rPr>
        <w:t>5</w:t>
      </w:r>
      <w:r>
        <w:rPr>
          <w:rFonts w:ascii="宋体" w:hAnsi="宋体" w:eastAsia="宋体"/>
          <w:b/>
          <w:bCs/>
          <w:sz w:val="21"/>
          <w:szCs w:val="21"/>
        </w:rPr>
        <w:t xml:space="preserve"> 铠甲</w:t>
      </w:r>
      <w:r>
        <w:rPr>
          <w:rFonts w:hint="eastAsia" w:ascii="宋体" w:hAnsi="宋体" w:eastAsia="宋体"/>
          <w:b/>
          <w:bCs/>
          <w:sz w:val="21"/>
          <w:szCs w:val="21"/>
          <w:lang w:val="en-US" w:eastAsia="zh-CN"/>
        </w:rPr>
        <w:t>庄村</w:t>
      </w:r>
      <w:r>
        <w:rPr>
          <w:rFonts w:ascii="宋体" w:hAnsi="宋体" w:eastAsia="宋体"/>
          <w:b/>
          <w:bCs/>
          <w:sz w:val="21"/>
          <w:szCs w:val="21"/>
        </w:rPr>
        <w:t>联动点</w:t>
      </w:r>
      <w:r>
        <w:rPr>
          <w:rFonts w:ascii="宋体" w:hAnsi="宋体" w:eastAsia="宋体"/>
          <w:sz w:val="21"/>
          <w:szCs w:val="21"/>
        </w:rPr>
        <w:t xml:space="preserve">  →  铠甲村民宿+餐饮+非遗葫芦体验→</w:t>
      </w:r>
      <w:r>
        <w:rPr>
          <w:rFonts w:hint="eastAsia" w:ascii="宋体" w:hAnsi="宋体" w:eastAsia="宋体"/>
          <w:sz w:val="21"/>
          <w:szCs w:val="21"/>
          <w:lang w:val="en-US" w:eastAsia="zh-CN"/>
        </w:rPr>
        <w:t>向南环形回到起始点</w:t>
      </w:r>
    </w:p>
    <w:p w14:paraId="41564711">
      <w:pPr>
        <w:rPr>
          <w:rFonts w:ascii="宋体" w:hAnsi="宋体" w:eastAsia="宋体"/>
          <w:sz w:val="21"/>
          <w:szCs w:val="21"/>
        </w:rPr>
      </w:pPr>
      <w:r>
        <w:rPr>
          <w:rFonts w:ascii="宋体" w:hAnsi="宋体" w:eastAsia="宋体"/>
          <w:b/>
          <w:bCs/>
          <w:sz w:val="21"/>
          <w:szCs w:val="21"/>
        </w:rPr>
        <w:t>N</w:t>
      </w:r>
      <w:r>
        <w:rPr>
          <w:rFonts w:hint="eastAsia" w:ascii="宋体" w:hAnsi="宋体" w:eastAsia="宋体"/>
          <w:b/>
          <w:bCs/>
          <w:sz w:val="21"/>
          <w:szCs w:val="21"/>
          <w:lang w:val="en-US" w:eastAsia="zh-CN"/>
        </w:rPr>
        <w:t>1</w:t>
      </w:r>
      <w:r>
        <w:rPr>
          <w:rFonts w:ascii="宋体" w:hAnsi="宋体" w:eastAsia="宋体"/>
          <w:b/>
          <w:bCs/>
          <w:sz w:val="21"/>
          <w:szCs w:val="21"/>
        </w:rPr>
        <w:t xml:space="preserve"> 村口迎宾站 </w:t>
      </w:r>
      <w:r>
        <w:rPr>
          <w:rFonts w:ascii="宋体" w:hAnsi="宋体" w:eastAsia="宋体"/>
          <w:sz w:val="21"/>
          <w:szCs w:val="21"/>
        </w:rPr>
        <w:t xml:space="preserve"> →  完赛认证</w:t>
      </w:r>
    </w:p>
    <w:p w14:paraId="313AD011">
      <w:pPr>
        <w:rPr>
          <w:rFonts w:hint="default" w:ascii="宋体" w:hAnsi="宋体" w:eastAsia="宋体"/>
          <w:sz w:val="21"/>
          <w:szCs w:val="21"/>
          <w:lang w:val="en-US" w:eastAsia="zh-CN"/>
        </w:rPr>
      </w:pPr>
      <w:r>
        <w:rPr>
          <w:rFonts w:hint="eastAsia" w:ascii="宋体" w:hAnsi="宋体" w:eastAsia="宋体"/>
          <w:sz w:val="21"/>
          <w:szCs w:val="21"/>
          <w:lang w:val="en-US" w:eastAsia="zh-CN"/>
        </w:rPr>
        <w:t>B路线简单示意图</w:t>
      </w:r>
    </w:p>
    <w:p w14:paraId="481DD192">
      <w:pPr>
        <w:rPr>
          <w:rFonts w:hint="eastAsia" w:ascii="宋体" w:hAnsi="宋体" w:eastAsia="宋体"/>
          <w:sz w:val="21"/>
          <w:szCs w:val="21"/>
          <w:lang w:val="en-US" w:eastAsia="zh-CN"/>
        </w:rPr>
      </w:pPr>
      <w:r>
        <w:rPr>
          <w:rFonts w:hint="eastAsia" w:ascii="宋体" w:hAnsi="宋体" w:eastAsia="宋体"/>
          <w:sz w:val="21"/>
          <w:szCs w:val="21"/>
          <w:lang w:val="en-US" w:eastAsia="zh-CN"/>
        </w:rPr>
        <w:drawing>
          <wp:inline distT="0" distB="0" distL="114300" distR="114300">
            <wp:extent cx="3936365" cy="2677160"/>
            <wp:effectExtent l="0" t="0" r="635" b="2540"/>
            <wp:docPr id="17" name="图片 17" descr="0e9b46bc04c4d017003ae06d33adcc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0e9b46bc04c4d017003ae06d33adcc96"/>
                    <pic:cNvPicPr>
                      <a:picLocks noChangeAspect="1"/>
                    </pic:cNvPicPr>
                  </pic:nvPicPr>
                  <pic:blipFill>
                    <a:blip r:embed="rId40"/>
                    <a:srcRect t="4541" r="7804" b="24888"/>
                    <a:stretch>
                      <a:fillRect/>
                    </a:stretch>
                  </pic:blipFill>
                  <pic:spPr>
                    <a:xfrm>
                      <a:off x="0" y="0"/>
                      <a:ext cx="3936365" cy="2677160"/>
                    </a:xfrm>
                    <a:prstGeom prst="rect">
                      <a:avLst/>
                    </a:prstGeom>
                  </pic:spPr>
                </pic:pic>
              </a:graphicData>
            </a:graphic>
          </wp:inline>
        </w:drawing>
      </w:r>
    </w:p>
    <w:p w14:paraId="51609A37">
      <w:pPr>
        <w:pStyle w:val="4"/>
        <w:bidi w:val="0"/>
      </w:pPr>
      <w:bookmarkStart w:id="106" w:name="_Toc15970"/>
      <w:r>
        <w:rPr>
          <w:rFonts w:hint="eastAsia"/>
          <w:lang w:val="en-US" w:eastAsia="zh-CN"/>
        </w:rPr>
        <w:t>6.</w:t>
      </w:r>
      <w:r>
        <w:rPr>
          <w:lang w:val="en-US" w:eastAsia="zh-CN"/>
        </w:rPr>
        <w:t>2.3 C线「北山穿越」—— 挑战线（30-35km）</w:t>
      </w:r>
      <w:bookmarkEnd w:id="106"/>
    </w:p>
    <w:p w14:paraId="44898683">
      <w:pPr>
        <w:rPr>
          <w:rFonts w:hint="default" w:ascii="宋体" w:hAnsi="宋体" w:eastAsia="宋体"/>
          <w:sz w:val="21"/>
          <w:szCs w:val="21"/>
          <w:lang w:val="en-US" w:eastAsia="zh-CN"/>
        </w:rPr>
      </w:pPr>
      <w:r>
        <w:rPr>
          <w:rFonts w:ascii="宋体" w:hAnsi="宋体" w:eastAsia="宋体"/>
          <w:sz w:val="21"/>
          <w:szCs w:val="21"/>
        </w:rPr>
        <w:t xml:space="preserve">  </w:t>
      </w:r>
      <w:r>
        <w:rPr>
          <w:rFonts w:ascii="宋体" w:hAnsi="宋体" w:eastAsia="宋体"/>
          <w:b/>
          <w:bCs/>
          <w:sz w:val="21"/>
          <w:szCs w:val="21"/>
        </w:rPr>
        <w:t>N1 村口迎宾站（起点）</w:t>
      </w:r>
      <w:r>
        <w:rPr>
          <w:rFonts w:ascii="宋体" w:hAnsi="宋体" w:eastAsia="宋体"/>
          <w:sz w:val="21"/>
          <w:szCs w:val="21"/>
        </w:rPr>
        <w:t xml:space="preserve">  →  沿村内主干道向</w:t>
      </w:r>
      <w:r>
        <w:rPr>
          <w:rFonts w:hint="eastAsia" w:ascii="宋体" w:hAnsi="宋体" w:eastAsia="宋体"/>
          <w:sz w:val="21"/>
          <w:szCs w:val="21"/>
          <w:lang w:val="en-US" w:eastAsia="zh-CN"/>
        </w:rPr>
        <w:t>孟庄村方向</w:t>
      </w:r>
    </w:p>
    <w:p w14:paraId="1224A44E">
      <w:pPr>
        <w:rPr>
          <w:rFonts w:hint="default" w:ascii="宋体" w:hAnsi="宋体" w:eastAsia="宋体"/>
          <w:sz w:val="21"/>
          <w:szCs w:val="21"/>
          <w:lang w:val="en-US" w:eastAsia="zh-CN"/>
        </w:rPr>
      </w:pPr>
      <w:r>
        <w:rPr>
          <w:rFonts w:ascii="宋体" w:hAnsi="宋体" w:eastAsia="宋体"/>
          <w:sz w:val="21"/>
          <w:szCs w:val="21"/>
        </w:rPr>
        <w:t xml:space="preserve"> </w:t>
      </w:r>
      <w:r>
        <w:rPr>
          <w:rFonts w:ascii="宋体" w:hAnsi="宋体" w:eastAsia="宋体"/>
          <w:b/>
          <w:bCs/>
          <w:sz w:val="21"/>
          <w:szCs w:val="21"/>
        </w:rPr>
        <w:t xml:space="preserve"> N</w:t>
      </w:r>
      <w:r>
        <w:rPr>
          <w:rFonts w:hint="eastAsia" w:ascii="宋体" w:hAnsi="宋体" w:eastAsia="宋体"/>
          <w:b/>
          <w:bCs/>
          <w:sz w:val="21"/>
          <w:szCs w:val="21"/>
          <w:lang w:val="en-US" w:eastAsia="zh-CN"/>
        </w:rPr>
        <w:t>7</w:t>
      </w:r>
      <w:r>
        <w:rPr>
          <w:rFonts w:ascii="宋体" w:hAnsi="宋体" w:eastAsia="宋体"/>
          <w:b/>
          <w:bCs/>
          <w:sz w:val="21"/>
          <w:szCs w:val="21"/>
        </w:rPr>
        <w:t xml:space="preserve"> 北山观景台 </w:t>
      </w:r>
      <w:r>
        <w:rPr>
          <w:rFonts w:ascii="宋体" w:hAnsi="宋体" w:eastAsia="宋体"/>
          <w:sz w:val="21"/>
          <w:szCs w:val="21"/>
        </w:rPr>
        <w:t xml:space="preserve">  →  继续向北进入山区道路（防火道/林道），连续爬升至海拔约200-250m，360度视野 →</w:t>
      </w:r>
      <w:r>
        <w:rPr>
          <w:rFonts w:hint="eastAsia" w:ascii="宋体" w:hAnsi="宋体" w:eastAsia="宋体"/>
          <w:sz w:val="21"/>
          <w:szCs w:val="21"/>
          <w:lang w:val="en-US" w:eastAsia="zh-CN"/>
        </w:rPr>
        <w:t>向东北方向前往凯甲庄村</w:t>
      </w:r>
    </w:p>
    <w:p w14:paraId="596CDA5C">
      <w:pPr>
        <w:rPr>
          <w:rFonts w:ascii="宋体" w:hAnsi="宋体" w:eastAsia="宋体"/>
          <w:sz w:val="21"/>
          <w:szCs w:val="21"/>
        </w:rPr>
      </w:pPr>
      <w:r>
        <w:rPr>
          <w:rFonts w:ascii="宋体" w:hAnsi="宋体" w:eastAsia="宋体"/>
          <w:sz w:val="21"/>
          <w:szCs w:val="21"/>
        </w:rPr>
        <w:t xml:space="preserve">  </w:t>
      </w:r>
      <w:r>
        <w:rPr>
          <w:rFonts w:ascii="宋体" w:hAnsi="宋体" w:eastAsia="宋体"/>
          <w:b/>
          <w:bCs/>
          <w:sz w:val="21"/>
          <w:szCs w:val="21"/>
        </w:rPr>
        <w:t>N</w:t>
      </w:r>
      <w:r>
        <w:rPr>
          <w:rFonts w:hint="eastAsia" w:ascii="宋体" w:hAnsi="宋体" w:eastAsia="宋体"/>
          <w:b/>
          <w:bCs/>
          <w:sz w:val="21"/>
          <w:szCs w:val="21"/>
          <w:lang w:val="en-US" w:eastAsia="zh-CN"/>
        </w:rPr>
        <w:t>8</w:t>
      </w:r>
      <w:r>
        <w:rPr>
          <w:rFonts w:ascii="宋体" w:hAnsi="宋体" w:eastAsia="宋体"/>
          <w:b/>
          <w:bCs/>
          <w:sz w:val="21"/>
          <w:szCs w:val="21"/>
        </w:rPr>
        <w:t xml:space="preserve"> 铠甲</w:t>
      </w:r>
      <w:r>
        <w:rPr>
          <w:rFonts w:hint="eastAsia" w:ascii="宋体" w:hAnsi="宋体" w:eastAsia="宋体"/>
          <w:b/>
          <w:bCs/>
          <w:sz w:val="21"/>
          <w:szCs w:val="21"/>
          <w:lang w:val="en-US" w:eastAsia="zh-CN"/>
        </w:rPr>
        <w:t>庄村</w:t>
      </w:r>
      <w:r>
        <w:rPr>
          <w:rFonts w:ascii="宋体" w:hAnsi="宋体" w:eastAsia="宋体"/>
          <w:b/>
          <w:bCs/>
          <w:sz w:val="21"/>
          <w:szCs w:val="21"/>
        </w:rPr>
        <w:t xml:space="preserve">北入口 </w:t>
      </w:r>
      <w:r>
        <w:rPr>
          <w:rFonts w:ascii="宋体" w:hAnsi="宋体" w:eastAsia="宋体"/>
          <w:sz w:val="21"/>
          <w:szCs w:val="21"/>
        </w:rPr>
        <w:t xml:space="preserve"> →  沿山间道路向西下山，铠甲村补给（餐饮+休息）</w:t>
      </w:r>
    </w:p>
    <w:p w14:paraId="2025EEA5">
      <w:pPr>
        <w:rPr>
          <w:rFonts w:ascii="宋体" w:hAnsi="宋体" w:eastAsia="宋体"/>
          <w:sz w:val="21"/>
          <w:szCs w:val="21"/>
        </w:rPr>
      </w:pPr>
      <w:r>
        <w:rPr>
          <w:rFonts w:ascii="宋体" w:hAnsi="宋体" w:eastAsia="宋体"/>
          <w:b/>
          <w:bCs/>
          <w:sz w:val="21"/>
          <w:szCs w:val="21"/>
        </w:rPr>
        <w:t xml:space="preserve">  N</w:t>
      </w:r>
      <w:r>
        <w:rPr>
          <w:rFonts w:hint="eastAsia" w:ascii="宋体" w:hAnsi="宋体" w:eastAsia="宋体"/>
          <w:b/>
          <w:bCs/>
          <w:sz w:val="21"/>
          <w:szCs w:val="21"/>
          <w:lang w:val="en-US" w:eastAsia="zh-CN"/>
        </w:rPr>
        <w:t>5</w:t>
      </w:r>
      <w:r>
        <w:rPr>
          <w:rFonts w:ascii="宋体" w:hAnsi="宋体" w:eastAsia="宋体"/>
          <w:b/>
          <w:bCs/>
          <w:sz w:val="21"/>
          <w:szCs w:val="21"/>
        </w:rPr>
        <w:t xml:space="preserve"> 铠甲</w:t>
      </w:r>
      <w:r>
        <w:rPr>
          <w:rFonts w:hint="eastAsia" w:ascii="宋体" w:hAnsi="宋体" w:eastAsia="宋体"/>
          <w:b/>
          <w:bCs/>
          <w:sz w:val="21"/>
          <w:szCs w:val="21"/>
          <w:lang w:val="en-US" w:eastAsia="zh-CN"/>
        </w:rPr>
        <w:t>庄村</w:t>
      </w:r>
      <w:r>
        <w:rPr>
          <w:rFonts w:ascii="宋体" w:hAnsi="宋体" w:eastAsia="宋体"/>
          <w:b/>
          <w:bCs/>
          <w:sz w:val="21"/>
          <w:szCs w:val="21"/>
        </w:rPr>
        <w:t>联动点</w:t>
      </w:r>
      <w:r>
        <w:rPr>
          <w:rFonts w:ascii="宋体" w:hAnsi="宋体" w:eastAsia="宋体"/>
          <w:sz w:val="21"/>
          <w:szCs w:val="21"/>
        </w:rPr>
        <w:t xml:space="preserve">  →  沿铠甲峪南侧道路向</w:t>
      </w:r>
      <w:r>
        <w:rPr>
          <w:rFonts w:hint="eastAsia" w:ascii="宋体" w:hAnsi="宋体" w:eastAsia="宋体"/>
          <w:sz w:val="21"/>
          <w:szCs w:val="21"/>
          <w:lang w:val="en-US" w:eastAsia="zh-CN"/>
        </w:rPr>
        <w:t>东至N7，再向西南方向，环形路线</w:t>
      </w:r>
      <w:r>
        <w:rPr>
          <w:rFonts w:ascii="宋体" w:hAnsi="宋体" w:eastAsia="宋体"/>
          <w:sz w:val="21"/>
          <w:szCs w:val="21"/>
        </w:rPr>
        <w:t xml:space="preserve">  N</w:t>
      </w:r>
      <w:r>
        <w:rPr>
          <w:rFonts w:hint="eastAsia" w:ascii="宋体" w:hAnsi="宋体" w:eastAsia="宋体"/>
          <w:sz w:val="21"/>
          <w:szCs w:val="21"/>
          <w:lang w:val="en-US" w:eastAsia="zh-CN"/>
        </w:rPr>
        <w:t>6</w:t>
      </w:r>
      <w:r>
        <w:rPr>
          <w:rFonts w:ascii="宋体" w:hAnsi="宋体" w:eastAsia="宋体"/>
          <w:sz w:val="21"/>
          <w:szCs w:val="21"/>
        </w:rPr>
        <w:t xml:space="preserve"> 文化终点站  →  经天文台路段返回，完赛认证</w:t>
      </w:r>
    </w:p>
    <w:p w14:paraId="32A719FC">
      <w:pPr>
        <w:rPr>
          <w:rFonts w:hint="eastAsia" w:ascii="宋体" w:hAnsi="宋体" w:eastAsia="宋体"/>
          <w:sz w:val="21"/>
          <w:szCs w:val="21"/>
          <w:lang w:val="en-US" w:eastAsia="zh-CN"/>
        </w:rPr>
      </w:pPr>
      <w:r>
        <w:rPr>
          <w:rFonts w:hint="eastAsia" w:ascii="宋体" w:hAnsi="宋体" w:eastAsia="宋体"/>
          <w:sz w:val="21"/>
          <w:szCs w:val="21"/>
          <w:lang w:val="en-US" w:eastAsia="zh-CN"/>
        </w:rPr>
        <w:t>C路线简单示意图</w:t>
      </w:r>
    </w:p>
    <w:p w14:paraId="38F95741">
      <w:pPr>
        <w:rPr>
          <w:rFonts w:hint="eastAsia" w:ascii="微软雅黑" w:hAnsi="微软雅黑" w:eastAsia="微软雅黑"/>
          <w:b w:val="0"/>
          <w:color w:val="666666"/>
          <w:sz w:val="22"/>
          <w:lang w:eastAsia="zh-CN"/>
        </w:rPr>
      </w:pPr>
      <w:r>
        <w:rPr>
          <w:rFonts w:hint="default" w:ascii="宋体" w:hAnsi="宋体" w:eastAsia="宋体"/>
          <w:sz w:val="21"/>
          <w:szCs w:val="21"/>
          <w:lang w:val="en-US" w:eastAsia="zh-CN"/>
        </w:rPr>
        <w:drawing>
          <wp:inline distT="0" distB="0" distL="114300" distR="114300">
            <wp:extent cx="3724910" cy="2737485"/>
            <wp:effectExtent l="0" t="0" r="0" b="5715"/>
            <wp:docPr id="18" name="图片 18" descr="5163581ad21e7e0159c4c44179627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5163581ad21e7e0159c4c44179627016"/>
                    <pic:cNvPicPr>
                      <a:picLocks noChangeAspect="1"/>
                    </pic:cNvPicPr>
                  </pic:nvPicPr>
                  <pic:blipFill>
                    <a:blip r:embed="rId41"/>
                    <a:srcRect r="-4745" b="16333"/>
                    <a:stretch>
                      <a:fillRect/>
                    </a:stretch>
                  </pic:blipFill>
                  <pic:spPr>
                    <a:xfrm>
                      <a:off x="0" y="0"/>
                      <a:ext cx="3724910" cy="2737485"/>
                    </a:xfrm>
                    <a:prstGeom prst="rect">
                      <a:avLst/>
                    </a:prstGeom>
                  </pic:spPr>
                </pic:pic>
              </a:graphicData>
            </a:graphic>
          </wp:inline>
        </w:drawing>
      </w:r>
    </w:p>
    <w:p w14:paraId="46E97749">
      <w:pPr>
        <w:pStyle w:val="3"/>
        <w:bidi w:val="0"/>
        <w:rPr>
          <w:rFonts w:hint="eastAsia"/>
          <w:lang w:val="en-US" w:eastAsia="zh-CN"/>
        </w:rPr>
      </w:pPr>
      <w:bookmarkStart w:id="107" w:name="_Toc3781"/>
      <w:r>
        <w:rPr>
          <w:rFonts w:hint="eastAsia"/>
          <w:lang w:val="en-US" w:eastAsia="zh-CN"/>
        </w:rPr>
        <w:t>6.3  打卡节点设计</w:t>
      </w:r>
      <w:bookmarkEnd w:id="107"/>
    </w:p>
    <w:p w14:paraId="05920C2E">
      <w:pPr>
        <w:rPr>
          <w:rFonts w:hint="eastAsia" w:ascii="宋体" w:hAnsi="宋体" w:eastAsia="宋体"/>
          <w:sz w:val="21"/>
          <w:szCs w:val="21"/>
        </w:rPr>
      </w:pPr>
      <w:r>
        <w:rPr>
          <w:rFonts w:ascii="宋体" w:hAnsi="宋体" w:eastAsia="宋体"/>
          <w:sz w:val="21"/>
          <w:szCs w:val="21"/>
        </w:rPr>
        <w:t>沿骑行路线设置</w:t>
      </w:r>
      <w:r>
        <w:rPr>
          <w:rFonts w:hint="eastAsia" w:ascii="宋体" w:hAnsi="宋体" w:eastAsia="宋体"/>
          <w:sz w:val="21"/>
          <w:szCs w:val="21"/>
          <w:lang w:val="en-US" w:eastAsia="zh-CN"/>
        </w:rPr>
        <w:t>八</w:t>
      </w:r>
      <w:r>
        <w:rPr>
          <w:rFonts w:ascii="宋体" w:hAnsi="宋体" w:eastAsia="宋体"/>
          <w:sz w:val="21"/>
          <w:szCs w:val="21"/>
        </w:rPr>
        <w:t>大打卡节点，每个节点不仅是一个"拍照点"，更是一个消费触点、传播触点或教育触点：</w:t>
      </w:r>
    </w:p>
    <w:p w14:paraId="4EEA0053">
      <w:pPr>
        <w:jc w:val="center"/>
        <w:rPr>
          <w:rFonts w:hint="eastAsia" w:ascii="宋体" w:hAnsi="宋体" w:eastAsia="宋体"/>
          <w:sz w:val="21"/>
          <w:szCs w:val="21"/>
        </w:rPr>
      </w:pPr>
      <w:r>
        <w:rPr>
          <w:rFonts w:ascii="宋体" w:hAnsi="宋体" w:eastAsia="宋体"/>
          <w:b/>
          <w:sz w:val="21"/>
          <w:szCs w:val="21"/>
        </w:rPr>
        <w:t>表</w:t>
      </w:r>
      <w:r>
        <w:rPr>
          <w:rFonts w:hint="eastAsia" w:ascii="宋体" w:hAnsi="宋体" w:eastAsia="宋体"/>
          <w:b/>
          <w:sz w:val="21"/>
          <w:szCs w:val="21"/>
          <w:lang w:val="en-US" w:eastAsia="zh-CN"/>
        </w:rPr>
        <w:t>6-2</w:t>
      </w:r>
      <w:r>
        <w:rPr>
          <w:rFonts w:ascii="宋体" w:hAnsi="宋体" w:eastAsia="宋体"/>
          <w:b/>
          <w:sz w:val="21"/>
          <w:szCs w:val="21"/>
        </w:rPr>
        <w:t xml:space="preserve">  </w:t>
      </w:r>
      <w:r>
        <w:rPr>
          <w:rFonts w:hint="eastAsia" w:ascii="宋体" w:hAnsi="宋体" w:eastAsia="宋体"/>
          <w:b/>
          <w:sz w:val="21"/>
          <w:szCs w:val="21"/>
          <w:lang w:val="en-US" w:eastAsia="zh-CN"/>
        </w:rPr>
        <w:t>八</w:t>
      </w:r>
      <w:r>
        <w:rPr>
          <w:rFonts w:ascii="宋体" w:hAnsi="宋体" w:eastAsia="宋体"/>
          <w:b/>
          <w:sz w:val="21"/>
          <w:szCs w:val="21"/>
        </w:rPr>
        <w:t>大打卡节点功能清单</w:t>
      </w:r>
    </w:p>
    <w:tbl>
      <w:tblPr>
        <w:tblStyle w:val="15"/>
        <w:tblW w:w="961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736"/>
        <w:gridCol w:w="1656"/>
        <w:gridCol w:w="2221"/>
        <w:gridCol w:w="1195"/>
        <w:gridCol w:w="1136"/>
        <w:gridCol w:w="2674"/>
      </w:tblGrid>
      <w:tr w14:paraId="704D6B2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736" w:type="dxa"/>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w14:paraId="0319B0C6">
            <w:pPr>
              <w:snapToGrid w:val="0"/>
              <w:spacing w:before="60" w:after="60" w:line="240" w:lineRule="auto"/>
              <w:ind w:left="0" w:leftChars="0" w:right="0" w:rightChars="0" w:firstLine="0" w:firstLineChars="0"/>
              <w:jc w:val="center"/>
              <w:rPr>
                <w:rFonts w:ascii="微软雅黑" w:eastAsia="微软雅黑"/>
                <w:b w:val="0"/>
                <w:color w:val="000000"/>
                <w:sz w:val="20"/>
              </w:rPr>
            </w:pPr>
            <w:r>
              <w:rPr>
                <w:rFonts w:ascii="微软雅黑" w:hAnsi="微软雅黑" w:eastAsia="微软雅黑"/>
                <w:b w:val="0"/>
                <w:color w:val="000000"/>
                <w:sz w:val="20"/>
              </w:rPr>
              <w:t>编号</w:t>
            </w:r>
          </w:p>
        </w:tc>
        <w:tc>
          <w:tcPr>
            <w:tcW w:w="0" w:type="auto"/>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422585E5">
            <w:pPr>
              <w:snapToGrid w:val="0"/>
              <w:spacing w:before="60" w:after="60" w:line="240" w:lineRule="auto"/>
              <w:ind w:left="0" w:leftChars="0" w:right="0" w:rightChars="0" w:firstLine="0" w:firstLineChars="0"/>
              <w:jc w:val="center"/>
              <w:rPr>
                <w:rFonts w:ascii="微软雅黑" w:eastAsia="微软雅黑"/>
                <w:b w:val="0"/>
                <w:color w:val="000000"/>
                <w:sz w:val="20"/>
              </w:rPr>
            </w:pPr>
            <w:r>
              <w:rPr>
                <w:rFonts w:ascii="微软雅黑" w:hAnsi="微软雅黑" w:eastAsia="微软雅黑"/>
                <w:b w:val="0"/>
                <w:color w:val="000000"/>
                <w:sz w:val="20"/>
              </w:rPr>
              <w:t>名称</w:t>
            </w:r>
          </w:p>
        </w:tc>
        <w:tc>
          <w:tcPr>
            <w:tcW w:w="2221"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3401F399">
            <w:pPr>
              <w:snapToGrid w:val="0"/>
              <w:spacing w:before="60" w:after="60" w:line="240" w:lineRule="auto"/>
              <w:ind w:left="0" w:leftChars="0" w:right="0" w:rightChars="0" w:firstLine="0" w:firstLineChars="0"/>
              <w:jc w:val="center"/>
              <w:rPr>
                <w:rFonts w:ascii="微软雅黑" w:eastAsia="微软雅黑"/>
                <w:b w:val="0"/>
                <w:color w:val="000000"/>
                <w:sz w:val="20"/>
              </w:rPr>
            </w:pPr>
            <w:r>
              <w:rPr>
                <w:rFonts w:ascii="微软雅黑" w:hAnsi="微软雅黑" w:eastAsia="微软雅黑"/>
                <w:b w:val="0"/>
                <w:color w:val="000000"/>
                <w:sz w:val="20"/>
              </w:rPr>
              <w:t>位置</w:t>
            </w:r>
          </w:p>
        </w:tc>
        <w:tc>
          <w:tcPr>
            <w:tcW w:w="0" w:type="auto"/>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5507DF21">
            <w:pPr>
              <w:snapToGrid w:val="0"/>
              <w:spacing w:before="60" w:after="60" w:line="240" w:lineRule="auto"/>
              <w:ind w:left="0" w:leftChars="0" w:right="0" w:rightChars="0" w:firstLine="0" w:firstLineChars="0"/>
              <w:jc w:val="center"/>
              <w:rPr>
                <w:rFonts w:ascii="微软雅黑" w:eastAsia="微软雅黑"/>
                <w:b w:val="0"/>
                <w:color w:val="000000"/>
                <w:sz w:val="20"/>
              </w:rPr>
            </w:pPr>
            <w:r>
              <w:rPr>
                <w:rFonts w:ascii="微软雅黑" w:hAnsi="微软雅黑" w:eastAsia="微软雅黑"/>
                <w:b w:val="0"/>
                <w:color w:val="000000"/>
                <w:sz w:val="20"/>
              </w:rPr>
              <w:t>功能定位</w:t>
            </w:r>
          </w:p>
        </w:tc>
        <w:tc>
          <w:tcPr>
            <w:tcW w:w="1136"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5B4DEA9F">
            <w:pPr>
              <w:snapToGrid w:val="0"/>
              <w:spacing w:before="60" w:after="60" w:line="240" w:lineRule="auto"/>
              <w:ind w:left="0" w:leftChars="0" w:right="0" w:rightChars="0" w:firstLine="0" w:firstLineChars="0"/>
              <w:jc w:val="center"/>
              <w:rPr>
                <w:rFonts w:ascii="微软雅黑" w:eastAsia="微软雅黑"/>
                <w:b w:val="0"/>
                <w:color w:val="000000"/>
                <w:sz w:val="20"/>
              </w:rPr>
            </w:pPr>
            <w:r>
              <w:rPr>
                <w:rFonts w:ascii="微软雅黑" w:hAnsi="微软雅黑" w:eastAsia="微软雅黑"/>
                <w:b w:val="0"/>
                <w:color w:val="000000"/>
                <w:sz w:val="20"/>
              </w:rPr>
              <w:t>路线归属</w:t>
            </w:r>
          </w:p>
        </w:tc>
        <w:tc>
          <w:tcPr>
            <w:tcW w:w="2674"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7CF47432">
            <w:pPr>
              <w:snapToGrid w:val="0"/>
              <w:spacing w:before="60" w:after="60" w:line="240" w:lineRule="auto"/>
              <w:ind w:left="0" w:leftChars="0" w:right="0" w:rightChars="0" w:firstLine="0" w:firstLineChars="0"/>
              <w:jc w:val="center"/>
              <w:rPr>
                <w:rFonts w:ascii="微软雅黑" w:eastAsia="微软雅黑"/>
                <w:b w:val="0"/>
                <w:color w:val="000000"/>
                <w:sz w:val="20"/>
              </w:rPr>
            </w:pPr>
            <w:r>
              <w:rPr>
                <w:rFonts w:ascii="微软雅黑" w:hAnsi="微软雅黑" w:eastAsia="微软雅黑"/>
                <w:b w:val="0"/>
                <w:color w:val="000000"/>
                <w:sz w:val="20"/>
              </w:rPr>
              <w:t>设施配置</w:t>
            </w:r>
          </w:p>
        </w:tc>
      </w:tr>
      <w:tr w14:paraId="08D63CE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36"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37F46747">
            <w:pPr>
              <w:snapToGrid w:val="0"/>
              <w:spacing w:before="60" w:after="60" w:line="240" w:lineRule="auto"/>
              <w:ind w:left="0" w:leftChars="0" w:right="0" w:rightChars="0" w:firstLine="0" w:firstLineChars="0"/>
              <w:jc w:val="center"/>
              <w:rPr>
                <w:rFonts w:ascii="微软雅黑" w:eastAsia="微软雅黑"/>
                <w:b w:val="0"/>
                <w:color w:val="000000"/>
                <w:sz w:val="20"/>
              </w:rPr>
            </w:pPr>
            <w:r>
              <w:rPr>
                <w:rFonts w:ascii="微软雅黑" w:hAnsi="微软雅黑" w:eastAsia="微软雅黑"/>
                <w:b w:val="0"/>
                <w:color w:val="000000"/>
                <w:sz w:val="20"/>
              </w:rPr>
              <w:t>N1</w:t>
            </w:r>
          </w:p>
        </w:tc>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502A41D7">
            <w:pPr>
              <w:snapToGrid w:val="0"/>
              <w:spacing w:before="60" w:after="60" w:line="240" w:lineRule="auto"/>
              <w:ind w:left="0" w:leftChars="0" w:right="0" w:rightChars="0" w:firstLine="0" w:firstLineChars="0"/>
              <w:jc w:val="center"/>
              <w:rPr>
                <w:rFonts w:ascii="微软雅黑" w:eastAsia="微软雅黑"/>
                <w:b w:val="0"/>
                <w:color w:val="000000"/>
                <w:sz w:val="20"/>
              </w:rPr>
            </w:pPr>
            <w:r>
              <w:rPr>
                <w:rFonts w:ascii="微软雅黑" w:hAnsi="微软雅黑" w:eastAsia="微软雅黑"/>
                <w:b w:val="0"/>
                <w:color w:val="000000"/>
                <w:sz w:val="20"/>
              </w:rPr>
              <w:t>村口迎宾站</w:t>
            </w:r>
          </w:p>
        </w:tc>
        <w:tc>
          <w:tcPr>
            <w:tcW w:w="2221"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7C408361">
            <w:pPr>
              <w:snapToGrid w:val="0"/>
              <w:spacing w:before="60" w:after="60" w:line="240" w:lineRule="auto"/>
              <w:ind w:left="0" w:leftChars="0" w:right="0" w:rightChars="0" w:firstLine="0" w:firstLineChars="0"/>
              <w:jc w:val="center"/>
              <w:rPr>
                <w:rFonts w:ascii="微软雅黑" w:eastAsia="微软雅黑"/>
                <w:b w:val="0"/>
                <w:color w:val="000000"/>
                <w:sz w:val="20"/>
              </w:rPr>
            </w:pPr>
            <w:r>
              <w:rPr>
                <w:rFonts w:ascii="微软雅黑" w:hAnsi="微软雅黑" w:eastAsia="微软雅黑"/>
                <w:b w:val="0"/>
                <w:color w:val="000000"/>
                <w:sz w:val="20"/>
              </w:rPr>
              <w:t>村庄北侧入口</w:t>
            </w:r>
          </w:p>
        </w:tc>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5318E52B">
            <w:pPr>
              <w:snapToGrid w:val="0"/>
              <w:spacing w:before="60" w:after="60" w:line="240" w:lineRule="auto"/>
              <w:ind w:left="0" w:leftChars="0" w:right="0" w:rightChars="0" w:firstLine="0" w:firstLineChars="0"/>
              <w:jc w:val="left"/>
              <w:rPr>
                <w:rFonts w:ascii="微软雅黑" w:eastAsia="微软雅黑"/>
                <w:b w:val="0"/>
                <w:color w:val="000000"/>
                <w:sz w:val="20"/>
              </w:rPr>
            </w:pPr>
            <w:r>
              <w:rPr>
                <w:rFonts w:ascii="微软雅黑" w:hAnsi="微软雅黑" w:eastAsia="微软雅黑"/>
                <w:b w:val="0"/>
                <w:color w:val="000000"/>
                <w:sz w:val="20"/>
              </w:rPr>
              <w:t>起点·品牌第一印象</w:t>
            </w:r>
          </w:p>
        </w:tc>
        <w:tc>
          <w:tcPr>
            <w:tcW w:w="1136"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4A66C0E5">
            <w:pPr>
              <w:snapToGrid w:val="0"/>
              <w:spacing w:before="60" w:after="60" w:line="240" w:lineRule="auto"/>
              <w:ind w:left="0" w:leftChars="0" w:right="0" w:rightChars="0" w:firstLine="0" w:firstLineChars="0"/>
              <w:jc w:val="left"/>
              <w:rPr>
                <w:rFonts w:ascii="微软雅黑" w:eastAsia="微软雅黑"/>
                <w:b w:val="0"/>
                <w:color w:val="000000"/>
                <w:sz w:val="20"/>
              </w:rPr>
            </w:pPr>
            <w:r>
              <w:rPr>
                <w:rFonts w:ascii="微软雅黑" w:hAnsi="微软雅黑" w:eastAsia="微软雅黑"/>
                <w:b w:val="0"/>
                <w:color w:val="000000"/>
                <w:sz w:val="20"/>
              </w:rPr>
              <w:t>ABC</w:t>
            </w:r>
          </w:p>
        </w:tc>
        <w:tc>
          <w:tcPr>
            <w:tcW w:w="2674"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158DB1E1">
            <w:pPr>
              <w:snapToGrid w:val="0"/>
              <w:spacing w:before="60" w:after="60" w:line="240" w:lineRule="auto"/>
              <w:ind w:left="0" w:leftChars="0" w:right="0" w:rightChars="0" w:firstLine="0" w:firstLineChars="0"/>
              <w:jc w:val="left"/>
              <w:rPr>
                <w:rFonts w:ascii="微软雅黑" w:eastAsia="微软雅黑"/>
                <w:b w:val="0"/>
                <w:color w:val="000000"/>
                <w:sz w:val="20"/>
              </w:rPr>
            </w:pPr>
            <w:r>
              <w:rPr>
                <w:rFonts w:ascii="微软雅黑" w:hAnsi="微软雅黑" w:eastAsia="微软雅黑"/>
                <w:b w:val="0"/>
                <w:color w:val="000000"/>
                <w:sz w:val="20"/>
              </w:rPr>
              <w:t>品牌标识墙、路线指示牌、小程序扫码引导、休息座椅</w:t>
            </w:r>
          </w:p>
        </w:tc>
      </w:tr>
      <w:tr w14:paraId="30E8826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36" w:type="dxa"/>
            <w:tcBorders>
              <w:top w:val="nil"/>
              <w:left w:val="nil"/>
              <w:bottom w:val="nil"/>
              <w:right w:val="nil"/>
            </w:tcBorders>
            <w:shd w:val="clear" w:color="auto" w:fill="FFFFFF"/>
            <w:noWrap w:val="0"/>
            <w:tcMar>
              <w:top w:w="-1" w:type="dxa"/>
              <w:left w:w="-1" w:type="dxa"/>
              <w:bottom w:w="-1" w:type="dxa"/>
              <w:right w:w="-1" w:type="dxa"/>
            </w:tcMar>
            <w:vAlign w:val="center"/>
          </w:tcPr>
          <w:p w14:paraId="150EDAE9">
            <w:pPr>
              <w:snapToGrid w:val="0"/>
              <w:spacing w:before="60" w:after="60" w:line="240" w:lineRule="auto"/>
              <w:ind w:left="0" w:leftChars="0" w:right="0" w:rightChars="0" w:firstLine="0" w:firstLineChars="0"/>
              <w:jc w:val="center"/>
              <w:rPr>
                <w:rFonts w:ascii="微软雅黑" w:eastAsia="微软雅黑"/>
                <w:b w:val="0"/>
                <w:color w:val="000000"/>
                <w:sz w:val="20"/>
              </w:rPr>
            </w:pPr>
            <w:r>
              <w:rPr>
                <w:rFonts w:ascii="微软雅黑" w:hAnsi="微软雅黑" w:eastAsia="微软雅黑"/>
                <w:b w:val="0"/>
                <w:color w:val="000000"/>
                <w:sz w:val="20"/>
              </w:rPr>
              <w:t>N2</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E676CC8">
            <w:pPr>
              <w:snapToGrid w:val="0"/>
              <w:spacing w:before="60" w:after="60" w:line="240" w:lineRule="auto"/>
              <w:ind w:left="0" w:leftChars="0" w:right="0" w:rightChars="0" w:firstLine="0" w:firstLineChars="0"/>
              <w:jc w:val="center"/>
              <w:rPr>
                <w:rFonts w:ascii="微软雅黑" w:eastAsia="微软雅黑"/>
                <w:b w:val="0"/>
                <w:color w:val="000000"/>
                <w:sz w:val="20"/>
              </w:rPr>
            </w:pPr>
            <w:r>
              <w:rPr>
                <w:rFonts w:ascii="微软雅黑" w:hAnsi="微软雅黑" w:eastAsia="微软雅黑"/>
                <w:b w:val="0"/>
                <w:color w:val="000000"/>
                <w:sz w:val="20"/>
              </w:rPr>
              <w:t>樱桃园驿站</w:t>
            </w:r>
          </w:p>
        </w:tc>
        <w:tc>
          <w:tcPr>
            <w:tcW w:w="2221" w:type="dxa"/>
            <w:tcBorders>
              <w:top w:val="nil"/>
              <w:left w:val="nil"/>
              <w:bottom w:val="nil"/>
              <w:right w:val="nil"/>
            </w:tcBorders>
            <w:shd w:val="clear" w:color="auto" w:fill="FFFFFF"/>
            <w:noWrap w:val="0"/>
            <w:tcMar>
              <w:top w:w="-1" w:type="dxa"/>
              <w:left w:w="-1" w:type="dxa"/>
              <w:bottom w:w="-1" w:type="dxa"/>
              <w:right w:w="-1" w:type="dxa"/>
            </w:tcMar>
            <w:vAlign w:val="center"/>
          </w:tcPr>
          <w:p w14:paraId="7012F03E">
            <w:pPr>
              <w:snapToGrid w:val="0"/>
              <w:spacing w:before="60" w:after="60" w:line="240" w:lineRule="auto"/>
              <w:ind w:left="0" w:leftChars="0" w:right="0" w:rightChars="0" w:firstLine="0" w:firstLineChars="0"/>
              <w:jc w:val="center"/>
              <w:rPr>
                <w:rFonts w:ascii="微软雅黑" w:eastAsia="微软雅黑"/>
                <w:b w:val="0"/>
                <w:color w:val="000000"/>
                <w:sz w:val="20"/>
              </w:rPr>
            </w:pPr>
            <w:r>
              <w:rPr>
                <w:rFonts w:ascii="微软雅黑" w:hAnsi="微软雅黑" w:eastAsia="微软雅黑"/>
                <w:b w:val="0"/>
                <w:color w:val="000000"/>
                <w:sz w:val="20"/>
              </w:rPr>
              <w:t>樱桃园区间路入口</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FBB8D8E">
            <w:pPr>
              <w:snapToGrid w:val="0"/>
              <w:spacing w:before="60" w:after="60" w:line="240" w:lineRule="auto"/>
              <w:ind w:left="0" w:leftChars="0" w:right="0" w:rightChars="0" w:firstLine="0" w:firstLineChars="0"/>
              <w:jc w:val="left"/>
              <w:rPr>
                <w:rFonts w:ascii="微软雅黑" w:eastAsia="微软雅黑"/>
                <w:b w:val="0"/>
                <w:color w:val="000000"/>
                <w:sz w:val="20"/>
              </w:rPr>
            </w:pPr>
            <w:r>
              <w:rPr>
                <w:rFonts w:ascii="微软雅黑" w:hAnsi="微软雅黑" w:eastAsia="微软雅黑"/>
                <w:b w:val="0"/>
                <w:color w:val="000000"/>
                <w:sz w:val="20"/>
              </w:rPr>
              <w:t>樱桃主题体验·采摘</w:t>
            </w:r>
          </w:p>
        </w:tc>
        <w:tc>
          <w:tcPr>
            <w:tcW w:w="1136" w:type="dxa"/>
            <w:tcBorders>
              <w:top w:val="nil"/>
              <w:left w:val="nil"/>
              <w:bottom w:val="nil"/>
              <w:right w:val="nil"/>
            </w:tcBorders>
            <w:shd w:val="clear" w:color="auto" w:fill="FFFFFF"/>
            <w:noWrap w:val="0"/>
            <w:tcMar>
              <w:top w:w="-1" w:type="dxa"/>
              <w:left w:w="-1" w:type="dxa"/>
              <w:bottom w:w="-1" w:type="dxa"/>
              <w:right w:w="-1" w:type="dxa"/>
            </w:tcMar>
            <w:vAlign w:val="center"/>
          </w:tcPr>
          <w:p w14:paraId="729BB605">
            <w:pPr>
              <w:snapToGrid w:val="0"/>
              <w:spacing w:before="60" w:after="60" w:line="240" w:lineRule="auto"/>
              <w:ind w:left="0" w:leftChars="0" w:right="0" w:rightChars="0" w:firstLine="0" w:firstLineChars="0"/>
              <w:jc w:val="left"/>
              <w:rPr>
                <w:rFonts w:ascii="微软雅黑" w:eastAsia="微软雅黑"/>
                <w:b w:val="0"/>
                <w:color w:val="000000"/>
                <w:sz w:val="20"/>
              </w:rPr>
            </w:pPr>
            <w:r>
              <w:rPr>
                <w:rFonts w:ascii="微软雅黑" w:hAnsi="微软雅黑" w:eastAsia="微软雅黑"/>
                <w:b w:val="0"/>
                <w:color w:val="000000"/>
                <w:sz w:val="20"/>
              </w:rPr>
              <w:t>ABC</w:t>
            </w:r>
          </w:p>
        </w:tc>
        <w:tc>
          <w:tcPr>
            <w:tcW w:w="2674" w:type="dxa"/>
            <w:tcBorders>
              <w:top w:val="nil"/>
              <w:left w:val="nil"/>
              <w:bottom w:val="nil"/>
              <w:right w:val="nil"/>
            </w:tcBorders>
            <w:shd w:val="clear" w:color="auto" w:fill="FFFFFF"/>
            <w:noWrap w:val="0"/>
            <w:tcMar>
              <w:top w:w="-1" w:type="dxa"/>
              <w:left w:w="-1" w:type="dxa"/>
              <w:bottom w:w="-1" w:type="dxa"/>
              <w:right w:w="-1" w:type="dxa"/>
            </w:tcMar>
            <w:vAlign w:val="center"/>
          </w:tcPr>
          <w:p w14:paraId="2227D9DB">
            <w:pPr>
              <w:snapToGrid w:val="0"/>
              <w:spacing w:before="60" w:after="60" w:line="240" w:lineRule="auto"/>
              <w:ind w:left="0" w:leftChars="0" w:right="0" w:rightChars="0" w:firstLine="0" w:firstLineChars="0"/>
              <w:jc w:val="left"/>
              <w:rPr>
                <w:rFonts w:ascii="微软雅黑" w:eastAsia="微软雅黑"/>
                <w:b w:val="0"/>
                <w:color w:val="000000"/>
                <w:sz w:val="20"/>
              </w:rPr>
            </w:pPr>
            <w:r>
              <w:rPr>
                <w:rFonts w:ascii="微软雅黑" w:hAnsi="微软雅黑" w:eastAsia="微软雅黑"/>
                <w:b w:val="0"/>
                <w:color w:val="000000"/>
                <w:sz w:val="20"/>
              </w:rPr>
              <w:t>IP打卡装置、认养树展示牌、AR体验点、果品展售柜</w:t>
            </w:r>
          </w:p>
        </w:tc>
      </w:tr>
      <w:tr w14:paraId="063F8A6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36" w:type="dxa"/>
            <w:tcBorders>
              <w:top w:val="nil"/>
              <w:left w:val="nil"/>
              <w:bottom w:val="nil"/>
              <w:right w:val="nil"/>
            </w:tcBorders>
            <w:shd w:val="clear" w:color="auto" w:fill="FFFFFF"/>
            <w:noWrap w:val="0"/>
            <w:tcMar>
              <w:top w:w="-1" w:type="dxa"/>
              <w:left w:w="-1" w:type="dxa"/>
              <w:bottom w:w="-1" w:type="dxa"/>
              <w:right w:w="-1" w:type="dxa"/>
            </w:tcMar>
            <w:vAlign w:val="center"/>
          </w:tcPr>
          <w:p w14:paraId="6810F349">
            <w:pPr>
              <w:snapToGrid w:val="0"/>
              <w:spacing w:before="60" w:after="60" w:line="240" w:lineRule="auto"/>
              <w:ind w:left="0" w:leftChars="0" w:right="0" w:rightChars="0" w:firstLine="0" w:firstLineChars="0"/>
              <w:jc w:val="center"/>
              <w:rPr>
                <w:rFonts w:ascii="微软雅黑" w:eastAsia="微软雅黑"/>
                <w:b w:val="0"/>
                <w:color w:val="000000"/>
                <w:sz w:val="20"/>
              </w:rPr>
            </w:pPr>
            <w:r>
              <w:rPr>
                <w:rFonts w:ascii="微软雅黑" w:hAnsi="微软雅黑" w:eastAsia="微软雅黑"/>
                <w:b w:val="0"/>
                <w:color w:val="000000"/>
                <w:sz w:val="20"/>
              </w:rPr>
              <w:t>N3</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CB3054F">
            <w:pPr>
              <w:snapToGrid w:val="0"/>
              <w:spacing w:before="60" w:after="60" w:line="240" w:lineRule="auto"/>
              <w:ind w:left="0" w:leftChars="0" w:right="0" w:rightChars="0" w:firstLine="0" w:firstLineChars="0"/>
              <w:jc w:val="center"/>
              <w:rPr>
                <w:rFonts w:ascii="微软雅黑" w:eastAsia="微软雅黑"/>
                <w:b w:val="0"/>
                <w:color w:val="000000"/>
                <w:sz w:val="20"/>
              </w:rPr>
            </w:pPr>
            <w:r>
              <w:rPr>
                <w:rFonts w:ascii="微软雅黑" w:hAnsi="微软雅黑" w:eastAsia="微软雅黑"/>
                <w:b w:val="0"/>
                <w:color w:val="000000"/>
                <w:sz w:val="20"/>
              </w:rPr>
              <w:t>水源科普站</w:t>
            </w:r>
          </w:p>
        </w:tc>
        <w:tc>
          <w:tcPr>
            <w:tcW w:w="2221" w:type="dxa"/>
            <w:tcBorders>
              <w:top w:val="nil"/>
              <w:left w:val="nil"/>
              <w:bottom w:val="nil"/>
              <w:right w:val="nil"/>
            </w:tcBorders>
            <w:shd w:val="clear" w:color="auto" w:fill="FFFFFF"/>
            <w:noWrap w:val="0"/>
            <w:tcMar>
              <w:top w:w="-1" w:type="dxa"/>
              <w:left w:w="-1" w:type="dxa"/>
              <w:bottom w:w="-1" w:type="dxa"/>
              <w:right w:w="-1" w:type="dxa"/>
            </w:tcMar>
            <w:vAlign w:val="center"/>
          </w:tcPr>
          <w:p w14:paraId="5B2C979A">
            <w:pPr>
              <w:snapToGrid w:val="0"/>
              <w:spacing w:before="60" w:after="60" w:line="240" w:lineRule="auto"/>
              <w:ind w:left="0" w:leftChars="0" w:right="0" w:rightChars="0" w:firstLine="0" w:firstLineChars="0"/>
              <w:jc w:val="center"/>
              <w:rPr>
                <w:rFonts w:ascii="微软雅黑" w:eastAsia="微软雅黑"/>
                <w:b w:val="0"/>
                <w:color w:val="000000"/>
                <w:sz w:val="20"/>
              </w:rPr>
            </w:pPr>
            <w:r>
              <w:rPr>
                <w:rFonts w:hint="eastAsia" w:ascii="微软雅黑" w:hAnsi="微软雅黑" w:eastAsia="微软雅黑"/>
                <w:b w:val="0"/>
                <w:color w:val="000000"/>
                <w:sz w:val="20"/>
                <w:lang w:val="en-US" w:eastAsia="zh-CN"/>
              </w:rPr>
              <w:t>村杨家东庄委会</w:t>
            </w:r>
            <w:r>
              <w:rPr>
                <w:rFonts w:ascii="微软雅黑" w:hAnsi="微软雅黑" w:eastAsia="微软雅黑"/>
                <w:b w:val="0"/>
                <w:color w:val="000000"/>
                <w:sz w:val="20"/>
              </w:rPr>
              <w:t>文化广场南侧</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9B50FE0">
            <w:pPr>
              <w:snapToGrid w:val="0"/>
              <w:spacing w:before="60" w:after="60" w:line="240" w:lineRule="auto"/>
              <w:ind w:left="0" w:leftChars="0" w:right="0" w:rightChars="0" w:firstLine="0" w:firstLineChars="0"/>
              <w:jc w:val="left"/>
              <w:rPr>
                <w:rFonts w:ascii="微软雅黑" w:eastAsia="微软雅黑"/>
                <w:b w:val="0"/>
                <w:color w:val="000000"/>
                <w:sz w:val="20"/>
              </w:rPr>
            </w:pPr>
            <w:r>
              <w:rPr>
                <w:rFonts w:ascii="微软雅黑" w:hAnsi="微软雅黑" w:eastAsia="微软雅黑"/>
                <w:b w:val="0"/>
                <w:color w:val="000000"/>
                <w:sz w:val="20"/>
              </w:rPr>
              <w:t>公益科普·认养接待</w:t>
            </w:r>
          </w:p>
        </w:tc>
        <w:tc>
          <w:tcPr>
            <w:tcW w:w="1136" w:type="dxa"/>
            <w:tcBorders>
              <w:top w:val="nil"/>
              <w:left w:val="nil"/>
              <w:bottom w:val="nil"/>
              <w:right w:val="nil"/>
            </w:tcBorders>
            <w:shd w:val="clear" w:color="auto" w:fill="FFFFFF"/>
            <w:noWrap w:val="0"/>
            <w:tcMar>
              <w:top w:w="-1" w:type="dxa"/>
              <w:left w:w="-1" w:type="dxa"/>
              <w:bottom w:w="-1" w:type="dxa"/>
              <w:right w:w="-1" w:type="dxa"/>
            </w:tcMar>
            <w:vAlign w:val="center"/>
          </w:tcPr>
          <w:p w14:paraId="2AADE53C">
            <w:pPr>
              <w:snapToGrid w:val="0"/>
              <w:spacing w:before="60" w:after="60" w:line="240" w:lineRule="auto"/>
              <w:ind w:left="0" w:leftChars="0" w:right="0" w:rightChars="0" w:firstLine="0" w:firstLineChars="0"/>
              <w:jc w:val="left"/>
              <w:rPr>
                <w:rFonts w:ascii="微软雅黑" w:eastAsia="微软雅黑"/>
                <w:b w:val="0"/>
                <w:color w:val="000000"/>
                <w:sz w:val="20"/>
              </w:rPr>
            </w:pPr>
            <w:r>
              <w:rPr>
                <w:rFonts w:ascii="微软雅黑" w:hAnsi="微软雅黑" w:eastAsia="微软雅黑"/>
                <w:b w:val="0"/>
                <w:color w:val="000000"/>
                <w:sz w:val="20"/>
              </w:rPr>
              <w:t>ABC</w:t>
            </w:r>
          </w:p>
        </w:tc>
        <w:tc>
          <w:tcPr>
            <w:tcW w:w="2674" w:type="dxa"/>
            <w:tcBorders>
              <w:top w:val="nil"/>
              <w:left w:val="nil"/>
              <w:bottom w:val="nil"/>
              <w:right w:val="nil"/>
            </w:tcBorders>
            <w:shd w:val="clear" w:color="auto" w:fill="FFFFFF"/>
            <w:noWrap w:val="0"/>
            <w:tcMar>
              <w:top w:w="-1" w:type="dxa"/>
              <w:left w:w="-1" w:type="dxa"/>
              <w:bottom w:w="-1" w:type="dxa"/>
              <w:right w:w="-1" w:type="dxa"/>
            </w:tcMar>
            <w:vAlign w:val="center"/>
          </w:tcPr>
          <w:p w14:paraId="32D3B055">
            <w:pPr>
              <w:snapToGrid w:val="0"/>
              <w:spacing w:before="60" w:after="60" w:line="240" w:lineRule="auto"/>
              <w:ind w:left="0" w:leftChars="0" w:right="0" w:rightChars="0" w:firstLine="0" w:firstLineChars="0"/>
              <w:jc w:val="left"/>
              <w:rPr>
                <w:rFonts w:ascii="微软雅黑" w:eastAsia="微软雅黑"/>
                <w:b w:val="0"/>
                <w:color w:val="000000"/>
                <w:sz w:val="20"/>
              </w:rPr>
            </w:pPr>
            <w:r>
              <w:rPr>
                <w:rFonts w:ascii="微软雅黑" w:hAnsi="微软雅黑" w:eastAsia="微软雅黑"/>
                <w:b w:val="0"/>
                <w:color w:val="000000"/>
                <w:sz w:val="20"/>
              </w:rPr>
              <w:t>水源保护展板、生态数据看板、认养签到点</w:t>
            </w:r>
          </w:p>
        </w:tc>
      </w:tr>
      <w:tr w14:paraId="2CB4DE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36" w:type="dxa"/>
            <w:tcBorders>
              <w:top w:val="nil"/>
              <w:left w:val="nil"/>
              <w:bottom w:val="nil"/>
              <w:right w:val="nil"/>
            </w:tcBorders>
            <w:shd w:val="clear" w:color="auto" w:fill="FFFFFF"/>
            <w:noWrap w:val="0"/>
            <w:tcMar>
              <w:top w:w="-1" w:type="dxa"/>
              <w:left w:w="-1" w:type="dxa"/>
              <w:bottom w:w="-1" w:type="dxa"/>
              <w:right w:w="-1" w:type="dxa"/>
            </w:tcMar>
            <w:vAlign w:val="center"/>
          </w:tcPr>
          <w:p w14:paraId="06071194">
            <w:pPr>
              <w:snapToGrid w:val="0"/>
              <w:spacing w:before="60" w:after="60" w:line="240" w:lineRule="auto"/>
              <w:ind w:left="0" w:leftChars="0" w:right="0" w:rightChars="0" w:firstLine="0" w:firstLineChars="0"/>
              <w:jc w:val="center"/>
              <w:rPr>
                <w:rFonts w:ascii="微软雅黑" w:eastAsia="微软雅黑"/>
                <w:b w:val="0"/>
                <w:color w:val="000000"/>
                <w:sz w:val="20"/>
              </w:rPr>
            </w:pPr>
            <w:r>
              <w:rPr>
                <w:rFonts w:ascii="微软雅黑" w:hAnsi="微软雅黑" w:eastAsia="微软雅黑"/>
                <w:b w:val="0"/>
                <w:color w:val="000000"/>
                <w:sz w:val="20"/>
              </w:rPr>
              <w:t>N4</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364BC73">
            <w:pPr>
              <w:snapToGrid w:val="0"/>
              <w:spacing w:before="60" w:after="60" w:line="240" w:lineRule="auto"/>
              <w:ind w:left="0" w:leftChars="0" w:right="0" w:rightChars="0" w:firstLine="0" w:firstLineChars="0"/>
              <w:jc w:val="center"/>
              <w:rPr>
                <w:rFonts w:ascii="微软雅黑" w:eastAsia="微软雅黑"/>
                <w:b w:val="0"/>
                <w:color w:val="000000"/>
                <w:sz w:val="20"/>
              </w:rPr>
            </w:pPr>
            <w:r>
              <w:rPr>
                <w:rFonts w:ascii="微软雅黑" w:hAnsi="微软雅黑" w:eastAsia="微软雅黑"/>
                <w:b w:val="0"/>
                <w:color w:val="000000"/>
                <w:sz w:val="20"/>
              </w:rPr>
              <w:t>秦家东庄联动点</w:t>
            </w:r>
          </w:p>
        </w:tc>
        <w:tc>
          <w:tcPr>
            <w:tcW w:w="2221" w:type="dxa"/>
            <w:tcBorders>
              <w:top w:val="nil"/>
              <w:left w:val="nil"/>
              <w:bottom w:val="nil"/>
              <w:right w:val="nil"/>
            </w:tcBorders>
            <w:shd w:val="clear" w:color="auto" w:fill="FFFFFF"/>
            <w:noWrap w:val="0"/>
            <w:tcMar>
              <w:top w:w="-1" w:type="dxa"/>
              <w:left w:w="-1" w:type="dxa"/>
              <w:bottom w:w="-1" w:type="dxa"/>
              <w:right w:w="-1" w:type="dxa"/>
            </w:tcMar>
            <w:vAlign w:val="center"/>
          </w:tcPr>
          <w:p w14:paraId="0398C048">
            <w:pPr>
              <w:snapToGrid w:val="0"/>
              <w:spacing w:before="60" w:after="60" w:line="240" w:lineRule="auto"/>
              <w:ind w:left="0" w:leftChars="0" w:right="0" w:rightChars="0" w:firstLine="0" w:firstLineChars="0"/>
              <w:jc w:val="center"/>
              <w:rPr>
                <w:rFonts w:ascii="微软雅黑" w:eastAsia="微软雅黑"/>
                <w:b w:val="0"/>
                <w:color w:val="000000"/>
                <w:sz w:val="20"/>
              </w:rPr>
            </w:pPr>
            <w:r>
              <w:rPr>
                <w:rFonts w:ascii="微软雅黑" w:hAnsi="微软雅黑" w:eastAsia="微软雅黑"/>
                <w:b w:val="0"/>
                <w:color w:val="000000"/>
                <w:sz w:val="20"/>
              </w:rPr>
              <w:t>东庄路秦家东庄村口</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B7F3A0D">
            <w:pPr>
              <w:snapToGrid w:val="0"/>
              <w:spacing w:before="60" w:after="60" w:line="240" w:lineRule="auto"/>
              <w:ind w:left="0" w:leftChars="0" w:right="0" w:rightChars="0" w:firstLine="0" w:firstLineChars="0"/>
              <w:jc w:val="left"/>
              <w:rPr>
                <w:rFonts w:ascii="微软雅黑" w:eastAsia="微软雅黑"/>
                <w:b w:val="0"/>
                <w:color w:val="000000"/>
                <w:sz w:val="20"/>
              </w:rPr>
            </w:pPr>
            <w:r>
              <w:rPr>
                <w:rFonts w:ascii="微软雅黑" w:hAnsi="微软雅黑" w:eastAsia="微软雅黑"/>
                <w:b w:val="0"/>
                <w:color w:val="000000"/>
                <w:sz w:val="20"/>
              </w:rPr>
              <w:t>联盟互通·积分兑换</w:t>
            </w:r>
          </w:p>
        </w:tc>
        <w:tc>
          <w:tcPr>
            <w:tcW w:w="1136" w:type="dxa"/>
            <w:tcBorders>
              <w:top w:val="nil"/>
              <w:left w:val="nil"/>
              <w:bottom w:val="nil"/>
              <w:right w:val="nil"/>
            </w:tcBorders>
            <w:shd w:val="clear" w:color="auto" w:fill="FFFFFF"/>
            <w:noWrap w:val="0"/>
            <w:tcMar>
              <w:top w:w="-1" w:type="dxa"/>
              <w:left w:w="-1" w:type="dxa"/>
              <w:bottom w:w="-1" w:type="dxa"/>
              <w:right w:w="-1" w:type="dxa"/>
            </w:tcMar>
            <w:vAlign w:val="center"/>
          </w:tcPr>
          <w:p w14:paraId="4F29CABC">
            <w:pPr>
              <w:snapToGrid w:val="0"/>
              <w:spacing w:before="60" w:after="60" w:line="240" w:lineRule="auto"/>
              <w:ind w:left="0" w:leftChars="0" w:right="0" w:rightChars="0" w:firstLine="0" w:firstLineChars="0"/>
              <w:jc w:val="left"/>
              <w:rPr>
                <w:rFonts w:ascii="微软雅黑" w:eastAsia="微软雅黑"/>
                <w:b w:val="0"/>
                <w:color w:val="000000"/>
                <w:sz w:val="20"/>
              </w:rPr>
            </w:pPr>
            <w:r>
              <w:rPr>
                <w:rFonts w:ascii="微软雅黑" w:hAnsi="微软雅黑" w:eastAsia="微软雅黑"/>
                <w:b w:val="0"/>
                <w:color w:val="000000"/>
                <w:sz w:val="20"/>
              </w:rPr>
              <w:t>A</w:t>
            </w:r>
          </w:p>
        </w:tc>
        <w:tc>
          <w:tcPr>
            <w:tcW w:w="2674" w:type="dxa"/>
            <w:tcBorders>
              <w:top w:val="nil"/>
              <w:left w:val="nil"/>
              <w:bottom w:val="nil"/>
              <w:right w:val="nil"/>
            </w:tcBorders>
            <w:shd w:val="clear" w:color="auto" w:fill="FFFFFF"/>
            <w:noWrap w:val="0"/>
            <w:tcMar>
              <w:top w:w="-1" w:type="dxa"/>
              <w:left w:w="-1" w:type="dxa"/>
              <w:bottom w:w="-1" w:type="dxa"/>
              <w:right w:w="-1" w:type="dxa"/>
            </w:tcMar>
            <w:vAlign w:val="center"/>
          </w:tcPr>
          <w:p w14:paraId="3D2CC4E8">
            <w:pPr>
              <w:snapToGrid w:val="0"/>
              <w:spacing w:before="60" w:after="60" w:line="240" w:lineRule="auto"/>
              <w:ind w:left="0" w:leftChars="0" w:right="0" w:rightChars="0" w:firstLine="0" w:firstLineChars="0"/>
              <w:jc w:val="left"/>
              <w:rPr>
                <w:rFonts w:ascii="微软雅黑" w:eastAsia="微软雅黑"/>
                <w:b w:val="0"/>
                <w:color w:val="000000"/>
                <w:sz w:val="20"/>
              </w:rPr>
            </w:pPr>
            <w:r>
              <w:rPr>
                <w:rFonts w:ascii="微软雅黑" w:hAnsi="微软雅黑" w:eastAsia="微软雅黑"/>
                <w:b w:val="0"/>
                <w:color w:val="000000"/>
                <w:sz w:val="20"/>
              </w:rPr>
              <w:t>联盟标识、积分兑换码、农产品展售、休息补给</w:t>
            </w:r>
          </w:p>
        </w:tc>
      </w:tr>
      <w:tr w14:paraId="0FB30B7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36" w:type="dxa"/>
            <w:tcBorders>
              <w:top w:val="nil"/>
              <w:left w:val="nil"/>
              <w:bottom w:val="nil"/>
              <w:right w:val="nil"/>
            </w:tcBorders>
            <w:shd w:val="clear" w:color="auto" w:fill="FFFFFF"/>
            <w:noWrap w:val="0"/>
            <w:tcMar>
              <w:top w:w="-1" w:type="dxa"/>
              <w:left w:w="-1" w:type="dxa"/>
              <w:bottom w:w="-1" w:type="dxa"/>
              <w:right w:w="-1" w:type="dxa"/>
            </w:tcMar>
            <w:vAlign w:val="center"/>
          </w:tcPr>
          <w:p w14:paraId="4C532AB5">
            <w:pPr>
              <w:snapToGrid w:val="0"/>
              <w:spacing w:before="60" w:after="60" w:line="240" w:lineRule="auto"/>
              <w:ind w:left="0" w:leftChars="0" w:right="0" w:rightChars="0" w:firstLine="0" w:firstLineChars="0"/>
              <w:jc w:val="center"/>
              <w:rPr>
                <w:rFonts w:hint="eastAsia" w:ascii="微软雅黑" w:eastAsia="微软雅黑"/>
                <w:b w:val="0"/>
                <w:color w:val="000000"/>
                <w:sz w:val="20"/>
                <w:lang w:val="en-US" w:eastAsia="zh-CN"/>
              </w:rPr>
            </w:pPr>
            <w:r>
              <w:rPr>
                <w:rFonts w:ascii="微软雅黑" w:hAnsi="微软雅黑" w:eastAsia="微软雅黑"/>
                <w:b w:val="0"/>
                <w:color w:val="000000"/>
                <w:sz w:val="20"/>
              </w:rPr>
              <w:t>N</w:t>
            </w:r>
            <w:r>
              <w:rPr>
                <w:rFonts w:hint="eastAsia" w:ascii="微软雅黑" w:hAnsi="微软雅黑" w:eastAsia="微软雅黑"/>
                <w:b w:val="0"/>
                <w:color w:val="000000"/>
                <w:sz w:val="20"/>
                <w:lang w:val="en-US" w:eastAsia="zh-CN"/>
              </w:rPr>
              <w:t>5</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51ACC7B">
            <w:pPr>
              <w:snapToGrid w:val="0"/>
              <w:spacing w:before="60" w:after="60" w:line="240" w:lineRule="auto"/>
              <w:ind w:left="0" w:leftChars="0" w:right="0" w:rightChars="0" w:firstLine="0" w:firstLineChars="0"/>
              <w:jc w:val="center"/>
              <w:rPr>
                <w:rFonts w:ascii="微软雅黑" w:eastAsia="微软雅黑"/>
                <w:b w:val="0"/>
                <w:color w:val="000000"/>
                <w:sz w:val="20"/>
              </w:rPr>
            </w:pPr>
            <w:r>
              <w:rPr>
                <w:rFonts w:ascii="微软雅黑" w:hAnsi="微软雅黑" w:eastAsia="微软雅黑"/>
                <w:b w:val="0"/>
                <w:color w:val="000000"/>
                <w:sz w:val="20"/>
              </w:rPr>
              <w:t>铠甲</w:t>
            </w:r>
            <w:r>
              <w:rPr>
                <w:rFonts w:hint="eastAsia" w:ascii="微软雅黑" w:hAnsi="微软雅黑" w:eastAsia="微软雅黑"/>
                <w:b w:val="0"/>
                <w:color w:val="000000"/>
                <w:sz w:val="20"/>
                <w:lang w:val="en-US" w:eastAsia="zh-CN"/>
              </w:rPr>
              <w:t>庄村</w:t>
            </w:r>
            <w:r>
              <w:rPr>
                <w:rFonts w:ascii="微软雅黑" w:hAnsi="微软雅黑" w:eastAsia="微软雅黑"/>
                <w:b w:val="0"/>
                <w:color w:val="000000"/>
                <w:sz w:val="20"/>
              </w:rPr>
              <w:t>联动点</w:t>
            </w:r>
          </w:p>
        </w:tc>
        <w:tc>
          <w:tcPr>
            <w:tcW w:w="2221" w:type="dxa"/>
            <w:tcBorders>
              <w:top w:val="nil"/>
              <w:left w:val="nil"/>
              <w:bottom w:val="nil"/>
              <w:right w:val="nil"/>
            </w:tcBorders>
            <w:shd w:val="clear" w:color="auto" w:fill="FFFFFF"/>
            <w:noWrap w:val="0"/>
            <w:tcMar>
              <w:top w:w="-1" w:type="dxa"/>
              <w:left w:w="-1" w:type="dxa"/>
              <w:bottom w:w="-1" w:type="dxa"/>
              <w:right w:w="-1" w:type="dxa"/>
            </w:tcMar>
            <w:vAlign w:val="center"/>
          </w:tcPr>
          <w:p w14:paraId="3F027B27">
            <w:pPr>
              <w:snapToGrid w:val="0"/>
              <w:spacing w:before="60" w:after="60" w:line="240" w:lineRule="auto"/>
              <w:ind w:left="0" w:leftChars="0" w:right="0" w:rightChars="0" w:firstLine="0" w:firstLineChars="0"/>
              <w:jc w:val="center"/>
              <w:rPr>
                <w:rFonts w:hint="default" w:ascii="微软雅黑" w:eastAsia="微软雅黑"/>
                <w:b w:val="0"/>
                <w:color w:val="000000"/>
                <w:sz w:val="20"/>
                <w:lang w:val="en-US" w:eastAsia="zh-CN"/>
              </w:rPr>
            </w:pPr>
            <w:r>
              <w:rPr>
                <w:rFonts w:ascii="微软雅黑" w:hAnsi="微软雅黑" w:eastAsia="微软雅黑"/>
                <w:b w:val="0"/>
                <w:color w:val="000000"/>
                <w:sz w:val="20"/>
              </w:rPr>
              <w:t>铠甲村</w:t>
            </w:r>
            <w:r>
              <w:rPr>
                <w:rFonts w:hint="eastAsia" w:ascii="微软雅黑" w:hAnsi="微软雅黑" w:eastAsia="微软雅黑"/>
                <w:b w:val="0"/>
                <w:color w:val="000000"/>
                <w:sz w:val="20"/>
                <w:lang w:val="en-US" w:eastAsia="zh-CN"/>
              </w:rPr>
              <w:t>村委会附近</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0F23ED0">
            <w:pPr>
              <w:snapToGrid w:val="0"/>
              <w:spacing w:before="60" w:after="60" w:line="240" w:lineRule="auto"/>
              <w:ind w:left="0" w:leftChars="0" w:right="0" w:rightChars="0" w:firstLine="0" w:firstLineChars="0"/>
              <w:jc w:val="left"/>
              <w:rPr>
                <w:rFonts w:ascii="微软雅黑" w:eastAsia="微软雅黑"/>
                <w:b w:val="0"/>
                <w:color w:val="000000"/>
                <w:sz w:val="20"/>
              </w:rPr>
            </w:pPr>
            <w:r>
              <w:rPr>
                <w:rFonts w:ascii="微软雅黑" w:hAnsi="微软雅黑" w:eastAsia="微软雅黑"/>
                <w:b w:val="0"/>
                <w:color w:val="000000"/>
                <w:sz w:val="20"/>
              </w:rPr>
              <w:t>联盟补给·非遗体验</w:t>
            </w:r>
          </w:p>
        </w:tc>
        <w:tc>
          <w:tcPr>
            <w:tcW w:w="1136" w:type="dxa"/>
            <w:tcBorders>
              <w:top w:val="nil"/>
              <w:left w:val="nil"/>
              <w:bottom w:val="nil"/>
              <w:right w:val="nil"/>
            </w:tcBorders>
            <w:shd w:val="clear" w:color="auto" w:fill="FFFFFF"/>
            <w:noWrap w:val="0"/>
            <w:tcMar>
              <w:top w:w="-1" w:type="dxa"/>
              <w:left w:w="-1" w:type="dxa"/>
              <w:bottom w:w="-1" w:type="dxa"/>
              <w:right w:w="-1" w:type="dxa"/>
            </w:tcMar>
            <w:vAlign w:val="center"/>
          </w:tcPr>
          <w:p w14:paraId="161B45F9">
            <w:pPr>
              <w:snapToGrid w:val="0"/>
              <w:spacing w:before="60" w:after="60" w:line="240" w:lineRule="auto"/>
              <w:ind w:left="0" w:leftChars="0" w:right="0" w:rightChars="0" w:firstLine="0" w:firstLineChars="0"/>
              <w:jc w:val="left"/>
              <w:rPr>
                <w:rFonts w:ascii="微软雅黑" w:eastAsia="微软雅黑"/>
                <w:b w:val="0"/>
                <w:color w:val="000000"/>
                <w:sz w:val="20"/>
              </w:rPr>
            </w:pPr>
            <w:r>
              <w:rPr>
                <w:rFonts w:ascii="微软雅黑" w:hAnsi="微软雅黑" w:eastAsia="微软雅黑"/>
                <w:b w:val="0"/>
                <w:color w:val="000000"/>
                <w:sz w:val="20"/>
              </w:rPr>
              <w:t>BC</w:t>
            </w:r>
          </w:p>
        </w:tc>
        <w:tc>
          <w:tcPr>
            <w:tcW w:w="2674" w:type="dxa"/>
            <w:tcBorders>
              <w:top w:val="nil"/>
              <w:left w:val="nil"/>
              <w:bottom w:val="nil"/>
              <w:right w:val="nil"/>
            </w:tcBorders>
            <w:shd w:val="clear" w:color="auto" w:fill="FFFFFF"/>
            <w:noWrap w:val="0"/>
            <w:tcMar>
              <w:top w:w="-1" w:type="dxa"/>
              <w:left w:w="-1" w:type="dxa"/>
              <w:bottom w:w="-1" w:type="dxa"/>
              <w:right w:w="-1" w:type="dxa"/>
            </w:tcMar>
            <w:vAlign w:val="center"/>
          </w:tcPr>
          <w:p w14:paraId="547161D1">
            <w:pPr>
              <w:snapToGrid w:val="0"/>
              <w:spacing w:before="60" w:after="60" w:line="240" w:lineRule="auto"/>
              <w:ind w:left="0" w:leftChars="0" w:right="0" w:rightChars="0" w:firstLine="0" w:firstLineChars="0"/>
              <w:jc w:val="left"/>
              <w:rPr>
                <w:rFonts w:ascii="微软雅黑" w:eastAsia="微软雅黑"/>
                <w:b w:val="0"/>
                <w:color w:val="000000"/>
                <w:sz w:val="20"/>
              </w:rPr>
            </w:pPr>
            <w:r>
              <w:rPr>
                <w:rFonts w:ascii="微软雅黑" w:hAnsi="微软雅黑" w:eastAsia="微软雅黑"/>
                <w:b w:val="0"/>
                <w:color w:val="000000"/>
                <w:sz w:val="20"/>
              </w:rPr>
              <w:t>补给站（餐饮/休息）、非遗葫芦体验预约、积分互通</w:t>
            </w:r>
          </w:p>
        </w:tc>
      </w:tr>
      <w:tr w14:paraId="1E025A2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36" w:type="dxa"/>
            <w:tcBorders>
              <w:top w:val="nil"/>
              <w:left w:val="nil"/>
              <w:bottom w:val="nil"/>
              <w:right w:val="nil"/>
            </w:tcBorders>
            <w:shd w:val="clear" w:color="auto" w:fill="FFFFFF"/>
            <w:noWrap w:val="0"/>
            <w:tcMar>
              <w:top w:w="-1" w:type="dxa"/>
              <w:left w:w="-1" w:type="dxa"/>
              <w:bottom w:w="-1" w:type="dxa"/>
              <w:right w:w="-1" w:type="dxa"/>
            </w:tcMar>
            <w:vAlign w:val="center"/>
          </w:tcPr>
          <w:p w14:paraId="57BCF86D">
            <w:pPr>
              <w:snapToGrid w:val="0"/>
              <w:spacing w:before="60" w:after="60" w:line="240" w:lineRule="auto"/>
              <w:ind w:left="0" w:leftChars="0" w:right="0" w:rightChars="0" w:firstLine="0" w:firstLineChars="0"/>
              <w:jc w:val="center"/>
              <w:rPr>
                <w:rFonts w:hint="eastAsia" w:ascii="微软雅黑" w:eastAsia="微软雅黑"/>
                <w:b w:val="0"/>
                <w:color w:val="000000"/>
                <w:sz w:val="20"/>
                <w:lang w:val="en-US" w:eastAsia="zh-CN"/>
              </w:rPr>
            </w:pPr>
            <w:r>
              <w:rPr>
                <w:rFonts w:ascii="微软雅黑" w:hAnsi="微软雅黑" w:eastAsia="微软雅黑"/>
                <w:b w:val="0"/>
                <w:color w:val="000000"/>
                <w:sz w:val="20"/>
              </w:rPr>
              <w:t>N</w:t>
            </w:r>
            <w:r>
              <w:rPr>
                <w:rFonts w:hint="eastAsia" w:ascii="微软雅黑" w:hAnsi="微软雅黑" w:eastAsia="微软雅黑"/>
                <w:b w:val="0"/>
                <w:color w:val="000000"/>
                <w:sz w:val="20"/>
                <w:lang w:val="en-US" w:eastAsia="zh-CN"/>
              </w:rPr>
              <w:t>6</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C254AA8">
            <w:pPr>
              <w:snapToGrid w:val="0"/>
              <w:spacing w:before="60" w:after="60" w:line="240" w:lineRule="auto"/>
              <w:ind w:left="0" w:leftChars="0" w:right="0" w:rightChars="0" w:firstLine="0" w:firstLineChars="0"/>
              <w:jc w:val="center"/>
              <w:rPr>
                <w:rFonts w:ascii="微软雅黑" w:eastAsia="微软雅黑"/>
                <w:b w:val="0"/>
                <w:color w:val="000000"/>
                <w:sz w:val="20"/>
              </w:rPr>
            </w:pPr>
            <w:r>
              <w:rPr>
                <w:rFonts w:ascii="微软雅黑" w:hAnsi="微软雅黑" w:eastAsia="微软雅黑"/>
                <w:b w:val="0"/>
                <w:color w:val="000000"/>
                <w:sz w:val="20"/>
              </w:rPr>
              <w:t>文化终点站</w:t>
            </w:r>
          </w:p>
        </w:tc>
        <w:tc>
          <w:tcPr>
            <w:tcW w:w="2221" w:type="dxa"/>
            <w:tcBorders>
              <w:top w:val="nil"/>
              <w:left w:val="nil"/>
              <w:bottom w:val="nil"/>
              <w:right w:val="nil"/>
            </w:tcBorders>
            <w:shd w:val="clear" w:color="auto" w:fill="FFFFFF"/>
            <w:noWrap w:val="0"/>
            <w:tcMar>
              <w:top w:w="-1" w:type="dxa"/>
              <w:left w:w="-1" w:type="dxa"/>
              <w:bottom w:w="-1" w:type="dxa"/>
              <w:right w:w="-1" w:type="dxa"/>
            </w:tcMar>
            <w:vAlign w:val="center"/>
          </w:tcPr>
          <w:p w14:paraId="00DEDCB2">
            <w:pPr>
              <w:snapToGrid w:val="0"/>
              <w:spacing w:before="60" w:after="60" w:line="240" w:lineRule="auto"/>
              <w:ind w:left="0" w:leftChars="0" w:right="0" w:rightChars="0" w:firstLine="0" w:firstLineChars="0"/>
              <w:jc w:val="center"/>
              <w:rPr>
                <w:rFonts w:ascii="微软雅黑" w:eastAsia="微软雅黑"/>
                <w:b w:val="0"/>
                <w:color w:val="000000"/>
                <w:sz w:val="20"/>
              </w:rPr>
            </w:pPr>
            <w:r>
              <w:rPr>
                <w:rFonts w:ascii="微软雅黑" w:hAnsi="微软雅黑" w:eastAsia="微软雅黑"/>
                <w:b w:val="0"/>
                <w:color w:val="000000"/>
                <w:sz w:val="20"/>
              </w:rPr>
              <w:t>文化广场/村委会区域</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862A4A6">
            <w:pPr>
              <w:snapToGrid w:val="0"/>
              <w:spacing w:before="60" w:after="60" w:line="240" w:lineRule="auto"/>
              <w:ind w:left="0" w:leftChars="0" w:right="0" w:rightChars="0" w:firstLine="0" w:firstLineChars="0"/>
              <w:jc w:val="left"/>
              <w:rPr>
                <w:rFonts w:ascii="微软雅黑" w:eastAsia="微软雅黑"/>
                <w:b w:val="0"/>
                <w:color w:val="000000"/>
                <w:sz w:val="20"/>
              </w:rPr>
            </w:pPr>
            <w:r>
              <w:rPr>
                <w:rFonts w:ascii="微软雅黑" w:hAnsi="微软雅黑" w:eastAsia="微软雅黑"/>
                <w:b w:val="0"/>
                <w:color w:val="000000"/>
                <w:sz w:val="20"/>
              </w:rPr>
              <w:t>终点·荣誉认证</w:t>
            </w:r>
          </w:p>
        </w:tc>
        <w:tc>
          <w:tcPr>
            <w:tcW w:w="1136" w:type="dxa"/>
            <w:tcBorders>
              <w:top w:val="nil"/>
              <w:left w:val="nil"/>
              <w:bottom w:val="nil"/>
              <w:right w:val="nil"/>
            </w:tcBorders>
            <w:shd w:val="clear" w:color="auto" w:fill="FFFFFF"/>
            <w:noWrap w:val="0"/>
            <w:tcMar>
              <w:top w:w="-1" w:type="dxa"/>
              <w:left w:w="-1" w:type="dxa"/>
              <w:bottom w:w="-1" w:type="dxa"/>
              <w:right w:w="-1" w:type="dxa"/>
            </w:tcMar>
            <w:vAlign w:val="center"/>
          </w:tcPr>
          <w:p w14:paraId="3F3EDAF0">
            <w:pPr>
              <w:snapToGrid w:val="0"/>
              <w:spacing w:before="60" w:after="60" w:line="240" w:lineRule="auto"/>
              <w:ind w:left="0" w:leftChars="0" w:right="0" w:rightChars="0" w:firstLine="0" w:firstLineChars="0"/>
              <w:jc w:val="left"/>
              <w:rPr>
                <w:rFonts w:ascii="微软雅黑" w:eastAsia="微软雅黑"/>
                <w:b w:val="0"/>
                <w:color w:val="000000"/>
                <w:sz w:val="20"/>
              </w:rPr>
            </w:pPr>
            <w:r>
              <w:rPr>
                <w:rFonts w:ascii="微软雅黑" w:hAnsi="微软雅黑" w:eastAsia="微软雅黑"/>
                <w:b w:val="0"/>
                <w:color w:val="000000"/>
                <w:sz w:val="20"/>
              </w:rPr>
              <w:t>ABC</w:t>
            </w:r>
          </w:p>
        </w:tc>
        <w:tc>
          <w:tcPr>
            <w:tcW w:w="2674" w:type="dxa"/>
            <w:tcBorders>
              <w:top w:val="nil"/>
              <w:left w:val="nil"/>
              <w:bottom w:val="nil"/>
              <w:right w:val="nil"/>
            </w:tcBorders>
            <w:shd w:val="clear" w:color="auto" w:fill="FFFFFF"/>
            <w:noWrap w:val="0"/>
            <w:tcMar>
              <w:top w:w="-1" w:type="dxa"/>
              <w:left w:w="-1" w:type="dxa"/>
              <w:bottom w:w="-1" w:type="dxa"/>
              <w:right w:w="-1" w:type="dxa"/>
            </w:tcMar>
            <w:vAlign w:val="center"/>
          </w:tcPr>
          <w:p w14:paraId="2FA293D5">
            <w:pPr>
              <w:snapToGrid w:val="0"/>
              <w:spacing w:before="60" w:after="60" w:line="240" w:lineRule="auto"/>
              <w:ind w:left="0" w:leftChars="0" w:right="0" w:rightChars="0" w:firstLine="0" w:firstLineChars="0"/>
              <w:jc w:val="left"/>
              <w:rPr>
                <w:rFonts w:ascii="微软雅黑" w:eastAsia="微软雅黑"/>
                <w:b w:val="0"/>
                <w:color w:val="000000"/>
                <w:sz w:val="20"/>
              </w:rPr>
            </w:pPr>
            <w:r>
              <w:rPr>
                <w:rFonts w:ascii="微软雅黑" w:hAnsi="微软雅黑" w:eastAsia="微软雅黑"/>
                <w:b w:val="0"/>
                <w:color w:val="000000"/>
                <w:sz w:val="20"/>
              </w:rPr>
              <w:t>完赛认证、纪念品兑换、文创展售、会员注册</w:t>
            </w:r>
          </w:p>
        </w:tc>
      </w:tr>
      <w:tr w14:paraId="4E615A7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36" w:type="dxa"/>
            <w:tcBorders>
              <w:top w:val="nil"/>
              <w:left w:val="nil"/>
              <w:bottom w:val="nil"/>
              <w:right w:val="nil"/>
            </w:tcBorders>
            <w:shd w:val="clear" w:color="auto" w:fill="FFFFFF"/>
            <w:noWrap w:val="0"/>
            <w:tcMar>
              <w:top w:w="-1" w:type="dxa"/>
              <w:left w:w="-1" w:type="dxa"/>
              <w:bottom w:w="-1" w:type="dxa"/>
              <w:right w:w="-1" w:type="dxa"/>
            </w:tcMar>
            <w:vAlign w:val="center"/>
          </w:tcPr>
          <w:p w14:paraId="2DACF946">
            <w:pPr>
              <w:snapToGrid w:val="0"/>
              <w:spacing w:before="60" w:after="60" w:line="240" w:lineRule="auto"/>
              <w:ind w:left="0" w:leftChars="0" w:right="0" w:rightChars="0" w:firstLine="0" w:firstLineChars="0"/>
              <w:jc w:val="center"/>
              <w:rPr>
                <w:rFonts w:hint="eastAsia" w:ascii="微软雅黑" w:eastAsia="微软雅黑"/>
                <w:b w:val="0"/>
                <w:color w:val="000000"/>
                <w:sz w:val="20"/>
                <w:lang w:val="en-US" w:eastAsia="zh-CN"/>
              </w:rPr>
            </w:pPr>
            <w:r>
              <w:rPr>
                <w:rFonts w:ascii="微软雅黑" w:hAnsi="微软雅黑" w:eastAsia="微软雅黑"/>
                <w:b w:val="0"/>
                <w:color w:val="000000"/>
                <w:sz w:val="20"/>
              </w:rPr>
              <w:t>N</w:t>
            </w:r>
            <w:r>
              <w:rPr>
                <w:rFonts w:hint="eastAsia" w:ascii="微软雅黑" w:hAnsi="微软雅黑" w:eastAsia="微软雅黑"/>
                <w:b w:val="0"/>
                <w:color w:val="000000"/>
                <w:sz w:val="20"/>
                <w:lang w:val="en-US" w:eastAsia="zh-CN"/>
              </w:rPr>
              <w:t>7</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0688F35">
            <w:pPr>
              <w:snapToGrid w:val="0"/>
              <w:spacing w:before="60" w:after="60" w:line="240" w:lineRule="auto"/>
              <w:ind w:left="0" w:leftChars="0" w:right="0" w:rightChars="0" w:firstLine="0" w:firstLineChars="0"/>
              <w:jc w:val="center"/>
              <w:rPr>
                <w:rFonts w:ascii="微软雅黑" w:eastAsia="微软雅黑"/>
                <w:b w:val="0"/>
                <w:color w:val="000000"/>
                <w:sz w:val="20"/>
              </w:rPr>
            </w:pPr>
            <w:r>
              <w:rPr>
                <w:rFonts w:ascii="微软雅黑" w:hAnsi="微软雅黑" w:eastAsia="微软雅黑"/>
                <w:b w:val="0"/>
                <w:color w:val="000000"/>
                <w:sz w:val="20"/>
              </w:rPr>
              <w:t>北山观景台</w:t>
            </w:r>
          </w:p>
        </w:tc>
        <w:tc>
          <w:tcPr>
            <w:tcW w:w="2221" w:type="dxa"/>
            <w:tcBorders>
              <w:top w:val="nil"/>
              <w:left w:val="nil"/>
              <w:bottom w:val="nil"/>
              <w:right w:val="nil"/>
            </w:tcBorders>
            <w:shd w:val="clear" w:color="auto" w:fill="FFFFFF"/>
            <w:noWrap w:val="0"/>
            <w:tcMar>
              <w:top w:w="-1" w:type="dxa"/>
              <w:left w:w="-1" w:type="dxa"/>
              <w:bottom w:w="-1" w:type="dxa"/>
              <w:right w:w="-1" w:type="dxa"/>
            </w:tcMar>
            <w:vAlign w:val="center"/>
          </w:tcPr>
          <w:p w14:paraId="654458D0">
            <w:pPr>
              <w:snapToGrid w:val="0"/>
              <w:spacing w:before="60" w:after="60" w:line="240" w:lineRule="auto"/>
              <w:ind w:left="0" w:leftChars="0" w:right="0" w:rightChars="0" w:firstLine="0" w:firstLineChars="0"/>
              <w:jc w:val="center"/>
              <w:rPr>
                <w:rFonts w:ascii="微软雅黑" w:eastAsia="微软雅黑"/>
                <w:b w:val="0"/>
                <w:color w:val="000000"/>
                <w:sz w:val="20"/>
              </w:rPr>
            </w:pPr>
            <w:r>
              <w:rPr>
                <w:rFonts w:ascii="微软雅黑" w:hAnsi="微软雅黑" w:eastAsia="微软雅黑"/>
                <w:b w:val="0"/>
                <w:color w:val="000000"/>
                <w:sz w:val="20"/>
              </w:rPr>
              <w:t>北部山脊开阔处（海拔200-250m）</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DB3757A">
            <w:pPr>
              <w:snapToGrid w:val="0"/>
              <w:spacing w:before="60" w:after="60" w:line="240" w:lineRule="auto"/>
              <w:ind w:left="0" w:leftChars="0" w:right="0" w:rightChars="0" w:firstLine="0" w:firstLineChars="0"/>
              <w:jc w:val="left"/>
              <w:rPr>
                <w:rFonts w:ascii="微软雅黑" w:eastAsia="微软雅黑"/>
                <w:b w:val="0"/>
                <w:color w:val="000000"/>
                <w:sz w:val="20"/>
              </w:rPr>
            </w:pPr>
            <w:r>
              <w:rPr>
                <w:rFonts w:ascii="微软雅黑" w:hAnsi="微软雅黑" w:eastAsia="微软雅黑"/>
                <w:b w:val="0"/>
                <w:color w:val="000000"/>
                <w:sz w:val="20"/>
              </w:rPr>
              <w:t>360度全景</w:t>
            </w:r>
          </w:p>
        </w:tc>
        <w:tc>
          <w:tcPr>
            <w:tcW w:w="1136" w:type="dxa"/>
            <w:tcBorders>
              <w:top w:val="nil"/>
              <w:left w:val="nil"/>
              <w:bottom w:val="nil"/>
              <w:right w:val="nil"/>
            </w:tcBorders>
            <w:shd w:val="clear" w:color="auto" w:fill="FFFFFF"/>
            <w:noWrap w:val="0"/>
            <w:tcMar>
              <w:top w:w="-1" w:type="dxa"/>
              <w:left w:w="-1" w:type="dxa"/>
              <w:bottom w:w="-1" w:type="dxa"/>
              <w:right w:w="-1" w:type="dxa"/>
            </w:tcMar>
            <w:vAlign w:val="center"/>
          </w:tcPr>
          <w:p w14:paraId="3EF91286">
            <w:pPr>
              <w:snapToGrid w:val="0"/>
              <w:spacing w:before="60" w:after="60" w:line="240" w:lineRule="auto"/>
              <w:ind w:left="0" w:leftChars="0" w:right="0" w:rightChars="0" w:firstLine="0" w:firstLineChars="0"/>
              <w:jc w:val="left"/>
              <w:rPr>
                <w:rFonts w:ascii="微软雅黑" w:eastAsia="微软雅黑"/>
                <w:b w:val="0"/>
                <w:color w:val="000000"/>
                <w:sz w:val="20"/>
              </w:rPr>
            </w:pPr>
            <w:r>
              <w:rPr>
                <w:rFonts w:ascii="微软雅黑" w:hAnsi="微软雅黑" w:eastAsia="微软雅黑"/>
                <w:b w:val="0"/>
                <w:color w:val="000000"/>
                <w:sz w:val="20"/>
              </w:rPr>
              <w:t>C</w:t>
            </w:r>
          </w:p>
        </w:tc>
        <w:tc>
          <w:tcPr>
            <w:tcW w:w="2674" w:type="dxa"/>
            <w:tcBorders>
              <w:top w:val="nil"/>
              <w:left w:val="nil"/>
              <w:bottom w:val="nil"/>
              <w:right w:val="nil"/>
            </w:tcBorders>
            <w:shd w:val="clear" w:color="auto" w:fill="FFFFFF"/>
            <w:noWrap w:val="0"/>
            <w:tcMar>
              <w:top w:w="-1" w:type="dxa"/>
              <w:left w:w="-1" w:type="dxa"/>
              <w:bottom w:w="-1" w:type="dxa"/>
              <w:right w:w="-1" w:type="dxa"/>
            </w:tcMar>
            <w:vAlign w:val="center"/>
          </w:tcPr>
          <w:p w14:paraId="49F4E060">
            <w:pPr>
              <w:snapToGrid w:val="0"/>
              <w:spacing w:before="60" w:after="60" w:line="240" w:lineRule="auto"/>
              <w:ind w:left="0" w:leftChars="0" w:right="0" w:rightChars="0" w:firstLine="0" w:firstLineChars="0"/>
              <w:jc w:val="left"/>
              <w:rPr>
                <w:rFonts w:ascii="微软雅黑" w:eastAsia="微软雅黑"/>
                <w:b w:val="0"/>
                <w:color w:val="000000"/>
                <w:sz w:val="20"/>
              </w:rPr>
            </w:pPr>
            <w:r>
              <w:rPr>
                <w:rFonts w:ascii="微软雅黑" w:hAnsi="微软雅黑" w:eastAsia="微软雅黑"/>
                <w:b w:val="0"/>
                <w:color w:val="000000"/>
                <w:sz w:val="20"/>
              </w:rPr>
              <w:t>观景标识、海拔标牌、打卡装置</w:t>
            </w:r>
          </w:p>
        </w:tc>
      </w:tr>
      <w:tr w14:paraId="15B78C8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36"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580CBDF3">
            <w:pPr>
              <w:snapToGrid w:val="0"/>
              <w:spacing w:before="60" w:after="60" w:line="240" w:lineRule="auto"/>
              <w:ind w:left="0" w:leftChars="0" w:right="0" w:rightChars="0" w:firstLine="0" w:firstLineChars="0"/>
              <w:jc w:val="center"/>
              <w:rPr>
                <w:rFonts w:hint="eastAsia" w:ascii="微软雅黑" w:hAnsi="微软雅黑" w:eastAsia="微软雅黑"/>
                <w:b w:val="0"/>
                <w:color w:val="000000"/>
                <w:sz w:val="20"/>
                <w:lang w:eastAsia="zh-CN"/>
              </w:rPr>
            </w:pPr>
            <w:r>
              <w:rPr>
                <w:rFonts w:ascii="微软雅黑" w:hAnsi="微软雅黑" w:eastAsia="微软雅黑"/>
                <w:b w:val="0"/>
                <w:color w:val="000000"/>
                <w:sz w:val="20"/>
              </w:rPr>
              <w:t>N</w:t>
            </w:r>
            <w:r>
              <w:rPr>
                <w:rFonts w:hint="eastAsia" w:ascii="微软雅黑" w:hAnsi="微软雅黑" w:eastAsia="微软雅黑"/>
                <w:b w:val="0"/>
                <w:color w:val="000000"/>
                <w:sz w:val="20"/>
                <w:lang w:val="en-US" w:eastAsia="zh-CN"/>
              </w:rPr>
              <w:t>8</w:t>
            </w:r>
          </w:p>
        </w:tc>
        <w:tc>
          <w:tcPr>
            <w:tcW w:w="1656"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1FD748D4">
            <w:pPr>
              <w:snapToGrid w:val="0"/>
              <w:spacing w:before="60" w:after="60" w:line="240" w:lineRule="auto"/>
              <w:ind w:left="0" w:leftChars="0" w:right="0" w:rightChars="0" w:firstLine="0" w:firstLineChars="0"/>
              <w:jc w:val="center"/>
              <w:rPr>
                <w:rFonts w:ascii="微软雅黑" w:hAnsi="微软雅黑" w:eastAsia="微软雅黑"/>
                <w:b w:val="0"/>
                <w:color w:val="000000"/>
                <w:sz w:val="20"/>
              </w:rPr>
            </w:pPr>
            <w:r>
              <w:rPr>
                <w:rFonts w:ascii="微软雅黑" w:hAnsi="微软雅黑" w:eastAsia="微软雅黑"/>
                <w:b w:val="0"/>
                <w:color w:val="000000"/>
                <w:sz w:val="20"/>
              </w:rPr>
              <w:t>铠甲</w:t>
            </w:r>
            <w:r>
              <w:rPr>
                <w:rFonts w:hint="eastAsia" w:ascii="微软雅黑" w:hAnsi="微软雅黑" w:eastAsia="微软雅黑"/>
                <w:b w:val="0"/>
                <w:color w:val="000000"/>
                <w:sz w:val="20"/>
                <w:lang w:val="en-US" w:eastAsia="zh-CN"/>
              </w:rPr>
              <w:t>庄村</w:t>
            </w:r>
            <w:r>
              <w:rPr>
                <w:rFonts w:ascii="微软雅黑" w:hAnsi="微软雅黑" w:eastAsia="微软雅黑"/>
                <w:b w:val="0"/>
                <w:color w:val="000000"/>
                <w:sz w:val="20"/>
              </w:rPr>
              <w:t>北入口</w:t>
            </w:r>
          </w:p>
        </w:tc>
        <w:tc>
          <w:tcPr>
            <w:tcW w:w="2221"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796D08CA">
            <w:pPr>
              <w:snapToGrid w:val="0"/>
              <w:spacing w:before="60" w:after="60" w:line="240" w:lineRule="auto"/>
              <w:ind w:left="0" w:leftChars="0" w:right="0" w:rightChars="0" w:firstLine="0" w:firstLineChars="0"/>
              <w:jc w:val="center"/>
              <w:rPr>
                <w:rFonts w:ascii="微软雅黑" w:hAnsi="微软雅黑" w:eastAsia="微软雅黑"/>
                <w:b w:val="0"/>
                <w:color w:val="000000"/>
                <w:sz w:val="20"/>
              </w:rPr>
            </w:pPr>
            <w:r>
              <w:rPr>
                <w:rFonts w:ascii="微软雅黑" w:hAnsi="微软雅黑" w:eastAsia="微软雅黑"/>
                <w:b w:val="0"/>
                <w:color w:val="000000"/>
                <w:sz w:val="20"/>
              </w:rPr>
              <w:t>铠甲村北侧入口</w:t>
            </w:r>
          </w:p>
        </w:tc>
        <w:tc>
          <w:tcPr>
            <w:tcW w:w="1195"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34DEBF37">
            <w:pPr>
              <w:snapToGrid w:val="0"/>
              <w:spacing w:before="60" w:after="60" w:line="240" w:lineRule="auto"/>
              <w:ind w:left="0" w:leftChars="0" w:right="0" w:rightChars="0" w:firstLine="0" w:firstLineChars="0"/>
              <w:jc w:val="left"/>
              <w:rPr>
                <w:rFonts w:ascii="微软雅黑" w:hAnsi="微软雅黑" w:eastAsia="微软雅黑"/>
                <w:b w:val="0"/>
                <w:color w:val="000000"/>
                <w:sz w:val="20"/>
              </w:rPr>
            </w:pPr>
            <w:r>
              <w:rPr>
                <w:rFonts w:ascii="微软雅黑" w:hAnsi="微软雅黑" w:eastAsia="微软雅黑"/>
                <w:b w:val="0"/>
                <w:color w:val="000000"/>
                <w:sz w:val="20"/>
              </w:rPr>
              <w:t>联盟补给·山地入口</w:t>
            </w:r>
          </w:p>
        </w:tc>
        <w:tc>
          <w:tcPr>
            <w:tcW w:w="1136"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29FDCD5A">
            <w:pPr>
              <w:snapToGrid w:val="0"/>
              <w:spacing w:before="60" w:after="60" w:line="240" w:lineRule="auto"/>
              <w:ind w:left="0" w:leftChars="0" w:right="0" w:rightChars="0" w:firstLine="0" w:firstLineChars="0"/>
              <w:jc w:val="left"/>
              <w:rPr>
                <w:rFonts w:ascii="微软雅黑" w:hAnsi="微软雅黑" w:eastAsia="微软雅黑"/>
                <w:b w:val="0"/>
                <w:color w:val="000000"/>
                <w:sz w:val="20"/>
              </w:rPr>
            </w:pPr>
            <w:r>
              <w:rPr>
                <w:rFonts w:ascii="微软雅黑" w:hAnsi="微软雅黑" w:eastAsia="微软雅黑"/>
                <w:b w:val="0"/>
                <w:color w:val="000000"/>
                <w:sz w:val="20"/>
              </w:rPr>
              <w:t>C</w:t>
            </w:r>
          </w:p>
        </w:tc>
        <w:tc>
          <w:tcPr>
            <w:tcW w:w="2674"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0314738">
            <w:pPr>
              <w:snapToGrid w:val="0"/>
              <w:spacing w:before="60" w:after="60" w:line="240" w:lineRule="auto"/>
              <w:ind w:left="0" w:leftChars="0" w:right="0" w:rightChars="0" w:firstLine="0" w:firstLineChars="0"/>
              <w:jc w:val="left"/>
              <w:rPr>
                <w:rFonts w:ascii="微软雅黑" w:hAnsi="微软雅黑" w:eastAsia="微软雅黑"/>
                <w:b w:val="0"/>
                <w:color w:val="000000"/>
                <w:sz w:val="20"/>
              </w:rPr>
            </w:pPr>
            <w:r>
              <w:rPr>
                <w:rFonts w:ascii="微软雅黑" w:hAnsi="微软雅黑" w:eastAsia="微软雅黑"/>
                <w:b w:val="0"/>
                <w:color w:val="000000"/>
                <w:sz w:val="20"/>
              </w:rPr>
              <w:t>补给标识、餐饮指引、积分互通</w:t>
            </w:r>
          </w:p>
        </w:tc>
      </w:tr>
    </w:tbl>
    <w:p w14:paraId="46D94C7F">
      <w:pPr>
        <w:jc w:val="center"/>
        <w:rPr>
          <w:rFonts w:hint="eastAsia" w:ascii="宋体" w:hAnsi="宋体" w:eastAsia="宋体"/>
          <w:sz w:val="21"/>
          <w:szCs w:val="21"/>
          <w:lang w:val="en-US" w:eastAsia="zh-CN"/>
        </w:rPr>
      </w:pPr>
      <w:r>
        <w:rPr>
          <w:rFonts w:hint="eastAsia" w:ascii="宋体" w:hAnsi="宋体" w:eastAsia="宋体"/>
          <w:sz w:val="21"/>
          <w:szCs w:val="21"/>
          <w:lang w:val="en-US" w:eastAsia="zh-CN"/>
        </w:rPr>
        <w:t>节点分布示意图</w:t>
      </w:r>
    </w:p>
    <w:p w14:paraId="7A998BAD">
      <w:pPr>
        <w:rPr>
          <w:rFonts w:hint="eastAsia" w:ascii="宋体" w:hAnsi="宋体" w:eastAsia="宋体"/>
          <w:b/>
          <w:bCs/>
          <w:sz w:val="28"/>
          <w:szCs w:val="28"/>
          <w:lang w:eastAsia="zh-CN"/>
        </w:rPr>
      </w:pPr>
      <w:r>
        <w:rPr>
          <w:rFonts w:hint="eastAsia" w:ascii="宋体" w:hAnsi="宋体" w:eastAsia="宋体"/>
          <w:b/>
          <w:bCs/>
          <w:sz w:val="28"/>
          <w:szCs w:val="28"/>
          <w:lang w:eastAsia="zh-CN"/>
        </w:rPr>
        <w:drawing>
          <wp:inline distT="0" distB="0" distL="114300" distR="114300">
            <wp:extent cx="3412490" cy="3112770"/>
            <wp:effectExtent l="0" t="0" r="3810" b="11430"/>
            <wp:docPr id="19" name="图片 19" descr="b25e6fc39456d2f7a96c1099af2325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b25e6fc39456d2f7a96c1099af2325f9"/>
                    <pic:cNvPicPr>
                      <a:picLocks noChangeAspect="1"/>
                    </pic:cNvPicPr>
                  </pic:nvPicPr>
                  <pic:blipFill>
                    <a:blip r:embed="rId42"/>
                    <a:stretch>
                      <a:fillRect/>
                    </a:stretch>
                  </pic:blipFill>
                  <pic:spPr>
                    <a:xfrm>
                      <a:off x="0" y="0"/>
                      <a:ext cx="3412490" cy="3112770"/>
                    </a:xfrm>
                    <a:prstGeom prst="rect">
                      <a:avLst/>
                    </a:prstGeom>
                  </pic:spPr>
                </pic:pic>
              </a:graphicData>
            </a:graphic>
          </wp:inline>
        </w:drawing>
      </w:r>
    </w:p>
    <w:p w14:paraId="556BA353">
      <w:pPr>
        <w:pStyle w:val="3"/>
        <w:bidi w:val="0"/>
        <w:rPr>
          <w:rFonts w:hint="eastAsia"/>
        </w:rPr>
      </w:pPr>
      <w:bookmarkStart w:id="108" w:name="_Toc16184"/>
      <w:r>
        <w:t>6.4  打卡激励系统</w:t>
      </w:r>
      <w:bookmarkEnd w:id="108"/>
    </w:p>
    <w:p w14:paraId="1D658F3B">
      <w:pPr>
        <w:rPr>
          <w:rFonts w:hint="eastAsia" w:ascii="宋体" w:hAnsi="宋体" w:eastAsia="宋体"/>
          <w:b/>
          <w:bCs/>
          <w:sz w:val="21"/>
          <w:szCs w:val="21"/>
        </w:rPr>
      </w:pPr>
      <w:r>
        <w:rPr>
          <w:rFonts w:ascii="宋体" w:hAnsi="宋体" w:eastAsia="宋体"/>
          <w:b/>
          <w:bCs/>
          <w:sz w:val="21"/>
          <w:szCs w:val="21"/>
          <w:highlight w:val="yellow"/>
        </w:rPr>
        <w:t>打卡系统分为实体和数字两套</w:t>
      </w:r>
      <w:r>
        <w:rPr>
          <w:rFonts w:hint="eastAsia" w:ascii="宋体" w:hAnsi="宋体" w:eastAsia="宋体"/>
          <w:b/>
          <w:bCs/>
          <w:sz w:val="21"/>
          <w:szCs w:val="21"/>
          <w:highlight w:val="yellow"/>
        </w:rPr>
        <w:t>系统</w:t>
      </w:r>
      <w:r>
        <w:rPr>
          <w:rFonts w:hint="eastAsia" w:ascii="宋体" w:hAnsi="宋体" w:eastAsia="宋体"/>
          <w:b/>
          <w:bCs/>
          <w:sz w:val="21"/>
          <w:szCs w:val="21"/>
        </w:rPr>
        <w:t>，通过实体与数字双轨联动，将骑行打卡转化为有仪式感、有传播力、有公益属性的品牌体验。</w:t>
      </w:r>
    </w:p>
    <w:p w14:paraId="5C34895F">
      <w:pPr>
        <w:rPr>
          <w:rFonts w:hint="eastAsia" w:ascii="宋体" w:hAnsi="宋体" w:eastAsia="宋体"/>
          <w:b/>
          <w:bCs/>
          <w:sz w:val="21"/>
          <w:szCs w:val="21"/>
        </w:rPr>
      </w:pPr>
      <w:bookmarkStart w:id="109" w:name="_Toc2612"/>
      <w:r>
        <w:rPr>
          <w:rStyle w:val="30"/>
          <w:rFonts w:hint="eastAsia"/>
        </w:rPr>
        <w:t>6.4.1</w:t>
      </w:r>
      <w:r>
        <w:rPr>
          <w:rStyle w:val="30"/>
        </w:rPr>
        <w:t>实体打卡</w:t>
      </w:r>
      <w:bookmarkEnd w:id="109"/>
      <w:r>
        <w:rPr>
          <w:rFonts w:ascii="宋体" w:hAnsi="宋体" w:eastAsia="宋体"/>
          <w:b/>
          <w:bCs/>
          <w:sz w:val="21"/>
          <w:szCs w:val="21"/>
        </w:rPr>
        <w:t>：</w:t>
      </w:r>
    </w:p>
    <w:p w14:paraId="6686F187">
      <w:pPr>
        <w:rPr>
          <w:rFonts w:hint="eastAsia" w:ascii="宋体" w:hAnsi="宋体" w:eastAsia="宋体"/>
          <w:sz w:val="21"/>
          <w:szCs w:val="21"/>
        </w:rPr>
      </w:pPr>
      <w:r>
        <w:rPr>
          <w:rFonts w:ascii="宋体" w:hAnsi="宋体" w:eastAsia="宋体"/>
          <w:b/>
          <w:bCs/>
          <w:sz w:val="21"/>
          <w:szCs w:val="21"/>
          <w:highlight w:val="yellow"/>
        </w:rPr>
        <w:t>"寻宝护照"集章活动</w:t>
      </w:r>
      <w:r>
        <w:rPr>
          <w:rFonts w:ascii="宋体" w:hAnsi="宋体" w:eastAsia="宋体"/>
          <w:sz w:val="21"/>
          <w:szCs w:val="21"/>
        </w:rPr>
        <w:t>——游客在起点站领取纸质骑行护照，每到一个节点盖一枚特色印章（每枚印章融合该节点的标志性元素+樱桃IP），集满指定数量可兑换奖励。印章设计本身即文创产品，具备收藏价值。</w:t>
      </w:r>
    </w:p>
    <w:p w14:paraId="61ECB716">
      <w:pPr>
        <w:rPr>
          <w:rFonts w:hint="eastAsia" w:ascii="宋体" w:hAnsi="宋体" w:eastAsia="宋体"/>
          <w:b/>
          <w:bCs/>
          <w:sz w:val="21"/>
          <w:szCs w:val="21"/>
        </w:rPr>
      </w:pPr>
      <w:bookmarkStart w:id="110" w:name="_Toc4276"/>
      <w:r>
        <w:rPr>
          <w:rStyle w:val="30"/>
          <w:rFonts w:hint="eastAsia"/>
        </w:rPr>
        <w:t>6.4.2数字打卡</w:t>
      </w:r>
      <w:bookmarkEnd w:id="110"/>
      <w:r>
        <w:rPr>
          <w:rFonts w:hint="eastAsia" w:ascii="宋体" w:hAnsi="宋体" w:eastAsia="宋体"/>
          <w:b/>
          <w:bCs/>
          <w:sz w:val="21"/>
          <w:szCs w:val="21"/>
        </w:rPr>
        <w:t>：</w:t>
      </w:r>
    </w:p>
    <w:p w14:paraId="5138A82C">
      <w:pPr>
        <w:rPr>
          <w:rFonts w:hint="eastAsia" w:ascii="宋体" w:hAnsi="宋体" w:eastAsia="宋体"/>
          <w:b/>
          <w:sz w:val="21"/>
          <w:szCs w:val="21"/>
        </w:rPr>
      </w:pPr>
      <w:r>
        <w:rPr>
          <w:rFonts w:ascii="宋体" w:hAnsi="宋体" w:eastAsia="宋体"/>
          <w:b/>
          <w:bCs/>
          <w:sz w:val="21"/>
          <w:szCs w:val="21"/>
          <w:highlight w:val="yellow"/>
        </w:rPr>
        <w:t>小程序内嵌GPS打卡系统</w:t>
      </w:r>
      <w:r>
        <w:rPr>
          <w:rFonts w:ascii="宋体" w:hAnsi="宋体" w:eastAsia="宋体"/>
          <w:b/>
          <w:bCs/>
          <w:sz w:val="21"/>
          <w:szCs w:val="21"/>
        </w:rPr>
        <w:t>——</w:t>
      </w:r>
      <w:r>
        <w:rPr>
          <w:rFonts w:ascii="宋体" w:hAnsi="宋体" w:eastAsia="宋体"/>
          <w:b/>
          <w:bCs/>
          <w:sz w:val="21"/>
          <w:szCs w:val="21"/>
          <w:highlight w:val="none"/>
        </w:rPr>
        <w:t>到达节点坐标范围自动触发打卡，</w:t>
      </w:r>
      <w:r>
        <w:rPr>
          <w:rFonts w:hint="eastAsia" w:ascii="宋体" w:hAnsi="宋体" w:eastAsia="宋体"/>
          <w:b/>
          <w:bCs/>
          <w:sz w:val="21"/>
          <w:szCs w:val="21"/>
          <w:highlight w:val="none"/>
        </w:rPr>
        <w:t>获得生态积分并</w:t>
      </w:r>
      <w:r>
        <w:rPr>
          <w:rFonts w:ascii="宋体" w:hAnsi="宋体" w:eastAsia="宋体"/>
          <w:b/>
          <w:bCs/>
          <w:sz w:val="21"/>
          <w:szCs w:val="21"/>
          <w:highlight w:val="none"/>
        </w:rPr>
        <w:t>记录打卡时间和照片，生成电子集章册</w:t>
      </w:r>
      <w:r>
        <w:rPr>
          <w:rFonts w:hint="eastAsia" w:ascii="宋体" w:hAnsi="宋体" w:eastAsia="宋体"/>
          <w:b/>
          <w:bCs/>
          <w:sz w:val="21"/>
          <w:szCs w:val="21"/>
          <w:highlight w:val="none"/>
        </w:rPr>
        <w:t>，</w:t>
      </w:r>
      <w:r>
        <w:rPr>
          <w:rFonts w:hint="eastAsia" w:ascii="宋体" w:hAnsi="宋体" w:eastAsia="宋体"/>
          <w:b/>
          <w:bCs/>
          <w:sz w:val="21"/>
          <w:szCs w:val="21"/>
          <w:highlight w:val="yellow"/>
        </w:rPr>
        <w:t>结束后生成骑行数据海报</w:t>
      </w:r>
      <w:r>
        <w:rPr>
          <w:rFonts w:ascii="宋体" w:hAnsi="宋体" w:eastAsia="宋体"/>
          <w:sz w:val="21"/>
          <w:szCs w:val="21"/>
        </w:rPr>
        <w:t>。数字打卡</w:t>
      </w:r>
      <w:r>
        <w:rPr>
          <w:rFonts w:hint="eastAsia" w:ascii="宋体" w:hAnsi="宋体" w:eastAsia="宋体"/>
          <w:sz w:val="21"/>
          <w:szCs w:val="21"/>
          <w:highlight w:val="yellow"/>
        </w:rPr>
        <w:t>生态</w:t>
      </w:r>
      <w:r>
        <w:rPr>
          <w:rFonts w:ascii="宋体" w:hAnsi="宋体" w:eastAsia="宋体"/>
          <w:sz w:val="21"/>
          <w:szCs w:val="21"/>
          <w:highlight w:val="yellow"/>
        </w:rPr>
        <w:t>积分可兑换</w:t>
      </w:r>
      <w:r>
        <w:rPr>
          <w:rFonts w:ascii="宋体" w:hAnsi="宋体" w:eastAsia="宋体"/>
          <w:sz w:val="21"/>
          <w:szCs w:val="21"/>
        </w:rPr>
        <w:t>：采摘折扣、文创产品、深加工产品试吃、骑行装备租赁优惠</w:t>
      </w:r>
      <w:r>
        <w:rPr>
          <w:rFonts w:hint="eastAsia" w:ascii="宋体" w:hAnsi="宋体" w:eastAsia="宋体"/>
          <w:sz w:val="21"/>
          <w:szCs w:val="21"/>
        </w:rPr>
        <w:t>等</w:t>
      </w:r>
      <w:r>
        <w:rPr>
          <w:rFonts w:ascii="宋体" w:hAnsi="宋体" w:eastAsia="宋体"/>
          <w:sz w:val="21"/>
          <w:szCs w:val="21"/>
        </w:rPr>
        <w:t>。</w:t>
      </w:r>
    </w:p>
    <w:p w14:paraId="05989061">
      <w:pPr>
        <w:rPr>
          <w:rFonts w:hint="eastAsia" w:ascii="宋体" w:hAnsi="宋体" w:eastAsia="宋体"/>
          <w:sz w:val="21"/>
          <w:szCs w:val="21"/>
        </w:rPr>
      </w:pPr>
      <w:r>
        <w:rPr>
          <w:rFonts w:hint="eastAsia" w:ascii="宋体" w:hAnsi="宋体" w:eastAsia="宋体"/>
          <w:b/>
          <w:sz w:val="21"/>
          <w:szCs w:val="21"/>
        </w:rPr>
        <w:t>（1）</w:t>
      </w:r>
      <w:r>
        <w:rPr>
          <w:rFonts w:ascii="宋体" w:hAnsi="宋体" w:eastAsia="宋体"/>
          <w:b/>
          <w:sz w:val="21"/>
          <w:szCs w:val="21"/>
        </w:rPr>
        <w:t>骑行数据社交海报：</w:t>
      </w:r>
    </w:p>
    <w:p w14:paraId="48E79E66">
      <w:pPr>
        <w:rPr>
          <w:rFonts w:ascii="宋体" w:hAnsi="宋体" w:eastAsia="宋体"/>
          <w:sz w:val="21"/>
          <w:szCs w:val="21"/>
        </w:rPr>
      </w:pPr>
      <w:r>
        <w:rPr>
          <w:rFonts w:ascii="宋体" w:hAnsi="宋体" w:eastAsia="宋体"/>
          <w:b/>
          <w:bCs/>
          <w:sz w:val="21"/>
          <w:szCs w:val="21"/>
        </w:rPr>
        <w:t>全程GPS轨迹自动记录，骑行结束后</w:t>
      </w:r>
      <w:r>
        <w:rPr>
          <w:rFonts w:ascii="宋体" w:hAnsi="宋体" w:eastAsia="宋体"/>
          <w:b/>
          <w:bCs/>
          <w:sz w:val="21"/>
          <w:szCs w:val="21"/>
          <w:highlight w:val="yellow"/>
        </w:rPr>
        <w:t>系统自动合成个性化海报</w:t>
      </w:r>
      <w:r>
        <w:rPr>
          <w:rFonts w:hint="eastAsia" w:ascii="宋体" w:hAnsi="宋体" w:eastAsia="宋体"/>
          <w:sz w:val="21"/>
          <w:szCs w:val="21"/>
        </w:rPr>
        <w:t>。</w:t>
      </w:r>
      <w:r>
        <w:rPr>
          <w:rFonts w:ascii="宋体" w:hAnsi="宋体" w:eastAsia="宋体"/>
          <w:sz w:val="21"/>
          <w:szCs w:val="21"/>
        </w:rPr>
        <w:t>每一张用户自发分享的海报，都是一次零成本的品牌曝光</w:t>
      </w:r>
      <w:r>
        <w:rPr>
          <w:rFonts w:hint="eastAsia" w:ascii="宋体" w:hAnsi="宋体" w:eastAsia="宋体"/>
          <w:sz w:val="21"/>
          <w:szCs w:val="21"/>
          <w:lang w:eastAsia="zh-CN"/>
        </w:rPr>
        <w:t>。</w:t>
      </w:r>
    </w:p>
    <w:p w14:paraId="6CF328CE">
      <w:pPr>
        <w:jc w:val="center"/>
        <w:rPr>
          <w:rFonts w:hint="eastAsia" w:ascii="宋体" w:hAnsi="宋体" w:eastAsia="宋体"/>
          <w:b/>
          <w:sz w:val="21"/>
          <w:szCs w:val="21"/>
        </w:rPr>
      </w:pPr>
      <w:r>
        <w:rPr>
          <w:rFonts w:hint="default" w:ascii="宋体" w:hAnsi="宋体" w:eastAsia="宋体"/>
          <w:b/>
          <w:sz w:val="21"/>
          <w:szCs w:val="21"/>
          <w:lang w:val="en-US" w:eastAsia="zh-CN"/>
        </w:rPr>
        <w:drawing>
          <wp:anchor distT="0" distB="0" distL="114300" distR="114300" simplePos="0" relativeHeight="251664384" behindDoc="0" locked="0" layoutInCell="1" allowOverlap="1">
            <wp:simplePos x="0" y="0"/>
            <wp:positionH relativeFrom="column">
              <wp:posOffset>1825625</wp:posOffset>
            </wp:positionH>
            <wp:positionV relativeFrom="paragraph">
              <wp:posOffset>-67310</wp:posOffset>
            </wp:positionV>
            <wp:extent cx="1709420" cy="2485390"/>
            <wp:effectExtent l="0" t="0" r="5080" b="3810"/>
            <wp:wrapTopAndBottom/>
            <wp:docPr id="20" name="图片 20" descr="ff6ce341a9545f118b70d8995072c6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f6ce341a9545f118b70d8995072c6e7"/>
                    <pic:cNvPicPr>
                      <a:picLocks noChangeAspect="1"/>
                    </pic:cNvPicPr>
                  </pic:nvPicPr>
                  <pic:blipFill>
                    <a:blip r:embed="rId43"/>
                    <a:stretch>
                      <a:fillRect/>
                    </a:stretch>
                  </pic:blipFill>
                  <pic:spPr>
                    <a:xfrm>
                      <a:off x="0" y="0"/>
                      <a:ext cx="1709420" cy="2485390"/>
                    </a:xfrm>
                    <a:prstGeom prst="rect">
                      <a:avLst/>
                    </a:prstGeom>
                  </pic:spPr>
                </pic:pic>
              </a:graphicData>
            </a:graphic>
          </wp:anchor>
        </w:drawing>
      </w:r>
      <w:r>
        <w:rPr>
          <w:rFonts w:hint="eastAsia" w:ascii="宋体" w:hAnsi="宋体" w:eastAsia="宋体"/>
          <w:b/>
          <w:sz w:val="21"/>
          <w:szCs w:val="21"/>
          <w:lang w:val="en-US" w:eastAsia="zh-CN"/>
        </w:rPr>
        <w:t>海报示意图</w:t>
      </w:r>
    </w:p>
    <w:p w14:paraId="78B47BA1">
      <w:pPr>
        <w:rPr>
          <w:rFonts w:hint="eastAsia" w:ascii="宋体" w:hAnsi="宋体" w:eastAsia="宋体"/>
          <w:sz w:val="21"/>
          <w:szCs w:val="21"/>
        </w:rPr>
      </w:pPr>
      <w:r>
        <w:rPr>
          <w:rFonts w:hint="eastAsia" w:ascii="宋体" w:hAnsi="宋体" w:eastAsia="宋体"/>
          <w:b/>
          <w:sz w:val="21"/>
          <w:szCs w:val="21"/>
        </w:rPr>
        <w:t>（2）</w:t>
      </w:r>
      <w:r>
        <w:rPr>
          <w:rFonts w:ascii="宋体" w:hAnsi="宋体" w:eastAsia="宋体"/>
          <w:b/>
          <w:sz w:val="21"/>
          <w:szCs w:val="21"/>
        </w:rPr>
        <w:t>社交激励：</w:t>
      </w:r>
    </w:p>
    <w:p w14:paraId="3EF7C1C1">
      <w:pPr>
        <w:rPr>
          <w:rFonts w:hint="eastAsia" w:ascii="宋体" w:hAnsi="宋体" w:eastAsia="宋体"/>
          <w:sz w:val="21"/>
          <w:szCs w:val="21"/>
        </w:rPr>
      </w:pPr>
      <w:r>
        <w:rPr>
          <w:rFonts w:hint="eastAsia" w:ascii="宋体" w:hAnsi="宋体" w:eastAsia="宋体"/>
          <w:sz w:val="21"/>
          <w:szCs w:val="21"/>
        </w:rPr>
        <w:t>用户</w:t>
      </w:r>
      <w:r>
        <w:rPr>
          <w:rFonts w:ascii="宋体" w:hAnsi="宋体" w:eastAsia="宋体"/>
          <w:sz w:val="21"/>
          <w:szCs w:val="21"/>
        </w:rPr>
        <w:t>分享打卡内容可获额外积分；邀请好友参与可获"推荐奖励"</w:t>
      </w:r>
      <w:r>
        <w:rPr>
          <w:rFonts w:hint="eastAsia" w:ascii="宋体" w:hAnsi="宋体" w:eastAsia="宋体"/>
          <w:sz w:val="21"/>
          <w:szCs w:val="21"/>
        </w:rPr>
        <w:t>，如额外积分或定制文创产品</w:t>
      </w:r>
      <w:r>
        <w:rPr>
          <w:rFonts w:ascii="宋体" w:hAnsi="宋体" w:eastAsia="宋体"/>
          <w:sz w:val="21"/>
          <w:szCs w:val="21"/>
        </w:rPr>
        <w:t>；每月"骑行达人榜"Top10获得</w:t>
      </w:r>
      <w:r>
        <w:rPr>
          <w:rFonts w:hint="eastAsia" w:ascii="宋体" w:hAnsi="宋体" w:eastAsia="宋体"/>
          <w:sz w:val="21"/>
          <w:szCs w:val="21"/>
        </w:rPr>
        <w:t>电子证书和</w:t>
      </w:r>
      <w:r>
        <w:rPr>
          <w:rFonts w:ascii="宋体" w:hAnsi="宋体" w:eastAsia="宋体"/>
          <w:sz w:val="21"/>
          <w:szCs w:val="21"/>
        </w:rPr>
        <w:t>限定文创奖品。</w:t>
      </w:r>
    </w:p>
    <w:p w14:paraId="41D0E31A">
      <w:pPr>
        <w:rPr>
          <w:rFonts w:hint="eastAsia" w:ascii="宋体" w:hAnsi="宋体" w:eastAsia="宋体"/>
          <w:b/>
          <w:sz w:val="21"/>
          <w:szCs w:val="21"/>
        </w:rPr>
      </w:pPr>
      <w:r>
        <w:rPr>
          <w:rFonts w:hint="eastAsia" w:ascii="宋体" w:hAnsi="宋体" w:eastAsia="宋体"/>
          <w:b/>
          <w:sz w:val="21"/>
          <w:szCs w:val="21"/>
        </w:rPr>
        <w:t>（3）生态积分兑</w:t>
      </w:r>
      <w:r>
        <w:rPr>
          <w:rFonts w:hint="eastAsia" w:ascii="宋体" w:hAnsi="宋体" w:eastAsia="宋体"/>
          <w:b/>
          <w:sz w:val="21"/>
          <w:szCs w:val="21"/>
          <w:lang w:val="en-US" w:eastAsia="zh-CN"/>
        </w:rPr>
        <w:t>换</w:t>
      </w:r>
      <w:r>
        <w:rPr>
          <w:rFonts w:hint="eastAsia" w:ascii="宋体" w:hAnsi="宋体" w:eastAsia="宋体"/>
          <w:b/>
          <w:sz w:val="21"/>
          <w:szCs w:val="21"/>
        </w:rPr>
        <w:t>体系：</w:t>
      </w:r>
    </w:p>
    <w:tbl>
      <w:tblPr>
        <w:tblStyle w:val="15"/>
        <w:tblW w:w="904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4"/>
        <w:gridCol w:w="6835"/>
      </w:tblGrid>
      <w:tr w14:paraId="5644E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2214" w:type="dxa"/>
            <w:tcBorders>
              <w:top w:val="single" w:color="000000" w:sz="12" w:space="0"/>
              <w:left w:val="nil"/>
              <w:bottom w:val="single" w:color="000000" w:sz="4" w:space="0"/>
              <w:right w:val="nil"/>
              <w:tl2br w:val="nil"/>
            </w:tcBorders>
            <w:shd w:val="clear" w:color="auto" w:fill="FFFFFF"/>
          </w:tcPr>
          <w:p w14:paraId="05A53C0F">
            <w:pPr>
              <w:spacing w:after="160" w:line="278" w:lineRule="auto"/>
              <w:rPr>
                <w:rFonts w:hint="eastAsia" w:ascii="宋体" w:hAnsi="宋体" w:eastAsia="宋体"/>
                <w:b w:val="0"/>
                <w:color w:val="000000"/>
                <w:sz w:val="21"/>
                <w:szCs w:val="21"/>
              </w:rPr>
            </w:pPr>
            <w:r>
              <w:rPr>
                <w:rFonts w:hint="eastAsia" w:ascii="宋体" w:hAnsi="宋体" w:eastAsia="宋体"/>
                <w:b w:val="0"/>
                <w:color w:val="000000"/>
                <w:sz w:val="21"/>
                <w:szCs w:val="21"/>
              </w:rPr>
              <w:t>5积分</w:t>
            </w:r>
          </w:p>
        </w:tc>
        <w:tc>
          <w:tcPr>
            <w:tcW w:w="6835" w:type="dxa"/>
            <w:tcBorders>
              <w:top w:val="single" w:color="000000" w:sz="12" w:space="0"/>
              <w:left w:val="nil"/>
              <w:bottom w:val="single" w:color="000000" w:sz="4" w:space="0"/>
              <w:right w:val="nil"/>
            </w:tcBorders>
            <w:shd w:val="clear" w:color="auto" w:fill="FFFFFF"/>
          </w:tcPr>
          <w:p w14:paraId="2EFDB63C">
            <w:pPr>
              <w:spacing w:after="160" w:line="278" w:lineRule="auto"/>
              <w:rPr>
                <w:rFonts w:hint="eastAsia" w:ascii="宋体" w:hAnsi="宋体" w:eastAsia="宋体"/>
                <w:b w:val="0"/>
                <w:color w:val="000000"/>
                <w:sz w:val="21"/>
                <w:szCs w:val="21"/>
              </w:rPr>
            </w:pPr>
            <w:r>
              <w:rPr>
                <w:rFonts w:hint="eastAsia" w:ascii="宋体" w:hAnsi="宋体" w:eastAsia="宋体"/>
                <w:b w:val="0"/>
                <w:color w:val="000000"/>
                <w:sz w:val="21"/>
                <w:szCs w:val="21"/>
              </w:rPr>
              <w:t>樱桃采摘园9折券/骑行装备凭租5元抵扣券</w:t>
            </w:r>
          </w:p>
        </w:tc>
      </w:tr>
      <w:tr w14:paraId="208CF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tcBorders>
              <w:top w:val="single" w:color="000000" w:sz="4" w:space="0"/>
              <w:left w:val="nil"/>
              <w:bottom w:val="nil"/>
              <w:right w:val="nil"/>
            </w:tcBorders>
            <w:shd w:val="clear" w:color="auto" w:fill="FFFFFF"/>
          </w:tcPr>
          <w:p w14:paraId="2CEF72A4">
            <w:pPr>
              <w:spacing w:after="160" w:line="278" w:lineRule="auto"/>
              <w:rPr>
                <w:rFonts w:hint="eastAsia" w:ascii="宋体" w:hAnsi="宋体" w:eastAsia="宋体"/>
                <w:b w:val="0"/>
                <w:color w:val="000000"/>
                <w:sz w:val="21"/>
                <w:szCs w:val="21"/>
              </w:rPr>
            </w:pPr>
            <w:r>
              <w:rPr>
                <w:rFonts w:hint="eastAsia" w:ascii="宋体" w:hAnsi="宋体" w:eastAsia="宋体"/>
                <w:b w:val="0"/>
                <w:color w:val="000000"/>
                <w:sz w:val="21"/>
                <w:szCs w:val="21"/>
              </w:rPr>
              <w:t>10积分</w:t>
            </w:r>
          </w:p>
        </w:tc>
        <w:tc>
          <w:tcPr>
            <w:tcW w:w="6835" w:type="dxa"/>
            <w:tcBorders>
              <w:top w:val="single" w:color="000000" w:sz="4" w:space="0"/>
              <w:left w:val="nil"/>
              <w:bottom w:val="nil"/>
              <w:right w:val="nil"/>
            </w:tcBorders>
            <w:shd w:val="clear" w:color="auto" w:fill="FFFFFF"/>
          </w:tcPr>
          <w:p w14:paraId="790DC6B4">
            <w:pPr>
              <w:spacing w:after="160" w:line="278" w:lineRule="auto"/>
              <w:rPr>
                <w:rFonts w:hint="eastAsia" w:ascii="宋体" w:hAnsi="宋体" w:eastAsia="宋体"/>
                <w:b w:val="0"/>
                <w:color w:val="000000"/>
                <w:sz w:val="21"/>
                <w:szCs w:val="21"/>
              </w:rPr>
            </w:pPr>
            <w:r>
              <w:rPr>
                <w:rFonts w:hint="eastAsia" w:ascii="宋体" w:hAnsi="宋体" w:eastAsia="宋体"/>
                <w:b w:val="0"/>
                <w:color w:val="000000"/>
                <w:sz w:val="21"/>
                <w:szCs w:val="21"/>
              </w:rPr>
              <w:t>樱桃深加工产品尝鲜装</w:t>
            </w:r>
          </w:p>
        </w:tc>
      </w:tr>
      <w:tr w14:paraId="59580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tcBorders>
              <w:top w:val="nil"/>
              <w:left w:val="nil"/>
              <w:bottom w:val="nil"/>
              <w:right w:val="nil"/>
            </w:tcBorders>
            <w:shd w:val="clear" w:color="auto" w:fill="FFFFFF"/>
          </w:tcPr>
          <w:p w14:paraId="5A3B7157">
            <w:pPr>
              <w:spacing w:after="160" w:line="278" w:lineRule="auto"/>
              <w:rPr>
                <w:rFonts w:hint="eastAsia" w:ascii="宋体" w:hAnsi="宋体" w:eastAsia="宋体"/>
                <w:b w:val="0"/>
                <w:color w:val="000000"/>
                <w:sz w:val="21"/>
                <w:szCs w:val="21"/>
              </w:rPr>
            </w:pPr>
            <w:r>
              <w:rPr>
                <w:rFonts w:hint="eastAsia" w:ascii="宋体" w:hAnsi="宋体" w:eastAsia="宋体"/>
                <w:b w:val="0"/>
                <w:color w:val="000000"/>
                <w:sz w:val="21"/>
                <w:szCs w:val="21"/>
              </w:rPr>
              <w:t>15积分</w:t>
            </w:r>
          </w:p>
        </w:tc>
        <w:tc>
          <w:tcPr>
            <w:tcW w:w="6835" w:type="dxa"/>
            <w:tcBorders>
              <w:top w:val="nil"/>
              <w:left w:val="nil"/>
              <w:bottom w:val="nil"/>
              <w:right w:val="nil"/>
            </w:tcBorders>
            <w:shd w:val="clear" w:color="auto" w:fill="FFFFFF"/>
          </w:tcPr>
          <w:p w14:paraId="35780B58">
            <w:pPr>
              <w:spacing w:after="160" w:line="278" w:lineRule="auto"/>
              <w:rPr>
                <w:rFonts w:hint="eastAsia" w:ascii="宋体" w:hAnsi="宋体" w:eastAsia="宋体"/>
                <w:b w:val="0"/>
                <w:color w:val="000000"/>
                <w:sz w:val="21"/>
                <w:szCs w:val="21"/>
              </w:rPr>
            </w:pPr>
            <w:r>
              <w:rPr>
                <w:rFonts w:hint="eastAsia" w:ascii="宋体" w:hAnsi="宋体" w:eastAsia="宋体"/>
                <w:b w:val="0"/>
                <w:color w:val="000000"/>
                <w:sz w:val="21"/>
                <w:szCs w:val="21"/>
              </w:rPr>
              <w:t>限定樱桃徽章/冰箱贴</w:t>
            </w:r>
          </w:p>
        </w:tc>
      </w:tr>
      <w:tr w14:paraId="4BCB7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tcBorders>
              <w:top w:val="nil"/>
              <w:left w:val="nil"/>
              <w:bottom w:val="single" w:color="000000" w:sz="12" w:space="0"/>
              <w:right w:val="nil"/>
            </w:tcBorders>
            <w:shd w:val="clear" w:color="auto" w:fill="FFFFFF"/>
          </w:tcPr>
          <w:p w14:paraId="2150FF22">
            <w:pPr>
              <w:spacing w:after="160" w:line="278" w:lineRule="auto"/>
              <w:rPr>
                <w:rFonts w:hint="eastAsia" w:ascii="宋体" w:hAnsi="宋体" w:eastAsia="宋体"/>
                <w:b w:val="0"/>
                <w:color w:val="000000"/>
                <w:sz w:val="21"/>
                <w:szCs w:val="21"/>
              </w:rPr>
            </w:pPr>
            <w:r>
              <w:rPr>
                <w:rFonts w:hint="eastAsia" w:ascii="宋体" w:hAnsi="宋体" w:eastAsia="宋体"/>
                <w:b w:val="0"/>
                <w:color w:val="000000"/>
                <w:sz w:val="21"/>
                <w:szCs w:val="21"/>
              </w:rPr>
              <w:t>20积分</w:t>
            </w:r>
          </w:p>
        </w:tc>
        <w:tc>
          <w:tcPr>
            <w:tcW w:w="6835" w:type="dxa"/>
            <w:tcBorders>
              <w:top w:val="nil"/>
              <w:left w:val="nil"/>
              <w:bottom w:val="single" w:color="000000" w:sz="12" w:space="0"/>
              <w:right w:val="nil"/>
            </w:tcBorders>
            <w:shd w:val="clear" w:color="auto" w:fill="FFFFFF"/>
          </w:tcPr>
          <w:p w14:paraId="3B58769F">
            <w:pPr>
              <w:spacing w:after="160" w:line="278" w:lineRule="auto"/>
              <w:rPr>
                <w:rFonts w:hint="eastAsia" w:ascii="宋体" w:hAnsi="宋体" w:eastAsia="宋体"/>
                <w:b w:val="0"/>
                <w:color w:val="000000"/>
                <w:sz w:val="21"/>
                <w:szCs w:val="21"/>
              </w:rPr>
            </w:pPr>
            <w:r>
              <w:rPr>
                <w:rFonts w:hint="eastAsia" w:ascii="宋体" w:hAnsi="宋体" w:eastAsia="宋体"/>
                <w:b w:val="0"/>
                <w:color w:val="000000"/>
                <w:sz w:val="21"/>
                <w:szCs w:val="21"/>
              </w:rPr>
              <w:t>帆布袋/手机支架</w:t>
            </w:r>
          </w:p>
        </w:tc>
      </w:tr>
    </w:tbl>
    <w:p w14:paraId="58DD19F4">
      <w:pPr>
        <w:pStyle w:val="3"/>
        <w:bidi w:val="0"/>
        <w:rPr>
          <w:rFonts w:hint="eastAsia"/>
        </w:rPr>
      </w:pPr>
      <w:bookmarkStart w:id="111" w:name="_Toc4490"/>
      <w:r>
        <w:t>6.5</w:t>
      </w:r>
      <w:r>
        <w:rPr>
          <w:rFonts w:hint="default"/>
        </w:rPr>
        <w:t>骑行驿站：基于“合规突破”的无人自助补给方案</w:t>
      </w:r>
      <w:bookmarkEnd w:id="111"/>
    </w:p>
    <w:p w14:paraId="77136112">
      <w:pPr>
        <w:spacing w:after="80" w:line="360" w:lineRule="auto"/>
        <w:ind w:firstLine="440"/>
        <w:rPr>
          <w:rFonts w:ascii="宋体" w:hAnsi="宋体" w:eastAsia="宋体" w:cstheme="minorBidi"/>
          <w:b/>
          <w:bCs/>
          <w:kern w:val="2"/>
          <w:sz w:val="22"/>
          <w:szCs w:val="24"/>
          <w:lang w:val="en-US" w:eastAsia="zh-CN" w:bidi="ar-SA"/>
          <w14:ligatures w14:val="standardContextual"/>
        </w:rPr>
      </w:pPr>
      <w:r>
        <w:rPr>
          <w:rFonts w:ascii="宋体" w:hAnsi="宋体" w:eastAsia="宋体" w:cstheme="minorBidi"/>
          <w:b w:val="0"/>
          <w:kern w:val="2"/>
          <w:sz w:val="22"/>
          <w:szCs w:val="24"/>
          <w:lang w:val="en-US" w:eastAsia="zh-CN" w:bidi="ar-SA"/>
          <w14:ligatures w14:val="standardContextual"/>
        </w:rPr>
        <w:t>一级水源保护区的政策硬约束，决定了村内无法新增任何商业经营许可。既有小卖部与民宿均为政策出台前遗留。</w:t>
      </w:r>
      <w:r>
        <w:rPr>
          <w:rFonts w:ascii="宋体" w:hAnsi="宋体" w:eastAsia="宋体" w:cstheme="minorBidi"/>
          <w:b/>
          <w:bCs/>
          <w:kern w:val="2"/>
          <w:sz w:val="22"/>
          <w:szCs w:val="24"/>
          <w:lang w:val="en-US" w:eastAsia="zh-CN" w:bidi="ar-SA"/>
          <w14:ligatures w14:val="standardContextual"/>
        </w:rPr>
        <w:t>为</w:t>
      </w:r>
      <w:r>
        <w:rPr>
          <w:rFonts w:ascii="宋体" w:hAnsi="宋体" w:eastAsia="宋体" w:cstheme="minorBidi"/>
          <w:b/>
          <w:bCs/>
          <w:kern w:val="2"/>
          <w:sz w:val="22"/>
          <w:szCs w:val="24"/>
          <w:highlight w:val="yellow"/>
          <w:lang w:val="en-US" w:eastAsia="zh-CN" w:bidi="ar-SA"/>
          <w14:ligatures w14:val="standardContextual"/>
        </w:rPr>
        <w:t>承接骑行者真实补给需求，同时严守政策红线</w:t>
      </w:r>
      <w:r>
        <w:rPr>
          <w:rFonts w:ascii="宋体" w:hAnsi="宋体" w:eastAsia="宋体" w:cstheme="minorBidi"/>
          <w:b/>
          <w:bCs/>
          <w:kern w:val="2"/>
          <w:sz w:val="22"/>
          <w:szCs w:val="24"/>
          <w:lang w:val="en-US" w:eastAsia="zh-CN" w:bidi="ar-SA"/>
          <w14:ligatures w14:val="standardContextual"/>
        </w:rPr>
        <w:t>，本项目</w:t>
      </w:r>
      <w:r>
        <w:rPr>
          <w:rFonts w:ascii="宋体" w:hAnsi="宋体" w:eastAsia="宋体" w:cstheme="minorBidi"/>
          <w:b/>
          <w:bCs/>
          <w:kern w:val="2"/>
          <w:sz w:val="22"/>
          <w:szCs w:val="24"/>
          <w:highlight w:val="yellow"/>
          <w:lang w:val="en-US" w:eastAsia="zh-CN" w:bidi="ar-SA"/>
          <w14:ligatures w14:val="standardContextual"/>
        </w:rPr>
        <w:t>创新性地提出“无人驿站”方案</w:t>
      </w:r>
      <w:r>
        <w:rPr>
          <w:rFonts w:ascii="宋体" w:hAnsi="宋体" w:eastAsia="宋体" w:cstheme="minorBidi"/>
          <w:b/>
          <w:bCs/>
          <w:kern w:val="2"/>
          <w:sz w:val="22"/>
          <w:szCs w:val="24"/>
          <w:lang w:val="en-US" w:eastAsia="zh-CN" w:bidi="ar-SA"/>
          <w14:ligatures w14:val="standardContextual"/>
        </w:rPr>
        <w:t>。</w:t>
      </w:r>
    </w:p>
    <w:p w14:paraId="445041DC">
      <w:pPr>
        <w:spacing w:after="80" w:line="360" w:lineRule="auto"/>
        <w:ind w:firstLine="440"/>
        <w:rPr>
          <w:rFonts w:hint="default" w:ascii="宋体" w:hAnsi="宋体" w:eastAsia="宋体" w:cstheme="minorBidi"/>
          <w:b/>
          <w:bCs/>
          <w:kern w:val="2"/>
          <w:sz w:val="22"/>
          <w:szCs w:val="24"/>
          <w:highlight w:val="none"/>
          <w:lang w:val="en-US" w:eastAsia="zh-CN" w:bidi="ar-SA"/>
          <w14:ligatures w14:val="standardContextual"/>
        </w:rPr>
      </w:pPr>
      <w:r>
        <w:rPr>
          <w:rFonts w:ascii="宋体" w:hAnsi="宋体" w:eastAsia="宋体"/>
          <w:b w:val="0"/>
          <w:sz w:val="22"/>
        </w:rPr>
        <w:t>无人驿站不是村民经营的小型门店,而是外部合规经营主体在村内现有公共空间投放的自助便民设施,村委会仅作为场地出租方出现在合同中,不参与任何销售行为。</w:t>
      </w:r>
      <w:r>
        <w:rPr>
          <w:rFonts w:ascii="宋体" w:hAnsi="宋体" w:eastAsia="宋体" w:cstheme="minorBidi"/>
          <w:b w:val="0"/>
          <w:kern w:val="2"/>
          <w:sz w:val="22"/>
          <w:szCs w:val="24"/>
          <w:lang w:val="en-US" w:eastAsia="zh-CN" w:bidi="ar-SA"/>
          <w14:ligatures w14:val="standardContextual"/>
        </w:rPr>
        <w:t>其核心逻辑为</w:t>
      </w:r>
      <w:r>
        <w:rPr>
          <w:rFonts w:ascii="宋体" w:hAnsi="宋体" w:eastAsia="宋体" w:cstheme="minorBidi"/>
          <w:b/>
          <w:bCs/>
          <w:kern w:val="2"/>
          <w:sz w:val="22"/>
          <w:szCs w:val="24"/>
          <w:highlight w:val="none"/>
          <w:lang w:val="en-US" w:eastAsia="zh-CN" w:bidi="ar-SA"/>
          <w14:ligatures w14:val="standardContextual"/>
        </w:rPr>
        <w:t>：</w:t>
      </w:r>
      <w:r>
        <w:rPr>
          <w:rFonts w:hint="default" w:ascii="宋体" w:hAnsi="宋体" w:eastAsia="宋体" w:cstheme="minorBidi"/>
          <w:b/>
          <w:bCs/>
          <w:kern w:val="2"/>
          <w:sz w:val="22"/>
          <w:szCs w:val="24"/>
          <w:highlight w:val="none"/>
          <w:lang w:val="en-US" w:eastAsia="zh-CN" w:bidi="ar-SA"/>
          <w14:ligatures w14:val="standardContextual"/>
        </w:rPr>
        <w:t>引入外部合规经营主体，以</w:t>
      </w:r>
      <w:r>
        <w:rPr>
          <w:rFonts w:hint="default" w:ascii="宋体" w:hAnsi="宋体" w:eastAsia="宋体" w:cstheme="minorBidi"/>
          <w:b/>
          <w:bCs/>
          <w:kern w:val="2"/>
          <w:sz w:val="22"/>
          <w:szCs w:val="24"/>
          <w:highlight w:val="yellow"/>
          <w:lang w:val="en-US" w:eastAsia="zh-CN" w:bidi="ar-SA"/>
          <w14:ligatures w14:val="standardContextual"/>
        </w:rPr>
        <w:t>“场地租赁”模式替代“自主经营”</w:t>
      </w:r>
      <w:r>
        <w:rPr>
          <w:rFonts w:hint="default" w:ascii="宋体" w:hAnsi="宋体" w:eastAsia="宋体" w:cstheme="minorBidi"/>
          <w:b/>
          <w:bCs/>
          <w:kern w:val="2"/>
          <w:sz w:val="22"/>
          <w:szCs w:val="24"/>
          <w:highlight w:val="none"/>
          <w:lang w:val="en-US" w:eastAsia="zh-CN" w:bidi="ar-SA"/>
          <w14:ligatures w14:val="standardContextual"/>
        </w:rPr>
        <w:t>，将商业行为移出村集体法律主体，实现“村不经营、资源变现”的合规突破。</w:t>
      </w:r>
    </w:p>
    <w:p w14:paraId="6AB339C4">
      <w:pPr>
        <w:pStyle w:val="4"/>
        <w:bidi w:val="0"/>
      </w:pPr>
      <w:bookmarkStart w:id="112" w:name="_Toc12786"/>
      <w:r>
        <w:t>6.5.1 合规路径三选一</w:t>
      </w:r>
      <w:bookmarkEnd w:id="112"/>
    </w:p>
    <w:p w14:paraId="15899A82">
      <w:pPr>
        <w:spacing w:after="80" w:line="360" w:lineRule="auto"/>
        <w:ind w:firstLine="440"/>
      </w:pPr>
      <w:r>
        <w:rPr>
          <w:rFonts w:ascii="宋体" w:hAnsi="宋体" w:eastAsia="宋体"/>
          <w:b w:val="0"/>
          <w:sz w:val="22"/>
        </w:rPr>
        <w:t>在与村委会、镇政府初步沟通的基础上,</w:t>
      </w:r>
      <w:r>
        <w:rPr>
          <w:rFonts w:ascii="宋体" w:hAnsi="宋体" w:eastAsia="宋体"/>
          <w:b/>
          <w:bCs/>
          <w:sz w:val="22"/>
        </w:rPr>
        <w:t>识别出三条具体可能的合规路径,</w:t>
      </w:r>
      <w:r>
        <w:rPr>
          <w:rFonts w:ascii="宋体" w:hAnsi="宋体" w:eastAsia="宋体"/>
          <w:b w:val="0"/>
          <w:sz w:val="22"/>
        </w:rPr>
        <w:t>三者可组合使用,依落地难度由低到高排序。</w:t>
      </w:r>
    </w:p>
    <w:tbl>
      <w:tblPr>
        <w:tblStyle w:val="14"/>
        <w:tblW w:w="0" w:type="auto"/>
        <w:tblInd w:w="0" w:type="dxa"/>
        <w:tblLayout w:type="autofit"/>
        <w:tblCellMar>
          <w:top w:w="0" w:type="dxa"/>
          <w:left w:w="108" w:type="dxa"/>
          <w:bottom w:w="0" w:type="dxa"/>
          <w:right w:w="108" w:type="dxa"/>
        </w:tblCellMar>
      </w:tblPr>
      <w:tblGrid>
        <w:gridCol w:w="1541"/>
        <w:gridCol w:w="1983"/>
        <w:gridCol w:w="2236"/>
        <w:gridCol w:w="1492"/>
        <w:gridCol w:w="1270"/>
      </w:tblGrid>
      <w:tr w14:paraId="4332E8AF">
        <w:tblPrEx>
          <w:tblCellMar>
            <w:top w:w="0" w:type="dxa"/>
            <w:left w:w="108" w:type="dxa"/>
            <w:bottom w:w="0" w:type="dxa"/>
            <w:right w:w="108" w:type="dxa"/>
          </w:tblCellMar>
        </w:tblPrEx>
        <w:tc>
          <w:tcPr>
            <w:tcW w:w="1701" w:type="dxa"/>
            <w:tcBorders>
              <w:top w:val="single" w:color="000000" w:sz="12" w:space="0"/>
              <w:left w:val="nil"/>
              <w:bottom w:val="single" w:color="000000" w:sz="4" w:space="0"/>
              <w:right w:val="nil"/>
              <w:tl2br w:val="nil"/>
            </w:tcBorders>
            <w:shd w:val="clear" w:color="auto" w:fill="FFFFFF"/>
          </w:tcPr>
          <w:p w14:paraId="53CC107B">
            <w:pPr>
              <w:jc w:val="center"/>
              <w:rPr>
                <w:b w:val="0"/>
                <w:color w:val="000000"/>
              </w:rPr>
            </w:pPr>
            <w:r>
              <w:rPr>
                <w:rFonts w:ascii="黑体" w:hAnsi="黑体" w:eastAsia="黑体"/>
                <w:b w:val="0"/>
                <w:color w:val="000000"/>
                <w:sz w:val="20"/>
              </w:rPr>
              <w:t>路径</w:t>
            </w:r>
          </w:p>
        </w:tc>
        <w:tc>
          <w:tcPr>
            <w:tcW w:w="2268" w:type="dxa"/>
            <w:tcBorders>
              <w:top w:val="single" w:color="000000" w:sz="12" w:space="0"/>
              <w:left w:val="nil"/>
              <w:bottom w:val="single" w:color="000000" w:sz="4" w:space="0"/>
              <w:right w:val="nil"/>
            </w:tcBorders>
            <w:shd w:val="clear" w:color="auto" w:fill="FFFFFF"/>
          </w:tcPr>
          <w:p w14:paraId="1B3FC8D7">
            <w:pPr>
              <w:jc w:val="center"/>
              <w:rPr>
                <w:b w:val="0"/>
                <w:color w:val="000000"/>
              </w:rPr>
            </w:pPr>
            <w:r>
              <w:rPr>
                <w:rFonts w:ascii="黑体" w:hAnsi="黑体" w:eastAsia="黑体"/>
                <w:b w:val="0"/>
                <w:color w:val="000000"/>
                <w:sz w:val="20"/>
              </w:rPr>
              <w:t>法律性质</w:t>
            </w:r>
          </w:p>
        </w:tc>
        <w:tc>
          <w:tcPr>
            <w:tcW w:w="2551" w:type="dxa"/>
            <w:tcBorders>
              <w:top w:val="single" w:color="000000" w:sz="12" w:space="0"/>
              <w:left w:val="nil"/>
              <w:bottom w:val="single" w:color="000000" w:sz="4" w:space="0"/>
              <w:right w:val="nil"/>
            </w:tcBorders>
            <w:shd w:val="clear" w:color="auto" w:fill="FFFFFF"/>
          </w:tcPr>
          <w:p w14:paraId="70A91E4A">
            <w:pPr>
              <w:jc w:val="center"/>
              <w:rPr>
                <w:b w:val="0"/>
                <w:color w:val="000000"/>
              </w:rPr>
            </w:pPr>
            <w:r>
              <w:rPr>
                <w:rFonts w:ascii="黑体" w:hAnsi="黑体" w:eastAsia="黑体"/>
                <w:b w:val="0"/>
                <w:color w:val="000000"/>
                <w:sz w:val="20"/>
              </w:rPr>
              <w:t>经营主体</w:t>
            </w:r>
          </w:p>
        </w:tc>
        <w:tc>
          <w:tcPr>
            <w:tcW w:w="1701" w:type="dxa"/>
            <w:tcBorders>
              <w:top w:val="single" w:color="000000" w:sz="12" w:space="0"/>
              <w:left w:val="nil"/>
              <w:bottom w:val="single" w:color="000000" w:sz="4" w:space="0"/>
              <w:right w:val="nil"/>
            </w:tcBorders>
            <w:shd w:val="clear" w:color="auto" w:fill="FFFFFF"/>
          </w:tcPr>
          <w:p w14:paraId="564CBC7B">
            <w:pPr>
              <w:jc w:val="center"/>
              <w:rPr>
                <w:b w:val="0"/>
                <w:color w:val="000000"/>
              </w:rPr>
            </w:pPr>
            <w:r>
              <w:rPr>
                <w:rFonts w:ascii="黑体" w:hAnsi="黑体" w:eastAsia="黑体"/>
                <w:b w:val="0"/>
                <w:color w:val="000000"/>
                <w:sz w:val="20"/>
              </w:rPr>
              <w:t>村委会角色</w:t>
            </w:r>
          </w:p>
        </w:tc>
        <w:tc>
          <w:tcPr>
            <w:tcW w:w="1417" w:type="dxa"/>
            <w:tcBorders>
              <w:top w:val="single" w:color="000000" w:sz="12" w:space="0"/>
              <w:left w:val="nil"/>
              <w:bottom w:val="single" w:color="000000" w:sz="4" w:space="0"/>
              <w:right w:val="nil"/>
            </w:tcBorders>
            <w:shd w:val="clear" w:color="auto" w:fill="FFFFFF"/>
          </w:tcPr>
          <w:p w14:paraId="1C38230F">
            <w:pPr>
              <w:jc w:val="center"/>
              <w:rPr>
                <w:b w:val="0"/>
                <w:color w:val="000000"/>
              </w:rPr>
            </w:pPr>
            <w:r>
              <w:rPr>
                <w:rFonts w:ascii="黑体" w:hAnsi="黑体" w:eastAsia="黑体"/>
                <w:b w:val="0"/>
                <w:color w:val="000000"/>
                <w:sz w:val="20"/>
              </w:rPr>
              <w:t>合规难度</w:t>
            </w:r>
          </w:p>
        </w:tc>
      </w:tr>
      <w:tr w14:paraId="4E6EF772">
        <w:tblPrEx>
          <w:tblCellMar>
            <w:top w:w="0" w:type="dxa"/>
            <w:left w:w="108" w:type="dxa"/>
            <w:bottom w:w="0" w:type="dxa"/>
            <w:right w:w="108" w:type="dxa"/>
          </w:tblCellMar>
        </w:tblPrEx>
        <w:tc>
          <w:tcPr>
            <w:tcW w:w="1701" w:type="dxa"/>
            <w:tcBorders>
              <w:top w:val="single" w:color="000000" w:sz="4" w:space="0"/>
              <w:left w:val="nil"/>
              <w:bottom w:val="nil"/>
              <w:right w:val="nil"/>
            </w:tcBorders>
            <w:shd w:val="clear" w:color="auto" w:fill="FFFFFF"/>
          </w:tcPr>
          <w:p w14:paraId="60C67D42">
            <w:pPr>
              <w:rPr>
                <w:b w:val="0"/>
                <w:color w:val="000000"/>
              </w:rPr>
            </w:pPr>
            <w:r>
              <w:rPr>
                <w:rFonts w:ascii="宋体" w:hAnsi="宋体" w:eastAsia="宋体"/>
                <w:b w:val="0"/>
                <w:color w:val="000000"/>
                <w:sz w:val="20"/>
              </w:rPr>
              <w:t>路径A·</w:t>
            </w:r>
            <w:r>
              <w:rPr>
                <w:rFonts w:ascii="宋体" w:hAnsi="宋体" w:eastAsia="宋体"/>
                <w:b w:val="0"/>
                <w:color w:val="000000"/>
                <w:sz w:val="20"/>
                <w:highlight w:val="yellow"/>
              </w:rPr>
              <w:t>纯场地租赁</w:t>
            </w:r>
          </w:p>
        </w:tc>
        <w:tc>
          <w:tcPr>
            <w:tcW w:w="2268" w:type="dxa"/>
            <w:tcBorders>
              <w:top w:val="single" w:color="000000" w:sz="4" w:space="0"/>
              <w:left w:val="nil"/>
              <w:bottom w:val="nil"/>
              <w:right w:val="nil"/>
            </w:tcBorders>
            <w:shd w:val="clear" w:color="auto" w:fill="FFFFFF"/>
          </w:tcPr>
          <w:p w14:paraId="45E5C7C8">
            <w:pPr>
              <w:rPr>
                <w:b w:val="0"/>
                <w:color w:val="000000"/>
              </w:rPr>
            </w:pPr>
            <w:r>
              <w:rPr>
                <w:rFonts w:ascii="宋体" w:hAnsi="宋体" w:eastAsia="宋体"/>
                <w:b w:val="0"/>
                <w:color w:val="000000"/>
                <w:sz w:val="20"/>
              </w:rPr>
              <w:t>民事场地租赁,村委会不参与经营</w:t>
            </w:r>
          </w:p>
        </w:tc>
        <w:tc>
          <w:tcPr>
            <w:tcW w:w="2551" w:type="dxa"/>
            <w:tcBorders>
              <w:top w:val="single" w:color="000000" w:sz="4" w:space="0"/>
              <w:left w:val="nil"/>
              <w:bottom w:val="nil"/>
              <w:right w:val="nil"/>
            </w:tcBorders>
            <w:shd w:val="clear" w:color="auto" w:fill="FFFFFF"/>
          </w:tcPr>
          <w:p w14:paraId="339E7C28">
            <w:pPr>
              <w:rPr>
                <w:b w:val="0"/>
                <w:color w:val="000000"/>
              </w:rPr>
            </w:pPr>
            <w:r>
              <w:rPr>
                <w:rFonts w:ascii="宋体" w:hAnsi="宋体" w:eastAsia="宋体"/>
                <w:b w:val="0"/>
                <w:color w:val="000000"/>
                <w:sz w:val="20"/>
              </w:rPr>
              <w:t>外部无人零售公司(友宝、美宜多、丰e足食等)</w:t>
            </w:r>
          </w:p>
        </w:tc>
        <w:tc>
          <w:tcPr>
            <w:tcW w:w="1701" w:type="dxa"/>
            <w:tcBorders>
              <w:top w:val="single" w:color="000000" w:sz="4" w:space="0"/>
              <w:left w:val="nil"/>
              <w:bottom w:val="nil"/>
              <w:right w:val="nil"/>
            </w:tcBorders>
            <w:shd w:val="clear" w:color="auto" w:fill="FFFFFF"/>
          </w:tcPr>
          <w:p w14:paraId="5A38AAE5">
            <w:pPr>
              <w:rPr>
                <w:b w:val="0"/>
                <w:color w:val="000000"/>
              </w:rPr>
            </w:pPr>
            <w:r>
              <w:rPr>
                <w:rFonts w:ascii="宋体" w:hAnsi="宋体" w:eastAsia="宋体"/>
                <w:b w:val="0"/>
                <w:color w:val="000000"/>
                <w:sz w:val="20"/>
              </w:rPr>
              <w:t>场地出租方</w:t>
            </w:r>
          </w:p>
        </w:tc>
        <w:tc>
          <w:tcPr>
            <w:tcW w:w="1417" w:type="dxa"/>
            <w:tcBorders>
              <w:top w:val="single" w:color="000000" w:sz="4" w:space="0"/>
              <w:left w:val="nil"/>
              <w:bottom w:val="nil"/>
              <w:right w:val="nil"/>
            </w:tcBorders>
            <w:shd w:val="clear" w:color="auto" w:fill="FFFFFF"/>
          </w:tcPr>
          <w:p w14:paraId="71125559">
            <w:pPr>
              <w:rPr>
                <w:b w:val="0"/>
                <w:color w:val="000000"/>
              </w:rPr>
            </w:pPr>
            <w:r>
              <w:rPr>
                <w:rFonts w:ascii="宋体" w:hAnsi="宋体" w:eastAsia="宋体"/>
                <w:b w:val="0"/>
                <w:color w:val="000000"/>
                <w:sz w:val="20"/>
              </w:rPr>
              <w:t>最低</w:t>
            </w:r>
          </w:p>
        </w:tc>
      </w:tr>
      <w:tr w14:paraId="32838312">
        <w:tblPrEx>
          <w:tblCellMar>
            <w:top w:w="0" w:type="dxa"/>
            <w:left w:w="108" w:type="dxa"/>
            <w:bottom w:w="0" w:type="dxa"/>
            <w:right w:w="108" w:type="dxa"/>
          </w:tblCellMar>
        </w:tblPrEx>
        <w:tc>
          <w:tcPr>
            <w:tcW w:w="1701" w:type="dxa"/>
            <w:tcBorders>
              <w:top w:val="nil"/>
              <w:left w:val="nil"/>
              <w:bottom w:val="nil"/>
              <w:right w:val="nil"/>
            </w:tcBorders>
            <w:shd w:val="clear" w:color="auto" w:fill="FFFFFF"/>
          </w:tcPr>
          <w:p w14:paraId="5EB66FAD">
            <w:pPr>
              <w:rPr>
                <w:b w:val="0"/>
                <w:color w:val="000000"/>
              </w:rPr>
            </w:pPr>
            <w:r>
              <w:rPr>
                <w:rFonts w:ascii="宋体" w:hAnsi="宋体" w:eastAsia="宋体"/>
                <w:b w:val="0"/>
                <w:color w:val="000000"/>
                <w:sz w:val="20"/>
              </w:rPr>
              <w:t>路径B·</w:t>
            </w:r>
            <w:r>
              <w:rPr>
                <w:rFonts w:ascii="宋体" w:hAnsi="宋体" w:eastAsia="宋体"/>
                <w:b w:val="0"/>
                <w:color w:val="000000"/>
                <w:sz w:val="20"/>
                <w:highlight w:val="yellow"/>
              </w:rPr>
              <w:t>合作社挂靠</w:t>
            </w:r>
          </w:p>
        </w:tc>
        <w:tc>
          <w:tcPr>
            <w:tcW w:w="2268" w:type="dxa"/>
            <w:tcBorders>
              <w:top w:val="nil"/>
              <w:left w:val="nil"/>
              <w:bottom w:val="nil"/>
              <w:right w:val="nil"/>
            </w:tcBorders>
            <w:shd w:val="clear" w:color="auto" w:fill="FFFFFF"/>
          </w:tcPr>
          <w:p w14:paraId="528B72B6">
            <w:pPr>
              <w:rPr>
                <w:b w:val="0"/>
                <w:color w:val="000000"/>
              </w:rPr>
            </w:pPr>
            <w:r>
              <w:rPr>
                <w:rFonts w:ascii="宋体" w:hAnsi="宋体" w:eastAsia="宋体"/>
                <w:b w:val="0"/>
                <w:color w:val="000000"/>
                <w:sz w:val="20"/>
              </w:rPr>
              <w:t>现有合作社经营许可下的销售设施</w:t>
            </w:r>
          </w:p>
        </w:tc>
        <w:tc>
          <w:tcPr>
            <w:tcW w:w="2551" w:type="dxa"/>
            <w:tcBorders>
              <w:top w:val="nil"/>
              <w:left w:val="nil"/>
              <w:bottom w:val="nil"/>
              <w:right w:val="nil"/>
            </w:tcBorders>
            <w:shd w:val="clear" w:color="auto" w:fill="FFFFFF"/>
          </w:tcPr>
          <w:p w14:paraId="2D289F1E">
            <w:pPr>
              <w:rPr>
                <w:b w:val="0"/>
                <w:color w:val="000000"/>
              </w:rPr>
            </w:pPr>
            <w:r>
              <w:rPr>
                <w:rFonts w:ascii="宋体" w:hAnsi="宋体" w:eastAsia="宋体"/>
                <w:b w:val="0"/>
                <w:color w:val="000000"/>
                <w:sz w:val="20"/>
              </w:rPr>
              <w:t>杨家东庄合作社</w:t>
            </w:r>
          </w:p>
        </w:tc>
        <w:tc>
          <w:tcPr>
            <w:tcW w:w="1701" w:type="dxa"/>
            <w:tcBorders>
              <w:top w:val="nil"/>
              <w:left w:val="nil"/>
              <w:bottom w:val="nil"/>
              <w:right w:val="nil"/>
            </w:tcBorders>
            <w:shd w:val="clear" w:color="auto" w:fill="FFFFFF"/>
          </w:tcPr>
          <w:p w14:paraId="7238DAF9">
            <w:pPr>
              <w:rPr>
                <w:b w:val="0"/>
                <w:color w:val="000000"/>
              </w:rPr>
            </w:pPr>
            <w:r>
              <w:rPr>
                <w:rFonts w:ascii="宋体" w:hAnsi="宋体" w:eastAsia="宋体"/>
                <w:b w:val="0"/>
                <w:color w:val="000000"/>
                <w:sz w:val="20"/>
              </w:rPr>
              <w:t>实际经营方</w:t>
            </w:r>
          </w:p>
        </w:tc>
        <w:tc>
          <w:tcPr>
            <w:tcW w:w="1417" w:type="dxa"/>
            <w:tcBorders>
              <w:top w:val="nil"/>
              <w:left w:val="nil"/>
              <w:bottom w:val="nil"/>
              <w:right w:val="nil"/>
            </w:tcBorders>
            <w:shd w:val="clear" w:color="auto" w:fill="FFFFFF"/>
          </w:tcPr>
          <w:p w14:paraId="1271D568">
            <w:pPr>
              <w:rPr>
                <w:b w:val="0"/>
                <w:color w:val="000000"/>
              </w:rPr>
            </w:pPr>
            <w:r>
              <w:rPr>
                <w:rFonts w:ascii="宋体" w:hAnsi="宋体" w:eastAsia="宋体"/>
                <w:b w:val="0"/>
                <w:color w:val="000000"/>
                <w:sz w:val="20"/>
              </w:rPr>
              <w:t>中等(需备案经营范围)</w:t>
            </w:r>
          </w:p>
        </w:tc>
      </w:tr>
      <w:tr w14:paraId="3138C996">
        <w:tblPrEx>
          <w:tblCellMar>
            <w:top w:w="0" w:type="dxa"/>
            <w:left w:w="108" w:type="dxa"/>
            <w:bottom w:w="0" w:type="dxa"/>
            <w:right w:w="108" w:type="dxa"/>
          </w:tblCellMar>
        </w:tblPrEx>
        <w:tc>
          <w:tcPr>
            <w:tcW w:w="1701" w:type="dxa"/>
            <w:tcBorders>
              <w:top w:val="nil"/>
              <w:left w:val="nil"/>
              <w:bottom w:val="single" w:color="000000" w:sz="12" w:space="0"/>
              <w:right w:val="nil"/>
            </w:tcBorders>
            <w:shd w:val="clear" w:color="auto" w:fill="FFFFFF"/>
          </w:tcPr>
          <w:p w14:paraId="23B45A92">
            <w:pPr>
              <w:rPr>
                <w:b w:val="0"/>
                <w:color w:val="000000"/>
              </w:rPr>
            </w:pPr>
            <w:r>
              <w:rPr>
                <w:rFonts w:ascii="宋体" w:hAnsi="宋体" w:eastAsia="宋体"/>
                <w:b w:val="0"/>
                <w:color w:val="000000"/>
                <w:sz w:val="20"/>
              </w:rPr>
              <w:t>路径C·</w:t>
            </w:r>
            <w:r>
              <w:rPr>
                <w:rFonts w:ascii="宋体" w:hAnsi="宋体" w:eastAsia="宋体"/>
                <w:b w:val="0"/>
                <w:color w:val="000000"/>
                <w:sz w:val="20"/>
                <w:highlight w:val="yellow"/>
              </w:rPr>
              <w:t>便民服务点</w:t>
            </w:r>
          </w:p>
        </w:tc>
        <w:tc>
          <w:tcPr>
            <w:tcW w:w="2268" w:type="dxa"/>
            <w:tcBorders>
              <w:top w:val="nil"/>
              <w:left w:val="nil"/>
              <w:bottom w:val="single" w:color="000000" w:sz="12" w:space="0"/>
              <w:right w:val="nil"/>
            </w:tcBorders>
            <w:shd w:val="clear" w:color="auto" w:fill="FFFFFF"/>
          </w:tcPr>
          <w:p w14:paraId="3A845B63">
            <w:pPr>
              <w:rPr>
                <w:b w:val="0"/>
                <w:color w:val="000000"/>
              </w:rPr>
            </w:pPr>
            <w:r>
              <w:rPr>
                <w:rFonts w:ascii="宋体" w:hAnsi="宋体" w:eastAsia="宋体"/>
                <w:b w:val="0"/>
                <w:color w:val="000000"/>
                <w:sz w:val="20"/>
              </w:rPr>
              <w:t>乡村公共便民服务设施,非纯商业</w:t>
            </w:r>
          </w:p>
        </w:tc>
        <w:tc>
          <w:tcPr>
            <w:tcW w:w="2551" w:type="dxa"/>
            <w:tcBorders>
              <w:top w:val="nil"/>
              <w:left w:val="nil"/>
              <w:bottom w:val="single" w:color="000000" w:sz="12" w:space="0"/>
              <w:right w:val="nil"/>
            </w:tcBorders>
            <w:shd w:val="clear" w:color="auto" w:fill="FFFFFF"/>
          </w:tcPr>
          <w:p w14:paraId="35FCA38E">
            <w:pPr>
              <w:rPr>
                <w:b w:val="0"/>
                <w:color w:val="000000"/>
              </w:rPr>
            </w:pPr>
            <w:r>
              <w:rPr>
                <w:rFonts w:ascii="宋体" w:hAnsi="宋体" w:eastAsia="宋体"/>
                <w:b w:val="0"/>
                <w:color w:val="000000"/>
                <w:sz w:val="20"/>
              </w:rPr>
              <w:t>村委会+区级便民服务体系</w:t>
            </w:r>
          </w:p>
        </w:tc>
        <w:tc>
          <w:tcPr>
            <w:tcW w:w="1701" w:type="dxa"/>
            <w:tcBorders>
              <w:top w:val="nil"/>
              <w:left w:val="nil"/>
              <w:bottom w:val="single" w:color="000000" w:sz="12" w:space="0"/>
              <w:right w:val="nil"/>
            </w:tcBorders>
            <w:shd w:val="clear" w:color="auto" w:fill="FFFFFF"/>
          </w:tcPr>
          <w:p w14:paraId="4F780CAE">
            <w:pPr>
              <w:rPr>
                <w:b w:val="0"/>
                <w:color w:val="000000"/>
              </w:rPr>
            </w:pPr>
            <w:r>
              <w:rPr>
                <w:rFonts w:ascii="宋体" w:hAnsi="宋体" w:eastAsia="宋体"/>
                <w:b w:val="0"/>
                <w:color w:val="000000"/>
                <w:sz w:val="20"/>
              </w:rPr>
              <w:t>主办方</w:t>
            </w:r>
          </w:p>
        </w:tc>
        <w:tc>
          <w:tcPr>
            <w:tcW w:w="1417" w:type="dxa"/>
            <w:tcBorders>
              <w:top w:val="nil"/>
              <w:left w:val="nil"/>
              <w:bottom w:val="single" w:color="000000" w:sz="12" w:space="0"/>
              <w:right w:val="nil"/>
            </w:tcBorders>
            <w:shd w:val="clear" w:color="auto" w:fill="FFFFFF"/>
          </w:tcPr>
          <w:p w14:paraId="5D2D8EDE">
            <w:pPr>
              <w:rPr>
                <w:b w:val="0"/>
                <w:color w:val="000000"/>
              </w:rPr>
            </w:pPr>
            <w:r>
              <w:rPr>
                <w:rFonts w:ascii="宋体" w:hAnsi="宋体" w:eastAsia="宋体"/>
                <w:b w:val="0"/>
                <w:color w:val="000000"/>
                <w:sz w:val="20"/>
              </w:rPr>
              <w:t>高(需政府推动)</w:t>
            </w:r>
          </w:p>
        </w:tc>
      </w:tr>
    </w:tbl>
    <w:p w14:paraId="6B25E551">
      <w:pPr>
        <w:spacing w:after="120"/>
      </w:pPr>
    </w:p>
    <w:p w14:paraId="30F20CD9">
      <w:pPr>
        <w:spacing w:after="80" w:line="360" w:lineRule="auto"/>
        <w:ind w:firstLine="440"/>
      </w:pPr>
      <w:r>
        <w:rPr>
          <w:rFonts w:ascii="宋体" w:hAnsi="宋体" w:eastAsia="宋体"/>
          <w:b/>
          <w:bCs/>
          <w:sz w:val="22"/>
          <w:highlight w:val="yellow"/>
        </w:rPr>
        <w:t>首期推荐路径A</w:t>
      </w:r>
      <w:r>
        <w:rPr>
          <w:rFonts w:ascii="宋体" w:hAnsi="宋体" w:eastAsia="宋体"/>
          <w:b/>
          <w:bCs/>
          <w:sz w:val="22"/>
        </w:rPr>
        <w:t>,理由有三:一是合规风险最低,村委会不沾经营主体责任;二是启动周期最短,签合同即可入驻;三是硬约束下各方心理接受度最高。</w:t>
      </w:r>
      <w:r>
        <w:rPr>
          <w:rFonts w:ascii="宋体" w:hAnsi="宋体" w:eastAsia="宋体"/>
          <w:b w:val="0"/>
          <w:sz w:val="22"/>
        </w:rPr>
        <w:t>在路径A跑通后,对于本村农产品(樱桃文创、水源林菌礼盒等)这类高毛利、高品牌粘性品类,</w:t>
      </w:r>
      <w:r>
        <w:rPr>
          <w:rFonts w:ascii="宋体" w:hAnsi="宋体" w:eastAsia="宋体"/>
          <w:b w:val="0"/>
          <w:sz w:val="22"/>
          <w:highlight w:val="yellow"/>
        </w:rPr>
        <w:t>再小规模试点路径B</w:t>
      </w:r>
      <w:r>
        <w:rPr>
          <w:rFonts w:ascii="宋体" w:hAnsi="宋体" w:eastAsia="宋体"/>
          <w:b w:val="0"/>
          <w:sz w:val="22"/>
        </w:rPr>
        <w:t>,由合作社自营以留住更多毛利。</w:t>
      </w:r>
      <w:r>
        <w:rPr>
          <w:rFonts w:ascii="宋体" w:hAnsi="宋体" w:eastAsia="宋体"/>
          <w:b w:val="0"/>
          <w:sz w:val="22"/>
          <w:highlight w:val="yellow"/>
        </w:rPr>
        <w:t>路径C则是3年以上的长期争取</w:t>
      </w:r>
      <w:r>
        <w:rPr>
          <w:rFonts w:ascii="宋体" w:hAnsi="宋体" w:eastAsia="宋体"/>
          <w:b w:val="0"/>
          <w:sz w:val="22"/>
        </w:rPr>
        <w:t>,一旦获得区级便民服务点认定,将同时获得政策稳定性与可能的补贴。</w:t>
      </w:r>
    </w:p>
    <w:p w14:paraId="488FAC9C">
      <w:pPr>
        <w:pStyle w:val="4"/>
        <w:bidi w:val="0"/>
      </w:pPr>
      <w:bookmarkStart w:id="113" w:name="_Toc2092"/>
      <w:r>
        <w:t>6.5.2 选址与流量真实测算</w:t>
      </w:r>
      <w:bookmarkEnd w:id="113"/>
    </w:p>
    <w:p w14:paraId="2550C2E4">
      <w:pPr>
        <w:spacing w:before="160" w:after="80"/>
      </w:pPr>
      <w:r>
        <w:rPr>
          <w:rFonts w:hint="eastAsia" w:ascii="黑体" w:hAnsi="黑体" w:eastAsia="黑体"/>
          <w:b/>
          <w:sz w:val="24"/>
          <w:lang w:val="en-US" w:eastAsia="zh-CN"/>
        </w:rPr>
        <w:t>a.</w:t>
      </w:r>
      <w:r>
        <w:rPr>
          <w:rFonts w:ascii="黑体" w:hAnsi="黑体" w:eastAsia="黑体"/>
          <w:b/>
          <w:sz w:val="24"/>
        </w:rPr>
        <w:t>三个候选点位</w:t>
      </w:r>
    </w:p>
    <w:tbl>
      <w:tblPr>
        <w:tblStyle w:val="14"/>
        <w:tblW w:w="0" w:type="auto"/>
        <w:tblInd w:w="0" w:type="dxa"/>
        <w:tblLayout w:type="autofit"/>
        <w:tblCellMar>
          <w:top w:w="0" w:type="dxa"/>
          <w:left w:w="108" w:type="dxa"/>
          <w:bottom w:w="0" w:type="dxa"/>
          <w:right w:w="108" w:type="dxa"/>
        </w:tblCellMar>
      </w:tblPr>
      <w:tblGrid>
        <w:gridCol w:w="800"/>
        <w:gridCol w:w="2307"/>
        <w:gridCol w:w="2832"/>
        <w:gridCol w:w="2583"/>
      </w:tblGrid>
      <w:tr w14:paraId="09AD58DB">
        <w:tblPrEx>
          <w:tblCellMar>
            <w:top w:w="0" w:type="dxa"/>
            <w:left w:w="108" w:type="dxa"/>
            <w:bottom w:w="0" w:type="dxa"/>
            <w:right w:w="108" w:type="dxa"/>
          </w:tblCellMar>
        </w:tblPrEx>
        <w:tc>
          <w:tcPr>
            <w:tcW w:w="850" w:type="dxa"/>
            <w:tcBorders>
              <w:top w:val="single" w:color="000000" w:sz="12" w:space="0"/>
              <w:left w:val="nil"/>
              <w:bottom w:val="single" w:color="000000" w:sz="4" w:space="0"/>
              <w:right w:val="nil"/>
              <w:tl2br w:val="nil"/>
            </w:tcBorders>
            <w:shd w:val="clear" w:color="auto" w:fill="FFFFFF"/>
          </w:tcPr>
          <w:p w14:paraId="48A24570">
            <w:pPr>
              <w:jc w:val="center"/>
              <w:rPr>
                <w:b w:val="0"/>
                <w:color w:val="000000"/>
              </w:rPr>
            </w:pPr>
            <w:r>
              <w:rPr>
                <w:rFonts w:ascii="黑体" w:hAnsi="黑体" w:eastAsia="黑体"/>
                <w:b w:val="0"/>
                <w:color w:val="000000"/>
                <w:sz w:val="20"/>
              </w:rPr>
              <w:t>编号</w:t>
            </w:r>
          </w:p>
        </w:tc>
        <w:tc>
          <w:tcPr>
            <w:tcW w:w="2551" w:type="dxa"/>
            <w:tcBorders>
              <w:top w:val="single" w:color="000000" w:sz="12" w:space="0"/>
              <w:left w:val="nil"/>
              <w:bottom w:val="single" w:color="000000" w:sz="4" w:space="0"/>
              <w:right w:val="nil"/>
            </w:tcBorders>
            <w:shd w:val="clear" w:color="auto" w:fill="FFFFFF"/>
          </w:tcPr>
          <w:p w14:paraId="3070E874">
            <w:pPr>
              <w:jc w:val="center"/>
              <w:rPr>
                <w:b w:val="0"/>
                <w:color w:val="000000"/>
              </w:rPr>
            </w:pPr>
            <w:r>
              <w:rPr>
                <w:rFonts w:ascii="黑体" w:hAnsi="黑体" w:eastAsia="黑体"/>
                <w:b w:val="0"/>
                <w:color w:val="000000"/>
                <w:sz w:val="20"/>
              </w:rPr>
              <w:t>位置</w:t>
            </w:r>
          </w:p>
        </w:tc>
        <w:tc>
          <w:tcPr>
            <w:tcW w:w="3118" w:type="dxa"/>
            <w:tcBorders>
              <w:top w:val="single" w:color="000000" w:sz="12" w:space="0"/>
              <w:left w:val="nil"/>
              <w:bottom w:val="single" w:color="000000" w:sz="4" w:space="0"/>
              <w:right w:val="nil"/>
            </w:tcBorders>
            <w:shd w:val="clear" w:color="auto" w:fill="FFFFFF"/>
          </w:tcPr>
          <w:p w14:paraId="249829CF">
            <w:pPr>
              <w:jc w:val="center"/>
              <w:rPr>
                <w:b w:val="0"/>
                <w:color w:val="000000"/>
              </w:rPr>
            </w:pPr>
            <w:r>
              <w:rPr>
                <w:rFonts w:ascii="黑体" w:hAnsi="黑体" w:eastAsia="黑体"/>
                <w:b w:val="0"/>
                <w:color w:val="000000"/>
                <w:sz w:val="20"/>
              </w:rPr>
              <w:t>优势</w:t>
            </w:r>
          </w:p>
        </w:tc>
        <w:tc>
          <w:tcPr>
            <w:tcW w:w="2835" w:type="dxa"/>
            <w:tcBorders>
              <w:top w:val="single" w:color="000000" w:sz="12" w:space="0"/>
              <w:left w:val="nil"/>
              <w:bottom w:val="single" w:color="000000" w:sz="4" w:space="0"/>
              <w:right w:val="nil"/>
            </w:tcBorders>
            <w:shd w:val="clear" w:color="auto" w:fill="FFFFFF"/>
          </w:tcPr>
          <w:p w14:paraId="39A946DA">
            <w:pPr>
              <w:jc w:val="center"/>
              <w:rPr>
                <w:b w:val="0"/>
                <w:color w:val="000000"/>
              </w:rPr>
            </w:pPr>
            <w:r>
              <w:rPr>
                <w:rFonts w:ascii="黑体" w:hAnsi="黑体" w:eastAsia="黑体"/>
                <w:b w:val="0"/>
                <w:color w:val="000000"/>
                <w:sz w:val="20"/>
              </w:rPr>
              <w:t>劣势</w:t>
            </w:r>
          </w:p>
        </w:tc>
      </w:tr>
      <w:tr w14:paraId="1B683699">
        <w:tblPrEx>
          <w:tblCellMar>
            <w:top w:w="0" w:type="dxa"/>
            <w:left w:w="108" w:type="dxa"/>
            <w:bottom w:w="0" w:type="dxa"/>
            <w:right w:w="108" w:type="dxa"/>
          </w:tblCellMar>
        </w:tblPrEx>
        <w:tc>
          <w:tcPr>
            <w:tcW w:w="850" w:type="dxa"/>
            <w:tcBorders>
              <w:top w:val="single" w:color="000000" w:sz="4" w:space="0"/>
              <w:left w:val="nil"/>
              <w:bottom w:val="nil"/>
              <w:right w:val="nil"/>
            </w:tcBorders>
            <w:shd w:val="clear" w:color="auto" w:fill="FFFFFF"/>
          </w:tcPr>
          <w:p w14:paraId="1DA4450C">
            <w:pPr>
              <w:rPr>
                <w:b w:val="0"/>
                <w:color w:val="000000"/>
              </w:rPr>
            </w:pPr>
            <w:r>
              <w:rPr>
                <w:rFonts w:ascii="宋体" w:hAnsi="宋体" w:eastAsia="宋体"/>
                <w:b w:val="0"/>
                <w:color w:val="000000"/>
                <w:sz w:val="20"/>
              </w:rPr>
              <w:t>P1</w:t>
            </w:r>
          </w:p>
        </w:tc>
        <w:tc>
          <w:tcPr>
            <w:tcW w:w="2551" w:type="dxa"/>
            <w:tcBorders>
              <w:top w:val="single" w:color="000000" w:sz="4" w:space="0"/>
              <w:left w:val="nil"/>
              <w:bottom w:val="nil"/>
              <w:right w:val="nil"/>
            </w:tcBorders>
            <w:shd w:val="clear" w:color="auto" w:fill="FFFFFF"/>
          </w:tcPr>
          <w:p w14:paraId="3176E76F">
            <w:pPr>
              <w:rPr>
                <w:b w:val="0"/>
                <w:color w:val="000000"/>
              </w:rPr>
            </w:pPr>
            <w:r>
              <w:rPr>
                <w:rFonts w:ascii="宋体" w:hAnsi="宋体" w:eastAsia="宋体"/>
                <w:b w:val="0"/>
                <w:color w:val="000000"/>
                <w:sz w:val="20"/>
              </w:rPr>
              <w:t>村口主干道入口</w:t>
            </w:r>
          </w:p>
        </w:tc>
        <w:tc>
          <w:tcPr>
            <w:tcW w:w="3118" w:type="dxa"/>
            <w:tcBorders>
              <w:top w:val="single" w:color="000000" w:sz="4" w:space="0"/>
              <w:left w:val="nil"/>
              <w:bottom w:val="nil"/>
              <w:right w:val="nil"/>
            </w:tcBorders>
            <w:shd w:val="clear" w:color="auto" w:fill="FFFFFF"/>
          </w:tcPr>
          <w:p w14:paraId="7BA3209B">
            <w:pPr>
              <w:rPr>
                <w:b w:val="0"/>
                <w:color w:val="000000"/>
              </w:rPr>
            </w:pPr>
            <w:r>
              <w:rPr>
                <w:rFonts w:ascii="宋体" w:hAnsi="宋体" w:eastAsia="宋体"/>
                <w:b w:val="0"/>
                <w:color w:val="000000"/>
                <w:sz w:val="20"/>
              </w:rPr>
              <w:t>骑行者必经、流量最大</w:t>
            </w:r>
          </w:p>
        </w:tc>
        <w:tc>
          <w:tcPr>
            <w:tcW w:w="2835" w:type="dxa"/>
            <w:tcBorders>
              <w:top w:val="single" w:color="000000" w:sz="4" w:space="0"/>
              <w:left w:val="nil"/>
              <w:bottom w:val="nil"/>
              <w:right w:val="nil"/>
            </w:tcBorders>
            <w:shd w:val="clear" w:color="auto" w:fill="FFFFFF"/>
          </w:tcPr>
          <w:p w14:paraId="2BB222A0">
            <w:pPr>
              <w:rPr>
                <w:b w:val="0"/>
                <w:color w:val="000000"/>
              </w:rPr>
            </w:pPr>
            <w:r>
              <w:rPr>
                <w:rFonts w:ascii="宋体" w:hAnsi="宋体" w:eastAsia="宋体"/>
                <w:b w:val="0"/>
                <w:color w:val="000000"/>
                <w:sz w:val="20"/>
              </w:rPr>
              <w:t>需避开水源核心区红线</w:t>
            </w:r>
          </w:p>
        </w:tc>
      </w:tr>
      <w:tr w14:paraId="2D9D4D14">
        <w:tblPrEx>
          <w:tblCellMar>
            <w:top w:w="0" w:type="dxa"/>
            <w:left w:w="108" w:type="dxa"/>
            <w:bottom w:w="0" w:type="dxa"/>
            <w:right w:w="108" w:type="dxa"/>
          </w:tblCellMar>
        </w:tblPrEx>
        <w:tc>
          <w:tcPr>
            <w:tcW w:w="850" w:type="dxa"/>
            <w:tcBorders>
              <w:top w:val="nil"/>
              <w:left w:val="nil"/>
              <w:bottom w:val="nil"/>
              <w:right w:val="nil"/>
            </w:tcBorders>
            <w:shd w:val="clear" w:color="auto" w:fill="FFFFFF"/>
          </w:tcPr>
          <w:p w14:paraId="19280C97">
            <w:pPr>
              <w:rPr>
                <w:b w:val="0"/>
                <w:color w:val="000000"/>
              </w:rPr>
            </w:pPr>
            <w:r>
              <w:rPr>
                <w:rFonts w:ascii="宋体" w:hAnsi="宋体" w:eastAsia="宋体"/>
                <w:b w:val="0"/>
                <w:color w:val="000000"/>
                <w:sz w:val="20"/>
              </w:rPr>
              <w:t>P2</w:t>
            </w:r>
          </w:p>
        </w:tc>
        <w:tc>
          <w:tcPr>
            <w:tcW w:w="2551" w:type="dxa"/>
            <w:tcBorders>
              <w:top w:val="nil"/>
              <w:left w:val="nil"/>
              <w:bottom w:val="nil"/>
              <w:right w:val="nil"/>
            </w:tcBorders>
            <w:shd w:val="clear" w:color="auto" w:fill="FFFFFF"/>
          </w:tcPr>
          <w:p w14:paraId="3DA787AC">
            <w:pPr>
              <w:rPr>
                <w:b w:val="0"/>
                <w:color w:val="000000"/>
              </w:rPr>
            </w:pPr>
            <w:r>
              <w:rPr>
                <w:rFonts w:ascii="宋体" w:hAnsi="宋体" w:eastAsia="宋体"/>
                <w:b w:val="0"/>
                <w:color w:val="000000"/>
                <w:sz w:val="20"/>
              </w:rPr>
              <w:t>樱桃园入口</w:t>
            </w:r>
          </w:p>
        </w:tc>
        <w:tc>
          <w:tcPr>
            <w:tcW w:w="3118" w:type="dxa"/>
            <w:tcBorders>
              <w:top w:val="nil"/>
              <w:left w:val="nil"/>
              <w:bottom w:val="nil"/>
              <w:right w:val="nil"/>
            </w:tcBorders>
            <w:shd w:val="clear" w:color="auto" w:fill="FFFFFF"/>
          </w:tcPr>
          <w:p w14:paraId="790D5CA3">
            <w:pPr>
              <w:rPr>
                <w:b w:val="0"/>
                <w:color w:val="000000"/>
              </w:rPr>
            </w:pPr>
            <w:r>
              <w:rPr>
                <w:rFonts w:ascii="宋体" w:hAnsi="宋体" w:eastAsia="宋体"/>
                <w:b w:val="0"/>
                <w:color w:val="000000"/>
                <w:sz w:val="20"/>
              </w:rPr>
              <w:t>采摘季叠加认养流量</w:t>
            </w:r>
          </w:p>
        </w:tc>
        <w:tc>
          <w:tcPr>
            <w:tcW w:w="2835" w:type="dxa"/>
            <w:tcBorders>
              <w:top w:val="nil"/>
              <w:left w:val="nil"/>
              <w:bottom w:val="nil"/>
              <w:right w:val="nil"/>
            </w:tcBorders>
            <w:shd w:val="clear" w:color="auto" w:fill="FFFFFF"/>
          </w:tcPr>
          <w:p w14:paraId="00F3CB45">
            <w:pPr>
              <w:rPr>
                <w:b w:val="0"/>
                <w:color w:val="000000"/>
              </w:rPr>
            </w:pPr>
            <w:r>
              <w:rPr>
                <w:rFonts w:ascii="宋体" w:hAnsi="宋体" w:eastAsia="宋体"/>
                <w:b w:val="0"/>
                <w:color w:val="000000"/>
                <w:sz w:val="20"/>
              </w:rPr>
              <w:t>骑行者未必抵达、淡季流量低</w:t>
            </w:r>
          </w:p>
        </w:tc>
      </w:tr>
      <w:tr w14:paraId="56A4EB96">
        <w:tblPrEx>
          <w:tblCellMar>
            <w:top w:w="0" w:type="dxa"/>
            <w:left w:w="108" w:type="dxa"/>
            <w:bottom w:w="0" w:type="dxa"/>
            <w:right w:w="108" w:type="dxa"/>
          </w:tblCellMar>
        </w:tblPrEx>
        <w:tc>
          <w:tcPr>
            <w:tcW w:w="850" w:type="dxa"/>
            <w:tcBorders>
              <w:top w:val="nil"/>
              <w:left w:val="nil"/>
              <w:bottom w:val="single" w:color="000000" w:sz="12" w:space="0"/>
              <w:right w:val="nil"/>
            </w:tcBorders>
            <w:shd w:val="clear" w:color="auto" w:fill="FFFFFF"/>
          </w:tcPr>
          <w:p w14:paraId="4488ED21">
            <w:pPr>
              <w:rPr>
                <w:b w:val="0"/>
                <w:color w:val="000000"/>
              </w:rPr>
            </w:pPr>
            <w:r>
              <w:rPr>
                <w:rFonts w:ascii="宋体" w:hAnsi="宋体" w:eastAsia="宋体"/>
                <w:b w:val="0"/>
                <w:color w:val="000000"/>
                <w:sz w:val="20"/>
              </w:rPr>
              <w:t>P3</w:t>
            </w:r>
          </w:p>
        </w:tc>
        <w:tc>
          <w:tcPr>
            <w:tcW w:w="2551" w:type="dxa"/>
            <w:tcBorders>
              <w:top w:val="nil"/>
              <w:left w:val="nil"/>
              <w:bottom w:val="single" w:color="000000" w:sz="12" w:space="0"/>
              <w:right w:val="nil"/>
            </w:tcBorders>
            <w:shd w:val="clear" w:color="auto" w:fill="FFFFFF"/>
          </w:tcPr>
          <w:p w14:paraId="4F1CDAC8">
            <w:pPr>
              <w:rPr>
                <w:b w:val="0"/>
                <w:color w:val="000000"/>
              </w:rPr>
            </w:pPr>
            <w:r>
              <w:rPr>
                <w:rFonts w:ascii="宋体" w:hAnsi="宋体" w:eastAsia="宋体"/>
                <w:b w:val="0"/>
                <w:color w:val="000000"/>
                <w:sz w:val="20"/>
              </w:rPr>
              <w:t>秦家东庄—杨家东庄交界处</w:t>
            </w:r>
          </w:p>
        </w:tc>
        <w:tc>
          <w:tcPr>
            <w:tcW w:w="3118" w:type="dxa"/>
            <w:tcBorders>
              <w:top w:val="nil"/>
              <w:left w:val="nil"/>
              <w:bottom w:val="single" w:color="000000" w:sz="12" w:space="0"/>
              <w:right w:val="nil"/>
            </w:tcBorders>
            <w:shd w:val="clear" w:color="auto" w:fill="FFFFFF"/>
          </w:tcPr>
          <w:p w14:paraId="06A94DDB">
            <w:pPr>
              <w:rPr>
                <w:b w:val="0"/>
                <w:color w:val="000000"/>
              </w:rPr>
            </w:pPr>
            <w:r>
              <w:rPr>
                <w:rFonts w:ascii="宋体" w:hAnsi="宋体" w:eastAsia="宋体"/>
                <w:b w:val="0"/>
                <w:color w:val="000000"/>
                <w:sz w:val="20"/>
              </w:rPr>
              <w:t>多村联动路线起点</w:t>
            </w:r>
          </w:p>
        </w:tc>
        <w:tc>
          <w:tcPr>
            <w:tcW w:w="2835" w:type="dxa"/>
            <w:tcBorders>
              <w:top w:val="nil"/>
              <w:left w:val="nil"/>
              <w:bottom w:val="single" w:color="000000" w:sz="12" w:space="0"/>
              <w:right w:val="nil"/>
            </w:tcBorders>
            <w:shd w:val="clear" w:color="auto" w:fill="FFFFFF"/>
          </w:tcPr>
          <w:p w14:paraId="314222E3">
            <w:pPr>
              <w:rPr>
                <w:b w:val="0"/>
                <w:color w:val="000000"/>
              </w:rPr>
            </w:pPr>
            <w:r>
              <w:rPr>
                <w:rFonts w:ascii="宋体" w:hAnsi="宋体" w:eastAsia="宋体"/>
                <w:b w:val="0"/>
                <w:color w:val="000000"/>
                <w:sz w:val="20"/>
              </w:rPr>
              <w:t>距骑行中段补给需求较远</w:t>
            </w:r>
          </w:p>
        </w:tc>
      </w:tr>
    </w:tbl>
    <w:p w14:paraId="38B80130">
      <w:pPr>
        <w:spacing w:after="120"/>
      </w:pPr>
    </w:p>
    <w:p w14:paraId="1962A33A">
      <w:pPr>
        <w:spacing w:after="80" w:line="360" w:lineRule="auto"/>
        <w:ind w:firstLine="440"/>
        <w:rPr>
          <w:rFonts w:hint="default" w:ascii="宋体" w:hAnsi="宋体" w:eastAsia="宋体"/>
          <w:b w:val="0"/>
          <w:sz w:val="22"/>
        </w:rPr>
      </w:pPr>
      <w:r>
        <w:rPr>
          <w:rFonts w:ascii="宋体" w:hAnsi="宋体" w:eastAsia="宋体"/>
          <w:b w:val="0"/>
          <w:sz w:val="22"/>
        </w:rPr>
        <w:t>首期在</w:t>
      </w:r>
      <w:r>
        <w:rPr>
          <w:rFonts w:hint="default" w:ascii="宋体" w:hAnsi="宋体" w:eastAsia="宋体"/>
          <w:b w:val="0"/>
          <w:sz w:val="22"/>
        </w:rPr>
        <w:t>P1点投放单台设备，跑通模式后，根据骑行流量数据，再决策是否扩展至P2、P3。</w:t>
      </w:r>
    </w:p>
    <w:p w14:paraId="49A3BAE3">
      <w:pPr>
        <w:numPr>
          <w:ilvl w:val="0"/>
          <w:numId w:val="0"/>
        </w:numPr>
        <w:spacing w:before="160" w:after="80"/>
        <w:rPr>
          <w:rFonts w:ascii="黑体" w:hAnsi="黑体" w:eastAsia="黑体"/>
          <w:b/>
          <w:sz w:val="24"/>
        </w:rPr>
      </w:pPr>
      <w:r>
        <w:rPr>
          <w:rFonts w:hint="eastAsia" w:ascii="黑体" w:hAnsi="黑体" w:eastAsia="黑体"/>
          <w:b/>
          <w:sz w:val="24"/>
          <w:lang w:val="en-US" w:eastAsia="zh-CN"/>
        </w:rPr>
        <w:t>b.</w:t>
      </w:r>
      <w:r>
        <w:rPr>
          <w:rFonts w:ascii="黑体" w:hAnsi="黑体" w:eastAsia="黑体"/>
          <w:b/>
          <w:sz w:val="24"/>
        </w:rPr>
        <w:t>骑行流量的保守估算</w:t>
      </w:r>
    </w:p>
    <w:p w14:paraId="12576D59">
      <w:pPr>
        <w:numPr>
          <w:ilvl w:val="0"/>
          <w:numId w:val="0"/>
        </w:numPr>
        <w:spacing w:before="160" w:after="80"/>
        <w:rPr>
          <w:rFonts w:ascii="黑体" w:hAnsi="黑体" w:eastAsia="黑体"/>
          <w:b/>
          <w:sz w:val="24"/>
        </w:rPr>
      </w:pPr>
      <w:r>
        <w:rPr>
          <w:rFonts w:ascii="宋体" w:hAnsi="宋体" w:eastAsia="宋体"/>
          <w:b w:val="0"/>
          <w:sz w:val="22"/>
        </w:rPr>
        <w:t>基于怀柔区同类骑行路线（如怀柔-雁栖湖线）的公开客流数据及本路线特点，测算如下：</w:t>
      </w:r>
    </w:p>
    <w:tbl>
      <w:tblPr>
        <w:tblStyle w:val="14"/>
        <w:tblW w:w="0" w:type="auto"/>
        <w:tblInd w:w="0" w:type="dxa"/>
        <w:tblLayout w:type="autofit"/>
        <w:tblCellMar>
          <w:top w:w="0" w:type="dxa"/>
          <w:left w:w="108" w:type="dxa"/>
          <w:bottom w:w="0" w:type="dxa"/>
          <w:right w:w="108" w:type="dxa"/>
        </w:tblCellMar>
      </w:tblPr>
      <w:tblGrid>
        <w:gridCol w:w="2712"/>
        <w:gridCol w:w="1933"/>
        <w:gridCol w:w="1665"/>
        <w:gridCol w:w="2212"/>
      </w:tblGrid>
      <w:tr w14:paraId="7EF1823F">
        <w:tblPrEx>
          <w:tblCellMar>
            <w:top w:w="0" w:type="dxa"/>
            <w:left w:w="108" w:type="dxa"/>
            <w:bottom w:w="0" w:type="dxa"/>
            <w:right w:w="108" w:type="dxa"/>
          </w:tblCellMar>
        </w:tblPrEx>
        <w:tc>
          <w:tcPr>
            <w:tcW w:w="2835" w:type="dxa"/>
            <w:tcBorders>
              <w:top w:val="single" w:color="000000" w:sz="12" w:space="0"/>
              <w:left w:val="nil"/>
              <w:bottom w:val="single" w:color="000000" w:sz="4" w:space="0"/>
              <w:right w:val="nil"/>
              <w:tl2br w:val="nil"/>
            </w:tcBorders>
            <w:shd w:val="clear" w:color="auto" w:fill="FFFFFF"/>
          </w:tcPr>
          <w:p w14:paraId="555DF147">
            <w:pPr>
              <w:jc w:val="center"/>
              <w:rPr>
                <w:b w:val="0"/>
                <w:color w:val="000000"/>
              </w:rPr>
            </w:pPr>
            <w:r>
              <w:rPr>
                <w:rFonts w:ascii="黑体" w:hAnsi="黑体" w:eastAsia="黑体"/>
                <w:b w:val="0"/>
                <w:color w:val="000000"/>
                <w:sz w:val="20"/>
              </w:rPr>
              <w:t>场景</w:t>
            </w:r>
          </w:p>
        </w:tc>
        <w:tc>
          <w:tcPr>
            <w:tcW w:w="1984" w:type="dxa"/>
            <w:tcBorders>
              <w:top w:val="single" w:color="000000" w:sz="12" w:space="0"/>
              <w:left w:val="nil"/>
              <w:bottom w:val="single" w:color="000000" w:sz="4" w:space="0"/>
              <w:right w:val="nil"/>
            </w:tcBorders>
            <w:shd w:val="clear" w:color="auto" w:fill="FFFFFF"/>
          </w:tcPr>
          <w:p w14:paraId="29789C60">
            <w:pPr>
              <w:jc w:val="center"/>
              <w:rPr>
                <w:b w:val="0"/>
                <w:color w:val="000000"/>
              </w:rPr>
            </w:pPr>
            <w:r>
              <w:rPr>
                <w:rFonts w:ascii="黑体" w:hAnsi="黑体" w:eastAsia="黑体"/>
                <w:b w:val="0"/>
                <w:color w:val="000000"/>
                <w:sz w:val="20"/>
              </w:rPr>
              <w:t>日均骑行客流</w:t>
            </w:r>
          </w:p>
        </w:tc>
        <w:tc>
          <w:tcPr>
            <w:tcW w:w="1701" w:type="dxa"/>
            <w:tcBorders>
              <w:top w:val="single" w:color="000000" w:sz="12" w:space="0"/>
              <w:left w:val="nil"/>
              <w:bottom w:val="single" w:color="000000" w:sz="4" w:space="0"/>
              <w:right w:val="nil"/>
            </w:tcBorders>
            <w:shd w:val="clear" w:color="auto" w:fill="FFFFFF"/>
          </w:tcPr>
          <w:p w14:paraId="675F7E35">
            <w:pPr>
              <w:jc w:val="center"/>
              <w:rPr>
                <w:b w:val="0"/>
                <w:color w:val="000000"/>
              </w:rPr>
            </w:pPr>
            <w:r>
              <w:rPr>
                <w:rFonts w:ascii="黑体" w:hAnsi="黑体" w:eastAsia="黑体"/>
                <w:b w:val="0"/>
                <w:color w:val="000000"/>
                <w:sz w:val="20"/>
              </w:rPr>
              <w:t>驻留购买率</w:t>
            </w:r>
          </w:p>
        </w:tc>
        <w:tc>
          <w:tcPr>
            <w:tcW w:w="2268" w:type="dxa"/>
            <w:tcBorders>
              <w:top w:val="single" w:color="000000" w:sz="12" w:space="0"/>
              <w:left w:val="nil"/>
              <w:bottom w:val="single" w:color="000000" w:sz="4" w:space="0"/>
              <w:right w:val="nil"/>
            </w:tcBorders>
            <w:shd w:val="clear" w:color="auto" w:fill="FFFFFF"/>
          </w:tcPr>
          <w:p w14:paraId="3CA222BF">
            <w:pPr>
              <w:jc w:val="center"/>
              <w:rPr>
                <w:b w:val="0"/>
                <w:color w:val="000000"/>
              </w:rPr>
            </w:pPr>
            <w:r>
              <w:rPr>
                <w:rFonts w:ascii="黑体" w:hAnsi="黑体" w:eastAsia="黑体"/>
                <w:b w:val="0"/>
                <w:color w:val="000000"/>
                <w:sz w:val="20"/>
              </w:rPr>
              <w:t>年驻留人次</w:t>
            </w:r>
          </w:p>
        </w:tc>
      </w:tr>
      <w:tr w14:paraId="010D2C21">
        <w:tblPrEx>
          <w:tblCellMar>
            <w:top w:w="0" w:type="dxa"/>
            <w:left w:w="108" w:type="dxa"/>
            <w:bottom w:w="0" w:type="dxa"/>
            <w:right w:w="108" w:type="dxa"/>
          </w:tblCellMar>
        </w:tblPrEx>
        <w:tc>
          <w:tcPr>
            <w:tcW w:w="2835" w:type="dxa"/>
            <w:tcBorders>
              <w:top w:val="single" w:color="000000" w:sz="4" w:space="0"/>
              <w:left w:val="nil"/>
              <w:bottom w:val="nil"/>
              <w:right w:val="nil"/>
            </w:tcBorders>
            <w:shd w:val="clear" w:color="auto" w:fill="FFFFFF"/>
          </w:tcPr>
          <w:p w14:paraId="7BD0CEF5">
            <w:pPr>
              <w:rPr>
                <w:b w:val="0"/>
                <w:color w:val="000000"/>
              </w:rPr>
            </w:pPr>
            <w:r>
              <w:rPr>
                <w:rFonts w:ascii="宋体" w:hAnsi="宋体" w:eastAsia="宋体"/>
                <w:b w:val="0"/>
                <w:color w:val="000000"/>
                <w:sz w:val="20"/>
              </w:rPr>
              <w:t>旺季周末(约60天)</w:t>
            </w:r>
          </w:p>
        </w:tc>
        <w:tc>
          <w:tcPr>
            <w:tcW w:w="1984" w:type="dxa"/>
            <w:tcBorders>
              <w:top w:val="single" w:color="000000" w:sz="4" w:space="0"/>
              <w:left w:val="nil"/>
              <w:bottom w:val="nil"/>
              <w:right w:val="nil"/>
            </w:tcBorders>
            <w:shd w:val="clear" w:color="auto" w:fill="FFFFFF"/>
          </w:tcPr>
          <w:p w14:paraId="232F3769">
            <w:pPr>
              <w:rPr>
                <w:b w:val="0"/>
                <w:color w:val="000000"/>
              </w:rPr>
            </w:pPr>
            <w:r>
              <w:rPr>
                <w:rFonts w:ascii="宋体" w:hAnsi="宋体" w:eastAsia="宋体"/>
                <w:b w:val="0"/>
                <w:color w:val="000000"/>
                <w:sz w:val="20"/>
              </w:rPr>
              <w:t>200—400</w:t>
            </w:r>
          </w:p>
        </w:tc>
        <w:tc>
          <w:tcPr>
            <w:tcW w:w="1701" w:type="dxa"/>
            <w:tcBorders>
              <w:top w:val="single" w:color="000000" w:sz="4" w:space="0"/>
              <w:left w:val="nil"/>
              <w:bottom w:val="nil"/>
              <w:right w:val="nil"/>
            </w:tcBorders>
            <w:shd w:val="clear" w:color="auto" w:fill="FFFFFF"/>
          </w:tcPr>
          <w:p w14:paraId="7936A61D">
            <w:pPr>
              <w:rPr>
                <w:b w:val="0"/>
                <w:color w:val="000000"/>
              </w:rPr>
            </w:pPr>
            <w:r>
              <w:rPr>
                <w:rFonts w:ascii="宋体" w:hAnsi="宋体" w:eastAsia="宋体"/>
                <w:b w:val="0"/>
                <w:color w:val="000000"/>
                <w:sz w:val="20"/>
              </w:rPr>
              <w:t>15%—25%</w:t>
            </w:r>
          </w:p>
        </w:tc>
        <w:tc>
          <w:tcPr>
            <w:tcW w:w="2268" w:type="dxa"/>
            <w:tcBorders>
              <w:top w:val="single" w:color="000000" w:sz="4" w:space="0"/>
              <w:left w:val="nil"/>
              <w:bottom w:val="nil"/>
              <w:right w:val="nil"/>
            </w:tcBorders>
            <w:shd w:val="clear" w:color="auto" w:fill="FFFFFF"/>
          </w:tcPr>
          <w:p w14:paraId="0BB0C7F8">
            <w:pPr>
              <w:rPr>
                <w:b w:val="0"/>
                <w:color w:val="000000"/>
              </w:rPr>
            </w:pPr>
            <w:r>
              <w:rPr>
                <w:rFonts w:ascii="宋体" w:hAnsi="宋体" w:eastAsia="宋体"/>
                <w:b w:val="0"/>
                <w:color w:val="000000"/>
                <w:sz w:val="20"/>
              </w:rPr>
              <w:t>约3600</w:t>
            </w:r>
          </w:p>
        </w:tc>
      </w:tr>
      <w:tr w14:paraId="03D14E4B">
        <w:tblPrEx>
          <w:tblCellMar>
            <w:top w:w="0" w:type="dxa"/>
            <w:left w:w="108" w:type="dxa"/>
            <w:bottom w:w="0" w:type="dxa"/>
            <w:right w:w="108" w:type="dxa"/>
          </w:tblCellMar>
        </w:tblPrEx>
        <w:tc>
          <w:tcPr>
            <w:tcW w:w="2835" w:type="dxa"/>
            <w:tcBorders>
              <w:top w:val="nil"/>
              <w:left w:val="nil"/>
              <w:bottom w:val="nil"/>
              <w:right w:val="nil"/>
            </w:tcBorders>
            <w:shd w:val="clear" w:color="auto" w:fill="FFFFFF"/>
          </w:tcPr>
          <w:p w14:paraId="1EEF8E76">
            <w:pPr>
              <w:rPr>
                <w:b w:val="0"/>
                <w:color w:val="000000"/>
              </w:rPr>
            </w:pPr>
            <w:r>
              <w:rPr>
                <w:rFonts w:ascii="宋体" w:hAnsi="宋体" w:eastAsia="宋体"/>
                <w:b w:val="0"/>
                <w:color w:val="000000"/>
                <w:sz w:val="20"/>
              </w:rPr>
              <w:t>旺季平日(约150天)</w:t>
            </w:r>
          </w:p>
        </w:tc>
        <w:tc>
          <w:tcPr>
            <w:tcW w:w="1984" w:type="dxa"/>
            <w:tcBorders>
              <w:top w:val="nil"/>
              <w:left w:val="nil"/>
              <w:bottom w:val="nil"/>
              <w:right w:val="nil"/>
            </w:tcBorders>
            <w:shd w:val="clear" w:color="auto" w:fill="FFFFFF"/>
          </w:tcPr>
          <w:p w14:paraId="551830A7">
            <w:pPr>
              <w:rPr>
                <w:b w:val="0"/>
                <w:color w:val="000000"/>
              </w:rPr>
            </w:pPr>
            <w:r>
              <w:rPr>
                <w:rFonts w:ascii="宋体" w:hAnsi="宋体" w:eastAsia="宋体"/>
                <w:b w:val="0"/>
                <w:color w:val="000000"/>
                <w:sz w:val="20"/>
              </w:rPr>
              <w:t>50—100</w:t>
            </w:r>
          </w:p>
        </w:tc>
        <w:tc>
          <w:tcPr>
            <w:tcW w:w="1701" w:type="dxa"/>
            <w:tcBorders>
              <w:top w:val="nil"/>
              <w:left w:val="nil"/>
              <w:bottom w:val="nil"/>
              <w:right w:val="nil"/>
            </w:tcBorders>
            <w:shd w:val="clear" w:color="auto" w:fill="FFFFFF"/>
          </w:tcPr>
          <w:p w14:paraId="31062911">
            <w:pPr>
              <w:rPr>
                <w:b w:val="0"/>
                <w:color w:val="000000"/>
              </w:rPr>
            </w:pPr>
            <w:r>
              <w:rPr>
                <w:rFonts w:ascii="宋体" w:hAnsi="宋体" w:eastAsia="宋体"/>
                <w:b w:val="0"/>
                <w:color w:val="000000"/>
                <w:sz w:val="20"/>
              </w:rPr>
              <w:t>20%—30%</w:t>
            </w:r>
          </w:p>
        </w:tc>
        <w:tc>
          <w:tcPr>
            <w:tcW w:w="2268" w:type="dxa"/>
            <w:tcBorders>
              <w:top w:val="nil"/>
              <w:left w:val="nil"/>
              <w:bottom w:val="nil"/>
              <w:right w:val="nil"/>
            </w:tcBorders>
            <w:shd w:val="clear" w:color="auto" w:fill="FFFFFF"/>
          </w:tcPr>
          <w:p w14:paraId="2A2B4AE9">
            <w:pPr>
              <w:rPr>
                <w:b w:val="0"/>
                <w:color w:val="000000"/>
              </w:rPr>
            </w:pPr>
            <w:r>
              <w:rPr>
                <w:rFonts w:ascii="宋体" w:hAnsi="宋体" w:eastAsia="宋体"/>
                <w:b w:val="0"/>
                <w:color w:val="000000"/>
                <w:sz w:val="20"/>
              </w:rPr>
              <w:t>约3000</w:t>
            </w:r>
          </w:p>
        </w:tc>
      </w:tr>
      <w:tr w14:paraId="0DB0D3A5">
        <w:tblPrEx>
          <w:tblCellMar>
            <w:top w:w="0" w:type="dxa"/>
            <w:left w:w="108" w:type="dxa"/>
            <w:bottom w:w="0" w:type="dxa"/>
            <w:right w:w="108" w:type="dxa"/>
          </w:tblCellMar>
        </w:tblPrEx>
        <w:tc>
          <w:tcPr>
            <w:tcW w:w="2835" w:type="dxa"/>
            <w:tcBorders>
              <w:top w:val="nil"/>
              <w:left w:val="nil"/>
              <w:bottom w:val="nil"/>
              <w:right w:val="nil"/>
            </w:tcBorders>
            <w:shd w:val="clear" w:color="auto" w:fill="FFFFFF"/>
          </w:tcPr>
          <w:p w14:paraId="3658918F">
            <w:pPr>
              <w:rPr>
                <w:b w:val="0"/>
                <w:color w:val="000000"/>
              </w:rPr>
            </w:pPr>
            <w:r>
              <w:rPr>
                <w:rFonts w:ascii="宋体" w:hAnsi="宋体" w:eastAsia="宋体"/>
                <w:b w:val="0"/>
                <w:color w:val="000000"/>
                <w:sz w:val="20"/>
              </w:rPr>
              <w:t>淡季周末(约40天)</w:t>
            </w:r>
          </w:p>
        </w:tc>
        <w:tc>
          <w:tcPr>
            <w:tcW w:w="1984" w:type="dxa"/>
            <w:tcBorders>
              <w:top w:val="nil"/>
              <w:left w:val="nil"/>
              <w:bottom w:val="nil"/>
              <w:right w:val="nil"/>
            </w:tcBorders>
            <w:shd w:val="clear" w:color="auto" w:fill="FFFFFF"/>
          </w:tcPr>
          <w:p w14:paraId="54E94FA6">
            <w:pPr>
              <w:rPr>
                <w:b w:val="0"/>
                <w:color w:val="000000"/>
              </w:rPr>
            </w:pPr>
            <w:r>
              <w:rPr>
                <w:rFonts w:ascii="宋体" w:hAnsi="宋体" w:eastAsia="宋体"/>
                <w:b w:val="0"/>
                <w:color w:val="000000"/>
                <w:sz w:val="20"/>
              </w:rPr>
              <w:t>30—80</w:t>
            </w:r>
          </w:p>
        </w:tc>
        <w:tc>
          <w:tcPr>
            <w:tcW w:w="1701" w:type="dxa"/>
            <w:tcBorders>
              <w:top w:val="nil"/>
              <w:left w:val="nil"/>
              <w:bottom w:val="nil"/>
              <w:right w:val="nil"/>
            </w:tcBorders>
            <w:shd w:val="clear" w:color="auto" w:fill="FFFFFF"/>
          </w:tcPr>
          <w:p w14:paraId="7C6F0A06">
            <w:pPr>
              <w:rPr>
                <w:b w:val="0"/>
                <w:color w:val="000000"/>
              </w:rPr>
            </w:pPr>
            <w:r>
              <w:rPr>
                <w:rFonts w:ascii="宋体" w:hAnsi="宋体" w:eastAsia="宋体"/>
                <w:b w:val="0"/>
                <w:color w:val="000000"/>
                <w:sz w:val="20"/>
              </w:rPr>
              <w:t>20%—30%</w:t>
            </w:r>
          </w:p>
        </w:tc>
        <w:tc>
          <w:tcPr>
            <w:tcW w:w="2268" w:type="dxa"/>
            <w:tcBorders>
              <w:top w:val="nil"/>
              <w:left w:val="nil"/>
              <w:bottom w:val="nil"/>
              <w:right w:val="nil"/>
            </w:tcBorders>
            <w:shd w:val="clear" w:color="auto" w:fill="FFFFFF"/>
          </w:tcPr>
          <w:p w14:paraId="6C01F380">
            <w:pPr>
              <w:rPr>
                <w:b w:val="0"/>
                <w:color w:val="000000"/>
              </w:rPr>
            </w:pPr>
            <w:r>
              <w:rPr>
                <w:rFonts w:ascii="宋体" w:hAnsi="宋体" w:eastAsia="宋体"/>
                <w:b w:val="0"/>
                <w:color w:val="000000"/>
                <w:sz w:val="20"/>
              </w:rPr>
              <w:t>约600</w:t>
            </w:r>
          </w:p>
        </w:tc>
      </w:tr>
      <w:tr w14:paraId="738842E1">
        <w:tblPrEx>
          <w:tblCellMar>
            <w:top w:w="0" w:type="dxa"/>
            <w:left w:w="108" w:type="dxa"/>
            <w:bottom w:w="0" w:type="dxa"/>
            <w:right w:w="108" w:type="dxa"/>
          </w:tblCellMar>
        </w:tblPrEx>
        <w:tc>
          <w:tcPr>
            <w:tcW w:w="2835" w:type="dxa"/>
            <w:tcBorders>
              <w:top w:val="nil"/>
              <w:left w:val="nil"/>
              <w:bottom w:val="nil"/>
              <w:right w:val="nil"/>
            </w:tcBorders>
            <w:shd w:val="clear" w:color="auto" w:fill="FFFFFF"/>
          </w:tcPr>
          <w:p w14:paraId="516F46B4">
            <w:pPr>
              <w:rPr>
                <w:b w:val="0"/>
                <w:color w:val="000000"/>
              </w:rPr>
            </w:pPr>
            <w:r>
              <w:rPr>
                <w:rFonts w:ascii="宋体" w:hAnsi="宋体" w:eastAsia="宋体"/>
                <w:b w:val="0"/>
                <w:color w:val="000000"/>
                <w:sz w:val="20"/>
              </w:rPr>
              <w:t>淡季平日(约110天)</w:t>
            </w:r>
          </w:p>
        </w:tc>
        <w:tc>
          <w:tcPr>
            <w:tcW w:w="1984" w:type="dxa"/>
            <w:tcBorders>
              <w:top w:val="nil"/>
              <w:left w:val="nil"/>
              <w:bottom w:val="nil"/>
              <w:right w:val="nil"/>
            </w:tcBorders>
            <w:shd w:val="clear" w:color="auto" w:fill="FFFFFF"/>
          </w:tcPr>
          <w:p w14:paraId="205CC072">
            <w:pPr>
              <w:rPr>
                <w:b w:val="0"/>
                <w:color w:val="000000"/>
              </w:rPr>
            </w:pPr>
            <w:r>
              <w:rPr>
                <w:rFonts w:ascii="宋体" w:hAnsi="宋体" w:eastAsia="宋体"/>
                <w:b w:val="0"/>
                <w:color w:val="000000"/>
                <w:sz w:val="20"/>
              </w:rPr>
              <w:t>10—30</w:t>
            </w:r>
          </w:p>
        </w:tc>
        <w:tc>
          <w:tcPr>
            <w:tcW w:w="1701" w:type="dxa"/>
            <w:tcBorders>
              <w:top w:val="nil"/>
              <w:left w:val="nil"/>
              <w:bottom w:val="nil"/>
              <w:right w:val="nil"/>
            </w:tcBorders>
            <w:shd w:val="clear" w:color="auto" w:fill="FFFFFF"/>
          </w:tcPr>
          <w:p w14:paraId="4C0A2A77">
            <w:pPr>
              <w:rPr>
                <w:b w:val="0"/>
                <w:color w:val="000000"/>
              </w:rPr>
            </w:pPr>
            <w:r>
              <w:rPr>
                <w:rFonts w:ascii="宋体" w:hAnsi="宋体" w:eastAsia="宋体"/>
                <w:b w:val="0"/>
                <w:color w:val="000000"/>
                <w:sz w:val="20"/>
              </w:rPr>
              <w:t>25%—35%</w:t>
            </w:r>
          </w:p>
        </w:tc>
        <w:tc>
          <w:tcPr>
            <w:tcW w:w="2268" w:type="dxa"/>
            <w:tcBorders>
              <w:top w:val="nil"/>
              <w:left w:val="nil"/>
              <w:bottom w:val="nil"/>
              <w:right w:val="nil"/>
            </w:tcBorders>
            <w:shd w:val="clear" w:color="auto" w:fill="FFFFFF"/>
          </w:tcPr>
          <w:p w14:paraId="4290F7FD">
            <w:pPr>
              <w:rPr>
                <w:b w:val="0"/>
                <w:color w:val="000000"/>
              </w:rPr>
            </w:pPr>
            <w:r>
              <w:rPr>
                <w:rFonts w:ascii="宋体" w:hAnsi="宋体" w:eastAsia="宋体"/>
                <w:b w:val="0"/>
                <w:color w:val="000000"/>
                <w:sz w:val="20"/>
              </w:rPr>
              <w:t>约660</w:t>
            </w:r>
          </w:p>
        </w:tc>
      </w:tr>
      <w:tr w14:paraId="2B1FA4E3">
        <w:tblPrEx>
          <w:tblCellMar>
            <w:top w:w="0" w:type="dxa"/>
            <w:left w:w="108" w:type="dxa"/>
            <w:bottom w:w="0" w:type="dxa"/>
            <w:right w:w="108" w:type="dxa"/>
          </w:tblCellMar>
        </w:tblPrEx>
        <w:tc>
          <w:tcPr>
            <w:tcW w:w="2835" w:type="dxa"/>
            <w:tcBorders>
              <w:top w:val="nil"/>
              <w:left w:val="nil"/>
              <w:bottom w:val="single" w:color="000000" w:sz="12" w:space="0"/>
              <w:right w:val="nil"/>
            </w:tcBorders>
            <w:shd w:val="clear" w:color="auto" w:fill="FFFFFF"/>
          </w:tcPr>
          <w:p w14:paraId="4832444B">
            <w:pPr>
              <w:rPr>
                <w:b w:val="0"/>
                <w:color w:val="000000"/>
              </w:rPr>
            </w:pPr>
            <w:r>
              <w:rPr>
                <w:rFonts w:ascii="宋体" w:hAnsi="宋体" w:eastAsia="宋体"/>
                <w:b w:val="0"/>
                <w:color w:val="000000"/>
                <w:sz w:val="20"/>
              </w:rPr>
              <w:t>全年合计(中位估算)</w:t>
            </w:r>
          </w:p>
        </w:tc>
        <w:tc>
          <w:tcPr>
            <w:tcW w:w="1984" w:type="dxa"/>
            <w:tcBorders>
              <w:top w:val="nil"/>
              <w:left w:val="nil"/>
              <w:bottom w:val="single" w:color="000000" w:sz="12" w:space="0"/>
              <w:right w:val="nil"/>
            </w:tcBorders>
            <w:shd w:val="clear" w:color="auto" w:fill="FFFFFF"/>
          </w:tcPr>
          <w:p w14:paraId="2050BA12">
            <w:pPr>
              <w:rPr>
                <w:b w:val="0"/>
                <w:color w:val="000000"/>
              </w:rPr>
            </w:pPr>
            <w:r>
              <w:rPr>
                <w:rFonts w:ascii="宋体" w:hAnsi="宋体" w:eastAsia="宋体"/>
                <w:b w:val="0"/>
                <w:color w:val="000000"/>
                <w:sz w:val="20"/>
              </w:rPr>
              <w:t>—</w:t>
            </w:r>
          </w:p>
        </w:tc>
        <w:tc>
          <w:tcPr>
            <w:tcW w:w="1701" w:type="dxa"/>
            <w:tcBorders>
              <w:top w:val="nil"/>
              <w:left w:val="nil"/>
              <w:bottom w:val="single" w:color="000000" w:sz="12" w:space="0"/>
              <w:right w:val="nil"/>
            </w:tcBorders>
            <w:shd w:val="clear" w:color="auto" w:fill="FFFFFF"/>
          </w:tcPr>
          <w:p w14:paraId="5CF9388A">
            <w:pPr>
              <w:rPr>
                <w:b w:val="0"/>
                <w:color w:val="000000"/>
              </w:rPr>
            </w:pPr>
            <w:r>
              <w:rPr>
                <w:rFonts w:ascii="宋体" w:hAnsi="宋体" w:eastAsia="宋体"/>
                <w:b w:val="0"/>
                <w:color w:val="000000"/>
                <w:sz w:val="20"/>
              </w:rPr>
              <w:t>—</w:t>
            </w:r>
          </w:p>
        </w:tc>
        <w:tc>
          <w:tcPr>
            <w:tcW w:w="2268" w:type="dxa"/>
            <w:tcBorders>
              <w:top w:val="nil"/>
              <w:left w:val="nil"/>
              <w:bottom w:val="single" w:color="000000" w:sz="12" w:space="0"/>
              <w:right w:val="nil"/>
            </w:tcBorders>
            <w:shd w:val="clear" w:color="auto" w:fill="FFFFFF"/>
          </w:tcPr>
          <w:p w14:paraId="36FB7B86">
            <w:pPr>
              <w:rPr>
                <w:b w:val="0"/>
                <w:color w:val="000000"/>
              </w:rPr>
            </w:pPr>
            <w:r>
              <w:rPr>
                <w:rFonts w:ascii="宋体" w:hAnsi="宋体" w:eastAsia="宋体"/>
                <w:b w:val="0"/>
                <w:color w:val="000000"/>
                <w:sz w:val="20"/>
              </w:rPr>
              <w:t>约7800—8400</w:t>
            </w:r>
          </w:p>
        </w:tc>
      </w:tr>
    </w:tbl>
    <w:p w14:paraId="16801189">
      <w:pPr>
        <w:spacing w:after="120"/>
      </w:pPr>
    </w:p>
    <w:p w14:paraId="5F8AF61E">
      <w:pPr>
        <w:spacing w:after="80" w:line="360" w:lineRule="auto"/>
      </w:pPr>
      <w:r>
        <w:rPr>
          <w:rFonts w:hint="eastAsia" w:ascii="宋体" w:hAnsi="宋体" w:eastAsia="宋体"/>
          <w:b w:val="0"/>
          <w:sz w:val="22"/>
          <w:lang w:val="en-US" w:eastAsia="zh-CN"/>
        </w:rPr>
        <w:t>测算结论：</w:t>
      </w:r>
      <w:r>
        <w:rPr>
          <w:rFonts w:ascii="宋体" w:hAnsi="宋体" w:eastAsia="宋体"/>
          <w:b w:val="0"/>
          <w:sz w:val="22"/>
          <w:highlight w:val="yellow"/>
        </w:rPr>
        <w:t>年驻留人次约8000,按客单价15—30元测算,单点位年销售额中位数约16—20万元。</w:t>
      </w:r>
      <w:r>
        <w:rPr>
          <w:rFonts w:ascii="宋体" w:hAnsi="宋体" w:eastAsia="宋体"/>
          <w:b w:val="0"/>
          <w:sz w:val="22"/>
        </w:rPr>
        <w:t>骑行者以轻装补给为主,单次购买典型品类包括瓶装水、运动饮料、能量胶、能量棒、坚果小食、雨衣手套等应急用品,皆为预包装商品</w:t>
      </w:r>
      <w:r>
        <w:rPr>
          <w:rFonts w:hint="eastAsia" w:ascii="宋体" w:hAnsi="宋体" w:eastAsia="宋体"/>
          <w:b w:val="0"/>
          <w:sz w:val="22"/>
          <w:lang w:val="en-US" w:eastAsia="zh-CN"/>
        </w:rPr>
        <w:t>且</w:t>
      </w:r>
      <w:r>
        <w:rPr>
          <w:rFonts w:hint="eastAsia" w:ascii="宋体" w:hAnsi="宋体" w:eastAsia="宋体" w:cstheme="minorBidi"/>
          <w:b w:val="0"/>
          <w:kern w:val="2"/>
          <w:sz w:val="22"/>
          <w:szCs w:val="24"/>
          <w:lang w:val="en-US" w:eastAsia="zh-CN" w:bidi="ar-SA"/>
          <w14:ligatures w14:val="standardContextual"/>
        </w:rPr>
        <w:t>便于废弃物管控，</w:t>
      </w:r>
      <w:r>
        <w:rPr>
          <w:rFonts w:ascii="宋体" w:hAnsi="宋体" w:eastAsia="宋体"/>
          <w:b w:val="0"/>
          <w:sz w:val="22"/>
        </w:rPr>
        <w:t>符合水源保护区对废弃物管控的硬约束。</w:t>
      </w:r>
    </w:p>
    <w:p w14:paraId="019CF6B5">
      <w:pPr>
        <w:pStyle w:val="4"/>
        <w:bidi w:val="0"/>
      </w:pPr>
      <w:bookmarkStart w:id="114" w:name="_Toc16026"/>
      <w:r>
        <w:t>6.5.3 合作方案与收益结构</w:t>
      </w:r>
      <w:bookmarkEnd w:id="114"/>
    </w:p>
    <w:p w14:paraId="67479D35">
      <w:pPr>
        <w:spacing w:after="80" w:line="360" w:lineRule="auto"/>
        <w:ind w:firstLine="440"/>
      </w:pPr>
      <w:r>
        <w:rPr>
          <w:rFonts w:ascii="宋体" w:hAnsi="宋体" w:eastAsia="宋体"/>
          <w:b w:val="0"/>
          <w:sz w:val="22"/>
        </w:rPr>
        <w:t>在路径A框架下,采用</w:t>
      </w:r>
      <w:r>
        <w:rPr>
          <w:rFonts w:ascii="宋体" w:hAnsi="宋体" w:eastAsia="宋体"/>
          <w:b/>
          <w:bCs/>
          <w:sz w:val="22"/>
          <w:highlight w:val="yellow"/>
        </w:rPr>
        <w:t>"固定租金+销售分成"复合</w:t>
      </w:r>
      <w:r>
        <w:rPr>
          <w:rFonts w:hint="eastAsia" w:ascii="宋体" w:hAnsi="宋体" w:eastAsia="宋体"/>
          <w:b/>
          <w:bCs/>
          <w:sz w:val="22"/>
          <w:highlight w:val="yellow"/>
          <w:lang w:val="en-US" w:eastAsia="zh-CN"/>
        </w:rPr>
        <w:t>合作模式</w:t>
      </w:r>
      <w:r>
        <w:rPr>
          <w:rFonts w:ascii="宋体" w:hAnsi="宋体" w:eastAsia="宋体"/>
          <w:b w:val="0"/>
          <w:sz w:val="22"/>
        </w:rPr>
        <w:t>,单点位的典型收益测算如下。</w:t>
      </w:r>
    </w:p>
    <w:tbl>
      <w:tblPr>
        <w:tblStyle w:val="14"/>
        <w:tblW w:w="0" w:type="auto"/>
        <w:tblInd w:w="0" w:type="dxa"/>
        <w:tblLayout w:type="autofit"/>
        <w:tblCellMar>
          <w:top w:w="0" w:type="dxa"/>
          <w:left w:w="108" w:type="dxa"/>
          <w:bottom w:w="0" w:type="dxa"/>
          <w:right w:w="108" w:type="dxa"/>
        </w:tblCellMar>
      </w:tblPr>
      <w:tblGrid>
        <w:gridCol w:w="2674"/>
        <w:gridCol w:w="2140"/>
        <w:gridCol w:w="3708"/>
      </w:tblGrid>
      <w:tr w14:paraId="34612367">
        <w:tblPrEx>
          <w:tblCellMar>
            <w:top w:w="0" w:type="dxa"/>
            <w:left w:w="108" w:type="dxa"/>
            <w:bottom w:w="0" w:type="dxa"/>
            <w:right w:w="108" w:type="dxa"/>
          </w:tblCellMar>
        </w:tblPrEx>
        <w:tc>
          <w:tcPr>
            <w:tcW w:w="2835" w:type="dxa"/>
            <w:tcBorders>
              <w:top w:val="single" w:color="000000" w:sz="12" w:space="0"/>
              <w:left w:val="nil"/>
              <w:bottom w:val="single" w:color="000000" w:sz="4" w:space="0"/>
              <w:right w:val="nil"/>
              <w:tl2br w:val="nil"/>
            </w:tcBorders>
            <w:shd w:val="clear" w:color="auto" w:fill="FFFFFF"/>
          </w:tcPr>
          <w:p w14:paraId="1824BA7A">
            <w:pPr>
              <w:jc w:val="center"/>
              <w:rPr>
                <w:b w:val="0"/>
                <w:color w:val="000000"/>
              </w:rPr>
            </w:pPr>
            <w:r>
              <w:rPr>
                <w:rFonts w:ascii="黑体" w:hAnsi="黑体" w:eastAsia="黑体"/>
                <w:b w:val="0"/>
                <w:color w:val="000000"/>
                <w:sz w:val="20"/>
              </w:rPr>
              <w:t>收益项</w:t>
            </w:r>
          </w:p>
        </w:tc>
        <w:tc>
          <w:tcPr>
            <w:tcW w:w="2268" w:type="dxa"/>
            <w:tcBorders>
              <w:top w:val="single" w:color="000000" w:sz="12" w:space="0"/>
              <w:left w:val="nil"/>
              <w:bottom w:val="single" w:color="000000" w:sz="4" w:space="0"/>
              <w:right w:val="nil"/>
            </w:tcBorders>
            <w:shd w:val="clear" w:color="auto" w:fill="FFFFFF"/>
          </w:tcPr>
          <w:p w14:paraId="6A05E473">
            <w:pPr>
              <w:jc w:val="center"/>
              <w:rPr>
                <w:b w:val="0"/>
                <w:color w:val="000000"/>
              </w:rPr>
            </w:pPr>
            <w:r>
              <w:rPr>
                <w:rFonts w:ascii="黑体" w:hAnsi="黑体" w:eastAsia="黑体"/>
                <w:b w:val="0"/>
                <w:color w:val="000000"/>
                <w:sz w:val="20"/>
              </w:rPr>
              <w:t>估算区间(万元/年)</w:t>
            </w:r>
          </w:p>
        </w:tc>
        <w:tc>
          <w:tcPr>
            <w:tcW w:w="3969" w:type="dxa"/>
            <w:tcBorders>
              <w:top w:val="single" w:color="000000" w:sz="12" w:space="0"/>
              <w:left w:val="nil"/>
              <w:bottom w:val="single" w:color="000000" w:sz="4" w:space="0"/>
              <w:right w:val="nil"/>
            </w:tcBorders>
            <w:shd w:val="clear" w:color="auto" w:fill="FFFFFF"/>
          </w:tcPr>
          <w:p w14:paraId="387CA3CB">
            <w:pPr>
              <w:jc w:val="center"/>
              <w:rPr>
                <w:b w:val="0"/>
                <w:color w:val="000000"/>
              </w:rPr>
            </w:pPr>
            <w:r>
              <w:rPr>
                <w:rFonts w:ascii="黑体" w:hAnsi="黑体" w:eastAsia="黑体"/>
                <w:b w:val="0"/>
                <w:color w:val="000000"/>
                <w:sz w:val="20"/>
              </w:rPr>
              <w:t>形成机制</w:t>
            </w:r>
          </w:p>
        </w:tc>
      </w:tr>
      <w:tr w14:paraId="081E3A9E">
        <w:tblPrEx>
          <w:tblCellMar>
            <w:top w:w="0" w:type="dxa"/>
            <w:left w:w="108" w:type="dxa"/>
            <w:bottom w:w="0" w:type="dxa"/>
            <w:right w:w="108" w:type="dxa"/>
          </w:tblCellMar>
        </w:tblPrEx>
        <w:tc>
          <w:tcPr>
            <w:tcW w:w="2835" w:type="dxa"/>
            <w:tcBorders>
              <w:top w:val="single" w:color="000000" w:sz="4" w:space="0"/>
              <w:left w:val="nil"/>
              <w:bottom w:val="nil"/>
              <w:right w:val="nil"/>
            </w:tcBorders>
            <w:shd w:val="clear" w:color="auto" w:fill="FFFFFF"/>
          </w:tcPr>
          <w:p w14:paraId="77A2A7CF">
            <w:pPr>
              <w:rPr>
                <w:b w:val="0"/>
                <w:color w:val="000000"/>
              </w:rPr>
            </w:pPr>
            <w:r>
              <w:rPr>
                <w:rFonts w:ascii="宋体" w:hAnsi="宋体" w:eastAsia="宋体"/>
                <w:b w:val="0"/>
                <w:color w:val="000000"/>
                <w:sz w:val="20"/>
              </w:rPr>
              <w:t>场地固定租金</w:t>
            </w:r>
          </w:p>
        </w:tc>
        <w:tc>
          <w:tcPr>
            <w:tcW w:w="2268" w:type="dxa"/>
            <w:tcBorders>
              <w:top w:val="single" w:color="000000" w:sz="4" w:space="0"/>
              <w:left w:val="nil"/>
              <w:bottom w:val="nil"/>
              <w:right w:val="nil"/>
            </w:tcBorders>
            <w:shd w:val="clear" w:color="auto" w:fill="FFFFFF"/>
          </w:tcPr>
          <w:p w14:paraId="39B5C455">
            <w:pPr>
              <w:rPr>
                <w:b w:val="0"/>
                <w:color w:val="000000"/>
              </w:rPr>
            </w:pPr>
            <w:r>
              <w:rPr>
                <w:rFonts w:ascii="宋体" w:hAnsi="宋体" w:eastAsia="宋体"/>
                <w:b w:val="0"/>
                <w:color w:val="000000"/>
                <w:sz w:val="20"/>
              </w:rPr>
              <w:t>1.5—3</w:t>
            </w:r>
          </w:p>
        </w:tc>
        <w:tc>
          <w:tcPr>
            <w:tcW w:w="3969" w:type="dxa"/>
            <w:tcBorders>
              <w:top w:val="single" w:color="000000" w:sz="4" w:space="0"/>
              <w:left w:val="nil"/>
              <w:bottom w:val="nil"/>
              <w:right w:val="nil"/>
            </w:tcBorders>
            <w:shd w:val="clear" w:color="auto" w:fill="FFFFFF"/>
          </w:tcPr>
          <w:p w14:paraId="757BA876">
            <w:pPr>
              <w:rPr>
                <w:b w:val="0"/>
                <w:color w:val="000000"/>
              </w:rPr>
            </w:pPr>
            <w:r>
              <w:rPr>
                <w:rFonts w:ascii="宋体" w:hAnsi="宋体" w:eastAsia="宋体"/>
                <w:b w:val="0"/>
                <w:color w:val="000000"/>
                <w:sz w:val="20"/>
              </w:rPr>
              <w:t>与运营商按位置/功能谈判</w:t>
            </w:r>
          </w:p>
        </w:tc>
      </w:tr>
      <w:tr w14:paraId="79ED069A">
        <w:tblPrEx>
          <w:tblCellMar>
            <w:top w:w="0" w:type="dxa"/>
            <w:left w:w="108" w:type="dxa"/>
            <w:bottom w:w="0" w:type="dxa"/>
            <w:right w:w="108" w:type="dxa"/>
          </w:tblCellMar>
        </w:tblPrEx>
        <w:tc>
          <w:tcPr>
            <w:tcW w:w="2835" w:type="dxa"/>
            <w:tcBorders>
              <w:top w:val="nil"/>
              <w:left w:val="nil"/>
              <w:bottom w:val="nil"/>
              <w:right w:val="nil"/>
            </w:tcBorders>
            <w:shd w:val="clear" w:color="auto" w:fill="FFFFFF"/>
          </w:tcPr>
          <w:p w14:paraId="776FA7FC">
            <w:pPr>
              <w:rPr>
                <w:b w:val="0"/>
                <w:color w:val="000000"/>
              </w:rPr>
            </w:pPr>
            <w:r>
              <w:rPr>
                <w:rFonts w:ascii="宋体" w:hAnsi="宋体" w:eastAsia="宋体"/>
                <w:b w:val="0"/>
                <w:color w:val="000000"/>
                <w:sz w:val="20"/>
              </w:rPr>
              <w:t>销售分成(3%—5%)</w:t>
            </w:r>
          </w:p>
        </w:tc>
        <w:tc>
          <w:tcPr>
            <w:tcW w:w="2268" w:type="dxa"/>
            <w:tcBorders>
              <w:top w:val="nil"/>
              <w:left w:val="nil"/>
              <w:bottom w:val="nil"/>
              <w:right w:val="nil"/>
            </w:tcBorders>
            <w:shd w:val="clear" w:color="auto" w:fill="FFFFFF"/>
          </w:tcPr>
          <w:p w14:paraId="607E5A54">
            <w:pPr>
              <w:rPr>
                <w:b w:val="0"/>
                <w:color w:val="000000"/>
              </w:rPr>
            </w:pPr>
            <w:r>
              <w:rPr>
                <w:rFonts w:ascii="宋体" w:hAnsi="宋体" w:eastAsia="宋体"/>
                <w:b w:val="0"/>
                <w:color w:val="000000"/>
                <w:sz w:val="20"/>
              </w:rPr>
              <w:t>0.5—1</w:t>
            </w:r>
          </w:p>
        </w:tc>
        <w:tc>
          <w:tcPr>
            <w:tcW w:w="3969" w:type="dxa"/>
            <w:tcBorders>
              <w:top w:val="nil"/>
              <w:left w:val="nil"/>
              <w:bottom w:val="nil"/>
              <w:right w:val="nil"/>
            </w:tcBorders>
            <w:shd w:val="clear" w:color="auto" w:fill="FFFFFF"/>
          </w:tcPr>
          <w:p w14:paraId="4BACFD0D">
            <w:pPr>
              <w:rPr>
                <w:b w:val="0"/>
                <w:color w:val="000000"/>
              </w:rPr>
            </w:pPr>
            <w:r>
              <w:rPr>
                <w:rFonts w:ascii="宋体" w:hAnsi="宋体" w:eastAsia="宋体"/>
                <w:b w:val="0"/>
                <w:color w:val="000000"/>
                <w:sz w:val="20"/>
              </w:rPr>
              <w:t>年销售额16—20万基础上提成</w:t>
            </w:r>
          </w:p>
        </w:tc>
      </w:tr>
      <w:tr w14:paraId="29210733">
        <w:tblPrEx>
          <w:tblCellMar>
            <w:top w:w="0" w:type="dxa"/>
            <w:left w:w="108" w:type="dxa"/>
            <w:bottom w:w="0" w:type="dxa"/>
            <w:right w:w="108" w:type="dxa"/>
          </w:tblCellMar>
        </w:tblPrEx>
        <w:tc>
          <w:tcPr>
            <w:tcW w:w="2835" w:type="dxa"/>
            <w:tcBorders>
              <w:top w:val="nil"/>
              <w:left w:val="nil"/>
              <w:bottom w:val="nil"/>
              <w:right w:val="nil"/>
            </w:tcBorders>
            <w:shd w:val="clear" w:color="auto" w:fill="FFFFFF"/>
          </w:tcPr>
          <w:p w14:paraId="48ADCED1">
            <w:pPr>
              <w:rPr>
                <w:b w:val="0"/>
                <w:color w:val="000000"/>
              </w:rPr>
            </w:pPr>
            <w:r>
              <w:rPr>
                <w:rFonts w:ascii="宋体" w:hAnsi="宋体" w:eastAsia="宋体"/>
                <w:b w:val="0"/>
                <w:color w:val="000000"/>
                <w:sz w:val="20"/>
              </w:rPr>
              <w:t>本村产品代销佣金</w:t>
            </w:r>
          </w:p>
        </w:tc>
        <w:tc>
          <w:tcPr>
            <w:tcW w:w="2268" w:type="dxa"/>
            <w:tcBorders>
              <w:top w:val="nil"/>
              <w:left w:val="nil"/>
              <w:bottom w:val="nil"/>
              <w:right w:val="nil"/>
            </w:tcBorders>
            <w:shd w:val="clear" w:color="auto" w:fill="FFFFFF"/>
          </w:tcPr>
          <w:p w14:paraId="4CF928F3">
            <w:pPr>
              <w:rPr>
                <w:b w:val="0"/>
                <w:color w:val="000000"/>
              </w:rPr>
            </w:pPr>
            <w:r>
              <w:rPr>
                <w:rFonts w:ascii="宋体" w:hAnsi="宋体" w:eastAsia="宋体"/>
                <w:b w:val="0"/>
                <w:color w:val="000000"/>
                <w:sz w:val="20"/>
              </w:rPr>
              <w:t>0.5—2</w:t>
            </w:r>
          </w:p>
        </w:tc>
        <w:tc>
          <w:tcPr>
            <w:tcW w:w="3969" w:type="dxa"/>
            <w:tcBorders>
              <w:top w:val="nil"/>
              <w:left w:val="nil"/>
              <w:bottom w:val="nil"/>
              <w:right w:val="nil"/>
            </w:tcBorders>
            <w:shd w:val="clear" w:color="auto" w:fill="FFFFFF"/>
          </w:tcPr>
          <w:p w14:paraId="4942B829">
            <w:pPr>
              <w:rPr>
                <w:b w:val="0"/>
                <w:color w:val="000000"/>
              </w:rPr>
            </w:pPr>
            <w:r>
              <w:rPr>
                <w:rFonts w:ascii="宋体" w:hAnsi="宋体" w:eastAsia="宋体"/>
                <w:b w:val="0"/>
                <w:color w:val="000000"/>
                <w:sz w:val="20"/>
              </w:rPr>
              <w:t>樱桃文创、林菌礼盒、文创等代销,佣金10%—20%</w:t>
            </w:r>
          </w:p>
        </w:tc>
      </w:tr>
      <w:tr w14:paraId="5842B5B2">
        <w:tblPrEx>
          <w:tblCellMar>
            <w:top w:w="0" w:type="dxa"/>
            <w:left w:w="108" w:type="dxa"/>
            <w:bottom w:w="0" w:type="dxa"/>
            <w:right w:w="108" w:type="dxa"/>
          </w:tblCellMar>
        </w:tblPrEx>
        <w:tc>
          <w:tcPr>
            <w:tcW w:w="2835" w:type="dxa"/>
            <w:tcBorders>
              <w:top w:val="nil"/>
              <w:left w:val="nil"/>
              <w:bottom w:val="nil"/>
              <w:right w:val="nil"/>
            </w:tcBorders>
            <w:shd w:val="clear" w:color="auto" w:fill="FFFFFF"/>
          </w:tcPr>
          <w:p w14:paraId="0B90D954">
            <w:pPr>
              <w:rPr>
                <w:b w:val="0"/>
                <w:color w:val="000000"/>
              </w:rPr>
            </w:pPr>
            <w:r>
              <w:rPr>
                <w:rFonts w:ascii="宋体" w:hAnsi="宋体" w:eastAsia="宋体"/>
                <w:b w:val="0"/>
                <w:color w:val="000000"/>
                <w:sz w:val="20"/>
              </w:rPr>
              <w:t>广告位出租</w:t>
            </w:r>
          </w:p>
        </w:tc>
        <w:tc>
          <w:tcPr>
            <w:tcW w:w="2268" w:type="dxa"/>
            <w:tcBorders>
              <w:top w:val="nil"/>
              <w:left w:val="nil"/>
              <w:bottom w:val="nil"/>
              <w:right w:val="nil"/>
            </w:tcBorders>
            <w:shd w:val="clear" w:color="auto" w:fill="FFFFFF"/>
          </w:tcPr>
          <w:p w14:paraId="453BF08E">
            <w:pPr>
              <w:rPr>
                <w:b w:val="0"/>
                <w:color w:val="000000"/>
              </w:rPr>
            </w:pPr>
            <w:r>
              <w:rPr>
                <w:rFonts w:ascii="宋体" w:hAnsi="宋体" w:eastAsia="宋体"/>
                <w:b w:val="0"/>
                <w:color w:val="000000"/>
                <w:sz w:val="20"/>
              </w:rPr>
              <w:t>1—3</w:t>
            </w:r>
          </w:p>
        </w:tc>
        <w:tc>
          <w:tcPr>
            <w:tcW w:w="3969" w:type="dxa"/>
            <w:tcBorders>
              <w:top w:val="nil"/>
              <w:left w:val="nil"/>
              <w:bottom w:val="nil"/>
              <w:right w:val="nil"/>
            </w:tcBorders>
            <w:shd w:val="clear" w:color="auto" w:fill="FFFFFF"/>
          </w:tcPr>
          <w:p w14:paraId="0815657A">
            <w:pPr>
              <w:rPr>
                <w:b w:val="0"/>
                <w:color w:val="000000"/>
              </w:rPr>
            </w:pPr>
            <w:r>
              <w:rPr>
                <w:rFonts w:ascii="宋体" w:hAnsi="宋体" w:eastAsia="宋体"/>
                <w:b w:val="0"/>
                <w:color w:val="000000"/>
                <w:sz w:val="20"/>
              </w:rPr>
              <w:t>预留墙面给骑行品牌、饮料品牌投广告</w:t>
            </w:r>
          </w:p>
        </w:tc>
      </w:tr>
      <w:tr w14:paraId="6045A76B">
        <w:tblPrEx>
          <w:tblCellMar>
            <w:top w:w="0" w:type="dxa"/>
            <w:left w:w="108" w:type="dxa"/>
            <w:bottom w:w="0" w:type="dxa"/>
            <w:right w:w="108" w:type="dxa"/>
          </w:tblCellMar>
        </w:tblPrEx>
        <w:trPr>
          <w:trHeight w:val="540" w:hRule="atLeast"/>
        </w:trPr>
        <w:tc>
          <w:tcPr>
            <w:tcW w:w="2835" w:type="dxa"/>
            <w:tcBorders>
              <w:top w:val="nil"/>
              <w:left w:val="nil"/>
              <w:bottom w:val="single" w:color="000000" w:sz="12" w:space="0"/>
              <w:right w:val="nil"/>
            </w:tcBorders>
            <w:shd w:val="clear" w:color="auto" w:fill="FFFFFF"/>
          </w:tcPr>
          <w:p w14:paraId="35122504">
            <w:pPr>
              <w:rPr>
                <w:b w:val="0"/>
                <w:color w:val="000000"/>
              </w:rPr>
            </w:pPr>
            <w:r>
              <w:rPr>
                <w:rFonts w:ascii="宋体" w:hAnsi="宋体" w:eastAsia="宋体"/>
                <w:b w:val="0"/>
                <w:color w:val="000000"/>
                <w:sz w:val="20"/>
              </w:rPr>
              <w:t>单点位合计</w:t>
            </w:r>
          </w:p>
        </w:tc>
        <w:tc>
          <w:tcPr>
            <w:tcW w:w="2268" w:type="dxa"/>
            <w:tcBorders>
              <w:top w:val="nil"/>
              <w:left w:val="nil"/>
              <w:bottom w:val="single" w:color="000000" w:sz="12" w:space="0"/>
              <w:right w:val="nil"/>
            </w:tcBorders>
            <w:shd w:val="clear" w:color="auto" w:fill="FFFFFF"/>
          </w:tcPr>
          <w:p w14:paraId="7B664DE5">
            <w:pPr>
              <w:rPr>
                <w:b w:val="0"/>
                <w:color w:val="000000"/>
              </w:rPr>
            </w:pPr>
            <w:r>
              <w:rPr>
                <w:rFonts w:ascii="宋体" w:hAnsi="宋体" w:eastAsia="宋体"/>
                <w:b w:val="0"/>
                <w:color w:val="000000"/>
                <w:sz w:val="20"/>
              </w:rPr>
              <w:t>3.5—9</w:t>
            </w:r>
          </w:p>
        </w:tc>
        <w:tc>
          <w:tcPr>
            <w:tcW w:w="3969" w:type="dxa"/>
            <w:tcBorders>
              <w:top w:val="nil"/>
              <w:left w:val="nil"/>
              <w:bottom w:val="single" w:color="000000" w:sz="12" w:space="0"/>
              <w:right w:val="nil"/>
            </w:tcBorders>
            <w:shd w:val="clear" w:color="auto" w:fill="FFFFFF"/>
          </w:tcPr>
          <w:p w14:paraId="4CA0B235">
            <w:pPr>
              <w:rPr>
                <w:b w:val="0"/>
                <w:color w:val="000000"/>
              </w:rPr>
            </w:pPr>
            <w:r>
              <w:rPr>
                <w:rFonts w:ascii="宋体" w:hAnsi="宋体" w:eastAsia="宋体"/>
                <w:b w:val="0"/>
                <w:color w:val="000000"/>
                <w:sz w:val="20"/>
              </w:rPr>
              <w:t>—</w:t>
            </w:r>
          </w:p>
        </w:tc>
      </w:tr>
    </w:tbl>
    <w:p w14:paraId="151A442F">
      <w:pPr>
        <w:spacing w:after="120"/>
      </w:pPr>
    </w:p>
    <w:p w14:paraId="22A9F64B">
      <w:pPr>
        <w:spacing w:after="80" w:line="360" w:lineRule="auto"/>
        <w:rPr>
          <w:rFonts w:ascii="宋体" w:hAnsi="宋体" w:eastAsia="宋体"/>
          <w:b w:val="0"/>
          <w:sz w:val="22"/>
        </w:rPr>
      </w:pPr>
      <w:r>
        <w:rPr>
          <w:rFonts w:hint="eastAsia" w:ascii="宋体" w:hAnsi="宋体" w:eastAsia="宋体"/>
          <w:b w:val="0"/>
          <w:sz w:val="22"/>
          <w:highlight w:val="yellow"/>
          <w:lang w:val="en-US" w:eastAsia="zh-CN"/>
        </w:rPr>
        <w:t>核心优势：</w:t>
      </w:r>
      <w:r>
        <w:rPr>
          <w:rFonts w:ascii="宋体" w:hAnsi="宋体" w:eastAsia="宋体"/>
          <w:b/>
          <w:bCs/>
          <w:sz w:val="22"/>
          <w:highlight w:val="yellow"/>
        </w:rPr>
        <w:t>村委会零设备投入、零运维人员、零库存风险</w:t>
      </w:r>
      <w:r>
        <w:rPr>
          <w:rFonts w:ascii="宋体" w:hAnsi="宋体" w:eastAsia="宋体"/>
          <w:b w:val="0"/>
          <w:sz w:val="22"/>
        </w:rPr>
        <w:t>。</w:t>
      </w:r>
    </w:p>
    <w:p w14:paraId="0508829F">
      <w:pPr>
        <w:spacing w:after="80" w:line="360" w:lineRule="auto"/>
      </w:pPr>
      <w:r>
        <w:rPr>
          <w:rFonts w:ascii="宋体" w:hAnsi="宋体" w:eastAsia="宋体"/>
          <w:b w:val="0"/>
          <w:sz w:val="22"/>
        </w:rPr>
        <w:t>以上测算建立在路径A全外包模式下,Y1单点位贡献约4—5万元村集体净收入,Y3三点位贡献约20万元。这个数字独立看不算亮眼,但它的意义在于骑行流量不再过而不留,它被截流并部分转化为村集体收入,同时带来了品牌曝光的外溢效应。</w:t>
      </w:r>
    </w:p>
    <w:p w14:paraId="3DB1258C">
      <w:pPr>
        <w:pStyle w:val="4"/>
        <w:bidi w:val="0"/>
      </w:pPr>
      <w:bookmarkStart w:id="115" w:name="_Toc4524"/>
      <w:r>
        <w:t xml:space="preserve">6.5.4 </w:t>
      </w:r>
      <w:r>
        <w:rPr>
          <w:rFonts w:hint="eastAsia"/>
          <w:lang w:val="en-US" w:eastAsia="zh-CN"/>
        </w:rPr>
        <w:t>功能升级：</w:t>
      </w:r>
      <w:r>
        <w:t>不只是卖货:复合节点升级</w:t>
      </w:r>
      <w:bookmarkEnd w:id="115"/>
    </w:p>
    <w:p w14:paraId="05A494A9">
      <w:pPr>
        <w:spacing w:after="80" w:line="360" w:lineRule="auto"/>
        <w:ind w:firstLine="440"/>
      </w:pPr>
      <w:r>
        <w:rPr>
          <w:rFonts w:ascii="宋体" w:hAnsi="宋体" w:eastAsia="宋体"/>
          <w:b w:val="0"/>
          <w:sz w:val="22"/>
        </w:rPr>
        <w:t>单纯的自助售货机毛利过薄,难以独立成为答辩级别的骑行系统卖点。</w:t>
      </w:r>
      <w:r>
        <w:rPr>
          <w:rFonts w:ascii="宋体" w:hAnsi="宋体" w:eastAsia="宋体" w:cstheme="minorBidi"/>
          <w:b w:val="0"/>
          <w:kern w:val="2"/>
          <w:sz w:val="22"/>
          <w:szCs w:val="24"/>
          <w:lang w:val="en-US" w:eastAsia="zh-CN" w:bidi="ar-SA"/>
          <w14:ligatures w14:val="standardContextual"/>
        </w:rPr>
        <w:t>为</w:t>
      </w:r>
      <w:r>
        <w:rPr>
          <w:rFonts w:ascii="宋体" w:hAnsi="宋体" w:eastAsia="宋体" w:cstheme="minorBidi"/>
          <w:b/>
          <w:bCs/>
          <w:kern w:val="2"/>
          <w:sz w:val="22"/>
          <w:szCs w:val="24"/>
          <w:lang w:val="en-US" w:eastAsia="zh-CN" w:bidi="ar-SA"/>
          <w14:ligatures w14:val="standardContextual"/>
        </w:rPr>
        <w:t>提升节点价值与骑行者粘性</w:t>
      </w:r>
      <w:r>
        <w:rPr>
          <w:rFonts w:ascii="宋体" w:hAnsi="宋体" w:eastAsia="宋体" w:cstheme="minorBidi"/>
          <w:b w:val="0"/>
          <w:kern w:val="2"/>
          <w:sz w:val="22"/>
          <w:szCs w:val="24"/>
          <w:lang w:val="en-US" w:eastAsia="zh-CN" w:bidi="ar-SA"/>
          <w14:ligatures w14:val="standardContextual"/>
        </w:rPr>
        <w:t>，驿站将叠加四重功能：</w:t>
      </w:r>
    </w:p>
    <w:tbl>
      <w:tblPr>
        <w:tblStyle w:val="14"/>
        <w:tblW w:w="0" w:type="auto"/>
        <w:tblInd w:w="0" w:type="dxa"/>
        <w:tblLayout w:type="autofit"/>
        <w:tblCellMar>
          <w:top w:w="0" w:type="dxa"/>
          <w:left w:w="108" w:type="dxa"/>
          <w:bottom w:w="0" w:type="dxa"/>
          <w:right w:w="108" w:type="dxa"/>
        </w:tblCellMar>
      </w:tblPr>
      <w:tblGrid>
        <w:gridCol w:w="1344"/>
        <w:gridCol w:w="4249"/>
        <w:gridCol w:w="2929"/>
      </w:tblGrid>
      <w:tr w14:paraId="132BAA89">
        <w:tblPrEx>
          <w:tblCellMar>
            <w:top w:w="0" w:type="dxa"/>
            <w:left w:w="108" w:type="dxa"/>
            <w:bottom w:w="0" w:type="dxa"/>
            <w:right w:w="108" w:type="dxa"/>
          </w:tblCellMar>
        </w:tblPrEx>
        <w:tc>
          <w:tcPr>
            <w:tcW w:w="1417" w:type="dxa"/>
            <w:tcBorders>
              <w:top w:val="single" w:color="000000" w:sz="12" w:space="0"/>
              <w:left w:val="nil"/>
              <w:bottom w:val="single" w:color="000000" w:sz="4" w:space="0"/>
              <w:right w:val="nil"/>
              <w:tl2br w:val="nil"/>
            </w:tcBorders>
            <w:shd w:val="clear" w:color="auto" w:fill="FFFFFF"/>
          </w:tcPr>
          <w:p w14:paraId="38EE134B">
            <w:pPr>
              <w:jc w:val="center"/>
              <w:rPr>
                <w:b w:val="0"/>
                <w:color w:val="000000"/>
              </w:rPr>
            </w:pPr>
            <w:r>
              <w:rPr>
                <w:rFonts w:ascii="黑体" w:hAnsi="黑体" w:eastAsia="黑体"/>
                <w:b w:val="0"/>
                <w:color w:val="000000"/>
                <w:sz w:val="20"/>
              </w:rPr>
              <w:t>功能层</w:t>
            </w:r>
          </w:p>
        </w:tc>
        <w:tc>
          <w:tcPr>
            <w:tcW w:w="4535" w:type="dxa"/>
            <w:tcBorders>
              <w:top w:val="single" w:color="000000" w:sz="12" w:space="0"/>
              <w:left w:val="nil"/>
              <w:bottom w:val="single" w:color="000000" w:sz="4" w:space="0"/>
              <w:right w:val="nil"/>
            </w:tcBorders>
            <w:shd w:val="clear" w:color="auto" w:fill="FFFFFF"/>
          </w:tcPr>
          <w:p w14:paraId="227C8F91">
            <w:pPr>
              <w:jc w:val="center"/>
              <w:rPr>
                <w:b w:val="0"/>
                <w:color w:val="000000"/>
              </w:rPr>
            </w:pPr>
            <w:r>
              <w:rPr>
                <w:rFonts w:ascii="黑体" w:hAnsi="黑体" w:eastAsia="黑体"/>
                <w:b w:val="0"/>
                <w:color w:val="000000"/>
                <w:sz w:val="20"/>
              </w:rPr>
              <w:t>具体设置</w:t>
            </w:r>
          </w:p>
        </w:tc>
        <w:tc>
          <w:tcPr>
            <w:tcW w:w="3118" w:type="dxa"/>
            <w:tcBorders>
              <w:top w:val="single" w:color="000000" w:sz="12" w:space="0"/>
              <w:left w:val="nil"/>
              <w:bottom w:val="single" w:color="000000" w:sz="4" w:space="0"/>
              <w:right w:val="nil"/>
            </w:tcBorders>
            <w:shd w:val="clear" w:color="auto" w:fill="FFFFFF"/>
          </w:tcPr>
          <w:p w14:paraId="070545B3">
            <w:pPr>
              <w:jc w:val="center"/>
              <w:rPr>
                <w:b w:val="0"/>
                <w:color w:val="000000"/>
              </w:rPr>
            </w:pPr>
            <w:r>
              <w:rPr>
                <w:rFonts w:ascii="黑体" w:hAnsi="黑体" w:eastAsia="黑体"/>
                <w:b w:val="0"/>
                <w:color w:val="000000"/>
                <w:sz w:val="20"/>
              </w:rPr>
              <w:t>收益模式</w:t>
            </w:r>
          </w:p>
        </w:tc>
      </w:tr>
      <w:tr w14:paraId="5384CDE3">
        <w:tblPrEx>
          <w:tblCellMar>
            <w:top w:w="0" w:type="dxa"/>
            <w:left w:w="108" w:type="dxa"/>
            <w:bottom w:w="0" w:type="dxa"/>
            <w:right w:w="108" w:type="dxa"/>
          </w:tblCellMar>
        </w:tblPrEx>
        <w:tc>
          <w:tcPr>
            <w:tcW w:w="1417" w:type="dxa"/>
            <w:tcBorders>
              <w:top w:val="single" w:color="000000" w:sz="4" w:space="0"/>
              <w:left w:val="nil"/>
              <w:bottom w:val="nil"/>
              <w:right w:val="nil"/>
            </w:tcBorders>
            <w:shd w:val="clear" w:color="auto" w:fill="FFFFFF"/>
          </w:tcPr>
          <w:p w14:paraId="722B88DA">
            <w:pPr>
              <w:rPr>
                <w:b w:val="0"/>
                <w:color w:val="000000"/>
              </w:rPr>
            </w:pPr>
            <w:r>
              <w:rPr>
                <w:rFonts w:ascii="宋体" w:hAnsi="宋体" w:eastAsia="宋体"/>
                <w:b w:val="0"/>
                <w:color w:val="000000"/>
                <w:sz w:val="20"/>
              </w:rPr>
              <w:t>补给层</w:t>
            </w:r>
          </w:p>
        </w:tc>
        <w:tc>
          <w:tcPr>
            <w:tcW w:w="4535" w:type="dxa"/>
            <w:tcBorders>
              <w:top w:val="single" w:color="000000" w:sz="4" w:space="0"/>
              <w:left w:val="nil"/>
              <w:bottom w:val="nil"/>
              <w:right w:val="nil"/>
            </w:tcBorders>
            <w:shd w:val="clear" w:color="auto" w:fill="FFFFFF"/>
          </w:tcPr>
          <w:p w14:paraId="7EA0C96B">
            <w:pPr>
              <w:rPr>
                <w:b w:val="0"/>
                <w:color w:val="000000"/>
              </w:rPr>
            </w:pPr>
            <w:r>
              <w:rPr>
                <w:rFonts w:ascii="宋体" w:hAnsi="宋体" w:eastAsia="宋体"/>
                <w:b w:val="0"/>
                <w:color w:val="000000"/>
                <w:sz w:val="20"/>
              </w:rPr>
              <w:t>自助售货机(饮料/能量/小食)</w:t>
            </w:r>
          </w:p>
        </w:tc>
        <w:tc>
          <w:tcPr>
            <w:tcW w:w="3118" w:type="dxa"/>
            <w:tcBorders>
              <w:top w:val="single" w:color="000000" w:sz="4" w:space="0"/>
              <w:left w:val="nil"/>
              <w:bottom w:val="nil"/>
              <w:right w:val="nil"/>
            </w:tcBorders>
            <w:shd w:val="clear" w:color="auto" w:fill="FFFFFF"/>
          </w:tcPr>
          <w:p w14:paraId="4A45F83E">
            <w:pPr>
              <w:rPr>
                <w:b w:val="0"/>
                <w:color w:val="000000"/>
              </w:rPr>
            </w:pPr>
            <w:r>
              <w:rPr>
                <w:rFonts w:ascii="宋体" w:hAnsi="宋体" w:eastAsia="宋体"/>
                <w:b w:val="0"/>
                <w:color w:val="000000"/>
                <w:sz w:val="20"/>
              </w:rPr>
              <w:t>销售分成</w:t>
            </w:r>
          </w:p>
        </w:tc>
      </w:tr>
      <w:tr w14:paraId="297547B6">
        <w:tblPrEx>
          <w:tblCellMar>
            <w:top w:w="0" w:type="dxa"/>
            <w:left w:w="108" w:type="dxa"/>
            <w:bottom w:w="0" w:type="dxa"/>
            <w:right w:w="108" w:type="dxa"/>
          </w:tblCellMar>
        </w:tblPrEx>
        <w:tc>
          <w:tcPr>
            <w:tcW w:w="1417" w:type="dxa"/>
            <w:tcBorders>
              <w:top w:val="nil"/>
              <w:left w:val="nil"/>
              <w:bottom w:val="nil"/>
              <w:right w:val="nil"/>
            </w:tcBorders>
            <w:shd w:val="clear" w:color="auto" w:fill="FFFFFF"/>
          </w:tcPr>
          <w:p w14:paraId="42123CB7">
            <w:pPr>
              <w:rPr>
                <w:b w:val="0"/>
                <w:color w:val="000000"/>
              </w:rPr>
            </w:pPr>
            <w:r>
              <w:rPr>
                <w:rFonts w:ascii="宋体" w:hAnsi="宋体" w:eastAsia="宋体"/>
                <w:b w:val="0"/>
                <w:color w:val="000000"/>
                <w:sz w:val="20"/>
              </w:rPr>
              <w:t>服务层</w:t>
            </w:r>
          </w:p>
        </w:tc>
        <w:tc>
          <w:tcPr>
            <w:tcW w:w="4535" w:type="dxa"/>
            <w:tcBorders>
              <w:top w:val="nil"/>
              <w:left w:val="nil"/>
              <w:bottom w:val="nil"/>
              <w:right w:val="nil"/>
            </w:tcBorders>
            <w:shd w:val="clear" w:color="auto" w:fill="FFFFFF"/>
          </w:tcPr>
          <w:p w14:paraId="385CB590">
            <w:pPr>
              <w:rPr>
                <w:b w:val="0"/>
                <w:color w:val="000000"/>
              </w:rPr>
            </w:pPr>
            <w:r>
              <w:rPr>
                <w:rFonts w:ascii="宋体" w:hAnsi="宋体" w:eastAsia="宋体"/>
                <w:b w:val="0"/>
                <w:color w:val="000000"/>
                <w:sz w:val="20"/>
              </w:rPr>
              <w:t>免费饮水机、手机与电瓶充电桩、骑行工具墙(打气筒/简易修理)</w:t>
            </w:r>
          </w:p>
        </w:tc>
        <w:tc>
          <w:tcPr>
            <w:tcW w:w="3118" w:type="dxa"/>
            <w:tcBorders>
              <w:top w:val="nil"/>
              <w:left w:val="nil"/>
              <w:bottom w:val="nil"/>
              <w:right w:val="nil"/>
            </w:tcBorders>
            <w:shd w:val="clear" w:color="auto" w:fill="FFFFFF"/>
          </w:tcPr>
          <w:p w14:paraId="6F88C684">
            <w:pPr>
              <w:rPr>
                <w:b w:val="0"/>
                <w:color w:val="000000"/>
              </w:rPr>
            </w:pPr>
            <w:r>
              <w:rPr>
                <w:rFonts w:ascii="宋体" w:hAnsi="宋体" w:eastAsia="宋体"/>
                <w:b w:val="0"/>
                <w:color w:val="000000"/>
                <w:sz w:val="20"/>
              </w:rPr>
              <w:t>不直接收费,核心作用是吸引停留</w:t>
            </w:r>
          </w:p>
        </w:tc>
      </w:tr>
      <w:tr w14:paraId="139224B1">
        <w:tblPrEx>
          <w:tblCellMar>
            <w:top w:w="0" w:type="dxa"/>
            <w:left w:w="108" w:type="dxa"/>
            <w:bottom w:w="0" w:type="dxa"/>
            <w:right w:w="108" w:type="dxa"/>
          </w:tblCellMar>
        </w:tblPrEx>
        <w:tc>
          <w:tcPr>
            <w:tcW w:w="1417" w:type="dxa"/>
            <w:tcBorders>
              <w:top w:val="nil"/>
              <w:left w:val="nil"/>
              <w:bottom w:val="nil"/>
              <w:right w:val="nil"/>
            </w:tcBorders>
            <w:shd w:val="clear" w:color="auto" w:fill="FFFFFF"/>
          </w:tcPr>
          <w:p w14:paraId="5299447C">
            <w:pPr>
              <w:rPr>
                <w:b w:val="0"/>
                <w:color w:val="000000"/>
              </w:rPr>
            </w:pPr>
            <w:r>
              <w:rPr>
                <w:rFonts w:ascii="宋体" w:hAnsi="宋体" w:eastAsia="宋体"/>
                <w:b w:val="0"/>
                <w:color w:val="000000"/>
                <w:sz w:val="20"/>
              </w:rPr>
              <w:t>品牌层</w:t>
            </w:r>
          </w:p>
        </w:tc>
        <w:tc>
          <w:tcPr>
            <w:tcW w:w="4535" w:type="dxa"/>
            <w:tcBorders>
              <w:top w:val="nil"/>
              <w:left w:val="nil"/>
              <w:bottom w:val="nil"/>
              <w:right w:val="nil"/>
            </w:tcBorders>
            <w:shd w:val="clear" w:color="auto" w:fill="FFFFFF"/>
          </w:tcPr>
          <w:p w14:paraId="56D414EB">
            <w:pPr>
              <w:rPr>
                <w:b w:val="0"/>
                <w:color w:val="000000"/>
              </w:rPr>
            </w:pPr>
            <w:r>
              <w:rPr>
                <w:rFonts w:ascii="宋体" w:hAnsi="宋体" w:eastAsia="宋体"/>
                <w:b w:val="0"/>
                <w:color w:val="000000"/>
                <w:sz w:val="20"/>
              </w:rPr>
              <w:t>樱桃IP墙绘、打卡拍照点、骑行海报自动合成触发二维码</w:t>
            </w:r>
          </w:p>
        </w:tc>
        <w:tc>
          <w:tcPr>
            <w:tcW w:w="3118" w:type="dxa"/>
            <w:tcBorders>
              <w:top w:val="nil"/>
              <w:left w:val="nil"/>
              <w:bottom w:val="nil"/>
              <w:right w:val="nil"/>
            </w:tcBorders>
            <w:shd w:val="clear" w:color="auto" w:fill="FFFFFF"/>
          </w:tcPr>
          <w:p w14:paraId="65DCEBEC">
            <w:pPr>
              <w:rPr>
                <w:b w:val="0"/>
                <w:color w:val="000000"/>
              </w:rPr>
            </w:pPr>
            <w:r>
              <w:rPr>
                <w:rFonts w:ascii="宋体" w:hAnsi="宋体" w:eastAsia="宋体"/>
                <w:b w:val="0"/>
                <w:color w:val="000000"/>
                <w:sz w:val="20"/>
              </w:rPr>
              <w:t>品牌曝光与社交传播</w:t>
            </w:r>
          </w:p>
        </w:tc>
      </w:tr>
      <w:tr w14:paraId="317DFE7D">
        <w:tblPrEx>
          <w:tblCellMar>
            <w:top w:w="0" w:type="dxa"/>
            <w:left w:w="108" w:type="dxa"/>
            <w:bottom w:w="0" w:type="dxa"/>
            <w:right w:w="108" w:type="dxa"/>
          </w:tblCellMar>
        </w:tblPrEx>
        <w:tc>
          <w:tcPr>
            <w:tcW w:w="1417" w:type="dxa"/>
            <w:tcBorders>
              <w:top w:val="nil"/>
              <w:left w:val="nil"/>
              <w:bottom w:val="single" w:color="000000" w:sz="12" w:space="0"/>
              <w:right w:val="nil"/>
            </w:tcBorders>
            <w:shd w:val="clear" w:color="auto" w:fill="FFFFFF"/>
          </w:tcPr>
          <w:p w14:paraId="0F02101D">
            <w:pPr>
              <w:rPr>
                <w:b w:val="0"/>
                <w:color w:val="000000"/>
              </w:rPr>
            </w:pPr>
            <w:r>
              <w:rPr>
                <w:rFonts w:ascii="宋体" w:hAnsi="宋体" w:eastAsia="宋体"/>
                <w:b w:val="0"/>
                <w:color w:val="000000"/>
                <w:sz w:val="20"/>
              </w:rPr>
              <w:t>媒介层</w:t>
            </w:r>
          </w:p>
        </w:tc>
        <w:tc>
          <w:tcPr>
            <w:tcW w:w="4535" w:type="dxa"/>
            <w:tcBorders>
              <w:top w:val="nil"/>
              <w:left w:val="nil"/>
              <w:bottom w:val="single" w:color="000000" w:sz="12" w:space="0"/>
              <w:right w:val="nil"/>
            </w:tcBorders>
            <w:shd w:val="clear" w:color="auto" w:fill="FFFFFF"/>
          </w:tcPr>
          <w:p w14:paraId="1CAE02A9">
            <w:pPr>
              <w:rPr>
                <w:b w:val="0"/>
                <w:color w:val="000000"/>
              </w:rPr>
            </w:pPr>
            <w:r>
              <w:rPr>
                <w:rFonts w:ascii="宋体" w:hAnsi="宋体" w:eastAsia="宋体"/>
                <w:b w:val="0"/>
                <w:color w:val="000000"/>
                <w:sz w:val="20"/>
              </w:rPr>
              <w:t>预留墙面广告位,出租给骑行装备/饮料/户外品牌</w:t>
            </w:r>
          </w:p>
        </w:tc>
        <w:tc>
          <w:tcPr>
            <w:tcW w:w="3118" w:type="dxa"/>
            <w:tcBorders>
              <w:top w:val="nil"/>
              <w:left w:val="nil"/>
              <w:bottom w:val="single" w:color="000000" w:sz="12" w:space="0"/>
              <w:right w:val="nil"/>
            </w:tcBorders>
            <w:shd w:val="clear" w:color="auto" w:fill="FFFFFF"/>
          </w:tcPr>
          <w:p w14:paraId="76985AE5">
            <w:pPr>
              <w:rPr>
                <w:b w:val="0"/>
                <w:color w:val="000000"/>
              </w:rPr>
            </w:pPr>
            <w:r>
              <w:rPr>
                <w:rFonts w:ascii="宋体" w:hAnsi="宋体" w:eastAsia="宋体"/>
                <w:b w:val="0"/>
                <w:color w:val="000000"/>
                <w:sz w:val="20"/>
              </w:rPr>
              <w:t>年租金</w:t>
            </w:r>
          </w:p>
        </w:tc>
      </w:tr>
    </w:tbl>
    <w:p w14:paraId="2DCB85B2">
      <w:pPr>
        <w:spacing w:after="120"/>
      </w:pPr>
    </w:p>
    <w:p w14:paraId="50AB263A">
      <w:pPr>
        <w:spacing w:after="80" w:line="360" w:lineRule="auto"/>
        <w:ind w:firstLine="440"/>
        <w:rPr>
          <w:b/>
          <w:bCs/>
        </w:rPr>
      </w:pPr>
      <w:r>
        <w:rPr>
          <w:rFonts w:ascii="宋体" w:hAnsi="宋体" w:eastAsia="宋体" w:cstheme="minorBidi"/>
          <w:b/>
          <w:bCs/>
          <w:kern w:val="2"/>
          <w:sz w:val="22"/>
          <w:szCs w:val="24"/>
          <w:lang w:val="en-US" w:eastAsia="zh-CN" w:bidi="ar-SA"/>
          <w14:ligatures w14:val="standardContextual"/>
        </w:rPr>
        <w:t>服务层的</w:t>
      </w:r>
      <w:r>
        <w:rPr>
          <w:rFonts w:ascii="宋体" w:hAnsi="宋体" w:eastAsia="宋体" w:cstheme="minorBidi"/>
          <w:b/>
          <w:bCs/>
          <w:kern w:val="2"/>
          <w:sz w:val="22"/>
          <w:szCs w:val="24"/>
          <w:highlight w:val="yellow"/>
          <w:lang w:val="en-US" w:eastAsia="zh-CN" w:bidi="ar-SA"/>
          <w14:ligatures w14:val="standardContextual"/>
        </w:rPr>
        <w:t>免费设施是</w:t>
      </w:r>
      <w:r>
        <w:rPr>
          <w:rFonts w:ascii="宋体" w:hAnsi="宋体" w:eastAsia="宋体" w:cstheme="minorBidi"/>
          <w:b/>
          <w:bCs/>
          <w:kern w:val="2"/>
          <w:sz w:val="22"/>
          <w:szCs w:val="24"/>
          <w:lang w:val="en-US" w:eastAsia="zh-CN" w:bidi="ar-SA"/>
          <w14:ligatures w14:val="standardContextual"/>
        </w:rPr>
        <w:t>关键的</w:t>
      </w:r>
      <w:r>
        <w:rPr>
          <w:rFonts w:ascii="宋体" w:hAnsi="宋体" w:eastAsia="宋体" w:cstheme="minorBidi"/>
          <w:b/>
          <w:bCs/>
          <w:kern w:val="2"/>
          <w:sz w:val="22"/>
          <w:szCs w:val="24"/>
          <w:highlight w:val="yellow"/>
          <w:lang w:val="en-US" w:eastAsia="zh-CN" w:bidi="ar-SA"/>
          <w14:ligatures w14:val="standardContextual"/>
        </w:rPr>
        <w:t>“流量钩子”</w:t>
      </w:r>
      <w:r>
        <w:rPr>
          <w:rFonts w:ascii="宋体" w:hAnsi="宋体" w:eastAsia="宋体" w:cstheme="minorBidi"/>
          <w:b/>
          <w:bCs/>
          <w:kern w:val="2"/>
          <w:sz w:val="22"/>
          <w:szCs w:val="24"/>
          <w:lang w:val="en-US" w:eastAsia="zh-CN" w:bidi="ar-SA"/>
          <w14:ligatures w14:val="standardContextual"/>
        </w:rPr>
        <w:t>，能有效吸引骑行者停留，进而触发补给购买与社交分享行为，</w:t>
      </w:r>
      <w:r>
        <w:rPr>
          <w:rFonts w:ascii="宋体" w:hAnsi="宋体" w:eastAsia="宋体" w:cstheme="minorBidi"/>
          <w:b/>
          <w:bCs/>
          <w:kern w:val="2"/>
          <w:sz w:val="22"/>
          <w:szCs w:val="24"/>
          <w:highlight w:val="yellow"/>
          <w:lang w:val="en-US" w:eastAsia="zh-CN" w:bidi="ar-SA"/>
          <w14:ligatures w14:val="standardContextual"/>
        </w:rPr>
        <w:t>形成“引流-停留-转化-传播”的闭环</w:t>
      </w:r>
      <w:r>
        <w:rPr>
          <w:rFonts w:ascii="宋体" w:hAnsi="宋体" w:eastAsia="宋体" w:cstheme="minorBidi"/>
          <w:b/>
          <w:bCs/>
          <w:kern w:val="2"/>
          <w:sz w:val="22"/>
          <w:szCs w:val="24"/>
          <w:lang w:val="en-US" w:eastAsia="zh-CN" w:bidi="ar-SA"/>
          <w14:ligatures w14:val="standardContextual"/>
        </w:rPr>
        <w:t>。</w:t>
      </w:r>
      <w:r>
        <w:rPr>
          <w:rFonts w:ascii="宋体" w:hAnsi="宋体" w:eastAsia="宋体"/>
          <w:b w:val="0"/>
          <w:sz w:val="22"/>
        </w:rPr>
        <w:t>骑行者为了一口免费水、一个充电插座、一把打气筒可以专程拐进支路,一旦停留就天然触发补给购买与打卡拍照,销售与传播的转化随之发生。</w:t>
      </w:r>
      <w:r>
        <w:rPr>
          <w:rFonts w:ascii="宋体" w:hAnsi="宋体" w:eastAsia="宋体"/>
          <w:b/>
          <w:bCs/>
          <w:sz w:val="22"/>
          <w:highlight w:val="yellow"/>
        </w:rPr>
        <w:t>品牌层则借助小程序的骑行海报合成模块</w:t>
      </w:r>
      <w:r>
        <w:rPr>
          <w:rFonts w:ascii="宋体" w:hAnsi="宋体" w:eastAsia="宋体"/>
          <w:b/>
          <w:bCs/>
          <w:sz w:val="22"/>
        </w:rPr>
        <w:t>,把每一次到访转化为带品牌水印的社交内容,</w:t>
      </w:r>
      <w:r>
        <w:rPr>
          <w:rFonts w:ascii="宋体" w:hAnsi="宋体" w:eastAsia="宋体"/>
          <w:b/>
          <w:bCs/>
          <w:sz w:val="22"/>
          <w:highlight w:val="yellow"/>
        </w:rPr>
        <w:t>实现低成本品牌曝光</w:t>
      </w:r>
      <w:r>
        <w:rPr>
          <w:rFonts w:ascii="宋体" w:hAnsi="宋体" w:eastAsia="宋体"/>
          <w:b/>
          <w:bCs/>
          <w:sz w:val="22"/>
        </w:rPr>
        <w:t>。</w:t>
      </w:r>
    </w:p>
    <w:p w14:paraId="3AF97E1A">
      <w:pPr>
        <w:pStyle w:val="4"/>
        <w:bidi w:val="0"/>
      </w:pPr>
      <w:bookmarkStart w:id="116" w:name="_Toc4185"/>
      <w:r>
        <w:t>6.5.5 与小程序深度联动</w:t>
      </w:r>
      <w:bookmarkEnd w:id="116"/>
    </w:p>
    <w:p w14:paraId="3F7AA1C3">
      <w:pPr>
        <w:spacing w:after="80" w:line="360" w:lineRule="auto"/>
        <w:ind w:firstLine="440"/>
        <w:rPr>
          <w:b/>
          <w:bCs/>
        </w:rPr>
      </w:pPr>
      <w:r>
        <w:rPr>
          <w:rFonts w:ascii="宋体" w:hAnsi="宋体" w:eastAsia="宋体"/>
          <w:b w:val="0"/>
          <w:sz w:val="22"/>
        </w:rPr>
        <w:t>驿站不是孤立的物理货架,它是整个数字平台的线下触点之一。</w:t>
      </w:r>
      <w:r>
        <w:rPr>
          <w:rFonts w:ascii="宋体" w:hAnsi="宋体" w:eastAsia="宋体"/>
          <w:b/>
          <w:bCs/>
          <w:sz w:val="22"/>
        </w:rPr>
        <w:t>通过</w:t>
      </w:r>
      <w:r>
        <w:rPr>
          <w:rFonts w:ascii="宋体" w:hAnsi="宋体" w:eastAsia="宋体"/>
          <w:b/>
          <w:bCs/>
          <w:sz w:val="22"/>
          <w:highlight w:val="none"/>
        </w:rPr>
        <w:t>小程序的统一账户体系,</w:t>
      </w:r>
      <w:r>
        <w:rPr>
          <w:rFonts w:ascii="宋体" w:hAnsi="宋体" w:eastAsia="宋体"/>
          <w:b/>
          <w:bCs/>
          <w:sz w:val="22"/>
          <w:highlight w:val="yellow"/>
        </w:rPr>
        <w:t>驿站与认养、骑行、联盟三大模块深度打通</w:t>
      </w:r>
      <w:r>
        <w:rPr>
          <w:rFonts w:ascii="宋体" w:hAnsi="宋体" w:eastAsia="宋体"/>
          <w:b/>
          <w:bCs/>
          <w:sz w:val="22"/>
        </w:rPr>
        <w:t>。</w:t>
      </w:r>
    </w:p>
    <w:p w14:paraId="1308EE5C">
      <w:pPr>
        <w:spacing w:line="360" w:lineRule="auto"/>
      </w:pPr>
      <w:r>
        <w:rPr>
          <w:rFonts w:hint="eastAsia" w:ascii="宋体" w:hAnsi="宋体" w:eastAsia="宋体"/>
          <w:b w:val="0"/>
          <w:sz w:val="22"/>
          <w:lang w:val="en-US" w:eastAsia="zh-CN"/>
        </w:rPr>
        <w:t>a.</w:t>
      </w:r>
      <w:r>
        <w:rPr>
          <w:rFonts w:ascii="宋体" w:hAnsi="宋体" w:eastAsia="宋体"/>
          <w:b/>
          <w:bCs/>
          <w:sz w:val="22"/>
        </w:rPr>
        <w:t>积分通兑</w:t>
      </w:r>
      <w:r>
        <w:rPr>
          <w:rFonts w:hint="eastAsia" w:ascii="宋体" w:hAnsi="宋体" w:eastAsia="宋体"/>
          <w:b w:val="0"/>
          <w:sz w:val="22"/>
          <w:lang w:eastAsia="zh-CN"/>
        </w:rPr>
        <w:t>：</w:t>
      </w:r>
      <w:r>
        <w:rPr>
          <w:rFonts w:ascii="宋体" w:hAnsi="宋体" w:eastAsia="宋体"/>
          <w:b w:val="0"/>
          <w:sz w:val="22"/>
        </w:rPr>
        <w:t>扫驿站二维码即获</w:t>
      </w:r>
      <w:r>
        <w:rPr>
          <w:rFonts w:hint="eastAsia" w:ascii="宋体" w:hAnsi="宋体" w:eastAsia="宋体"/>
          <w:b w:val="0"/>
          <w:sz w:val="22"/>
          <w:lang w:val="en-US" w:eastAsia="zh-CN"/>
        </w:rPr>
        <w:t>生态</w:t>
      </w:r>
      <w:r>
        <w:rPr>
          <w:rFonts w:ascii="宋体" w:hAnsi="宋体" w:eastAsia="宋体"/>
          <w:b w:val="0"/>
          <w:sz w:val="22"/>
        </w:rPr>
        <w:t>积分,积分可在认养互动、骑行海报升级、联盟村商家消费中通兑</w:t>
      </w:r>
    </w:p>
    <w:p w14:paraId="3BE77E57">
      <w:pPr>
        <w:spacing w:line="360" w:lineRule="auto"/>
        <w:rPr>
          <w:rFonts w:hint="default" w:ascii="宋体" w:hAnsi="宋体" w:eastAsia="宋体" w:cstheme="minorBidi"/>
          <w:b w:val="0"/>
          <w:kern w:val="2"/>
          <w:sz w:val="22"/>
          <w:szCs w:val="24"/>
          <w:lang w:val="en-US" w:eastAsia="zh-CN" w:bidi="ar-SA"/>
          <w14:ligatures w14:val="standardContextual"/>
        </w:rPr>
      </w:pPr>
      <w:r>
        <w:rPr>
          <w:rFonts w:hint="eastAsia" w:ascii="宋体" w:hAnsi="宋体" w:eastAsia="宋体" w:cstheme="minorBidi"/>
          <w:b w:val="0"/>
          <w:kern w:val="2"/>
          <w:sz w:val="22"/>
          <w:szCs w:val="24"/>
          <w:lang w:val="en-US" w:eastAsia="zh-CN" w:bidi="ar-SA"/>
          <w14:ligatures w14:val="standardContextual"/>
        </w:rPr>
        <w:t>b.</w:t>
      </w:r>
      <w:r>
        <w:rPr>
          <w:rFonts w:ascii="宋体" w:hAnsi="宋体" w:eastAsia="宋体" w:cstheme="minorBidi"/>
          <w:b/>
          <w:bCs/>
          <w:kern w:val="2"/>
          <w:sz w:val="22"/>
          <w:szCs w:val="24"/>
          <w:lang w:val="en-US" w:eastAsia="zh-CN" w:bidi="ar-SA"/>
          <w14:ligatures w14:val="standardContextual"/>
        </w:rPr>
        <w:t>预订自提</w:t>
      </w:r>
      <w:r>
        <w:rPr>
          <w:rFonts w:hint="default" w:ascii="宋体" w:hAnsi="宋体" w:eastAsia="宋体" w:cstheme="minorBidi"/>
          <w:b w:val="0"/>
          <w:kern w:val="2"/>
          <w:sz w:val="22"/>
          <w:szCs w:val="24"/>
          <w:lang w:val="en-US" w:eastAsia="zh-CN" w:bidi="ar-SA"/>
          <w14:ligatures w14:val="standardContextual"/>
        </w:rPr>
        <w:t>：骑行者可在线预订大容量商品（如冰镇饮料），到站扫码取货</w:t>
      </w:r>
    </w:p>
    <w:p w14:paraId="3D4B8403">
      <w:pPr>
        <w:spacing w:line="360" w:lineRule="auto"/>
        <w:rPr>
          <w:rFonts w:ascii="宋体" w:hAnsi="宋体" w:eastAsia="宋体" w:cstheme="minorBidi"/>
          <w:b w:val="0"/>
          <w:kern w:val="2"/>
          <w:sz w:val="22"/>
          <w:szCs w:val="24"/>
          <w:lang w:val="en-US" w:eastAsia="zh-CN" w:bidi="ar-SA"/>
          <w14:ligatures w14:val="standardContextual"/>
        </w:rPr>
      </w:pPr>
      <w:r>
        <w:rPr>
          <w:rFonts w:hint="eastAsia" w:ascii="宋体" w:hAnsi="宋体" w:eastAsia="宋体"/>
          <w:b w:val="0"/>
          <w:sz w:val="22"/>
          <w:lang w:val="en-US" w:eastAsia="zh-CN"/>
        </w:rPr>
        <w:t>c.</w:t>
      </w:r>
      <w:r>
        <w:rPr>
          <w:rFonts w:hint="eastAsia" w:ascii="宋体" w:hAnsi="宋体" w:eastAsia="宋体"/>
          <w:b/>
          <w:bCs/>
          <w:sz w:val="22"/>
          <w:lang w:val="en-US" w:eastAsia="zh-CN"/>
        </w:rPr>
        <w:t>飞地代销</w:t>
      </w:r>
      <w:r>
        <w:rPr>
          <w:rFonts w:hint="eastAsia" w:ascii="宋体" w:hAnsi="宋体" w:eastAsia="宋体"/>
          <w:b w:val="0"/>
          <w:sz w:val="22"/>
          <w:lang w:val="en-US" w:eastAsia="zh-CN"/>
        </w:rPr>
        <w:t>：</w:t>
      </w:r>
      <w:r>
        <w:rPr>
          <w:rFonts w:ascii="宋体" w:hAnsi="宋体" w:eastAsia="宋体"/>
          <w:b w:val="0"/>
          <w:sz w:val="22"/>
        </w:rPr>
        <w:t>驿站销售商品中包含周边联盟村的代销品(铠甲村葫芦文创、秦家东庄农产品),</w:t>
      </w:r>
      <w:r>
        <w:rPr>
          <w:rFonts w:ascii="宋体" w:hAnsi="宋体" w:eastAsia="宋体" w:cstheme="minorBidi"/>
          <w:b w:val="0"/>
          <w:kern w:val="2"/>
          <w:sz w:val="22"/>
          <w:szCs w:val="24"/>
          <w:lang w:val="en-US" w:eastAsia="zh-CN" w:bidi="ar-SA"/>
          <w14:ligatures w14:val="standardContextual"/>
        </w:rPr>
        <w:t>构建区域互助网络。</w:t>
      </w:r>
    </w:p>
    <w:p w14:paraId="6BB8E801">
      <w:pPr>
        <w:pStyle w:val="4"/>
        <w:bidi w:val="0"/>
      </w:pPr>
      <w:bookmarkStart w:id="117" w:name="_Toc23515"/>
      <w:r>
        <w:t>6.5.6 季节性运营与风险控制</w:t>
      </w:r>
      <w:bookmarkEnd w:id="117"/>
    </w:p>
    <w:p w14:paraId="044F7772">
      <w:pPr>
        <w:bidi w:val="0"/>
      </w:pPr>
      <w:r>
        <w:rPr>
          <w:rFonts w:hint="eastAsia"/>
          <w:lang w:val="en-US" w:eastAsia="zh-CN"/>
        </w:rPr>
        <w:t>a.季节性运营：</w:t>
      </w:r>
      <w:r>
        <w:t>京郊冬季气温低,饮料类设备存在冻损风险,骑行客流也大幅下降,强行全季运营将出现明显亏损</w:t>
      </w:r>
    </w:p>
    <w:p w14:paraId="2DABFDA7">
      <w:pPr>
        <w:bidi w:val="0"/>
      </w:pPr>
      <w:r>
        <w:t>旺季(4—10月)全设备开机并在周末加岗</w:t>
      </w:r>
    </w:p>
    <w:p w14:paraId="3878932F">
      <w:pPr>
        <w:bidi w:val="0"/>
      </w:pPr>
      <w:r>
        <w:t>淡季(11—3月)饮料设备撤场,仅保留综合补给柜与品牌墙,春节前后针对过村游客推出水源地年货柜。</w:t>
      </w:r>
    </w:p>
    <w:p w14:paraId="47D3127A">
      <w:pPr>
        <w:bidi w:val="0"/>
        <w:rPr>
          <w:rFonts w:hint="eastAsia"/>
          <w:lang w:val="en-US" w:eastAsia="zh-CN"/>
        </w:rPr>
      </w:pPr>
      <w:r>
        <w:rPr>
          <w:rFonts w:hint="eastAsia"/>
          <w:lang w:val="en-US" w:eastAsia="zh-CN"/>
        </w:rPr>
        <w:t>b.风险控制：</w:t>
      </w:r>
    </w:p>
    <w:p w14:paraId="796A137F">
      <w:pPr>
        <w:bidi w:val="0"/>
        <w:rPr>
          <w:rFonts w:hint="eastAsia"/>
          <w:lang w:val="en-US" w:eastAsia="zh-CN"/>
        </w:rPr>
      </w:pPr>
      <w:r>
        <w:rPr>
          <w:rFonts w:hint="eastAsia"/>
          <w:lang w:val="en-US" w:eastAsia="zh-CN"/>
        </w:rPr>
        <w:t>废弃物管理：驿站旁设置分类垃圾回收桶，并张贴“带走垃圾，守护水源”倡议标识。与村内保洁体系联动，增加清理频次。</w:t>
      </w:r>
    </w:p>
    <w:p w14:paraId="5FF1AC84">
      <w:pPr>
        <w:bidi w:val="0"/>
        <w:rPr>
          <w:rFonts w:hint="eastAsia"/>
          <w:lang w:val="en-US" w:eastAsia="zh-CN"/>
        </w:rPr>
      </w:pPr>
      <w:r>
        <w:rPr>
          <w:rFonts w:hint="eastAsia"/>
          <w:lang w:val="en-US" w:eastAsia="zh-CN"/>
        </w:rPr>
        <w:t>合同约束：约定设备故障、商品质量问题由运营方全权负责。</w:t>
      </w:r>
    </w:p>
    <w:p w14:paraId="456E1FEE">
      <w:pPr>
        <w:bidi w:val="0"/>
      </w:pPr>
      <w:r>
        <w:rPr>
          <w:rFonts w:hint="eastAsia"/>
          <w:lang w:val="en-US" w:eastAsia="zh-CN"/>
        </w:rPr>
        <w:t>试运营机制：设定3个月试运营期，若环保或经营数据不达标，可无责终止合同，确保村委会风险可控。</w:t>
      </w:r>
    </w:p>
    <w:p w14:paraId="6B20C140">
      <w:pPr>
        <w:pStyle w:val="3"/>
        <w:bidi w:val="0"/>
        <w:rPr>
          <w:rFonts w:hint="eastAsia"/>
        </w:rPr>
      </w:pPr>
      <w:bookmarkStart w:id="118" w:name="_Toc21799"/>
      <w:r>
        <w:t>6.6  活动策划</w:t>
      </w:r>
      <w:bookmarkEnd w:id="118"/>
    </w:p>
    <w:p w14:paraId="62A2B2A7">
      <w:pPr>
        <w:rPr>
          <w:rFonts w:hint="eastAsia" w:ascii="宋体" w:hAnsi="宋体" w:eastAsia="宋体"/>
          <w:sz w:val="21"/>
          <w:szCs w:val="21"/>
        </w:rPr>
      </w:pPr>
      <w:r>
        <w:rPr>
          <w:rFonts w:ascii="宋体" w:hAnsi="宋体" w:eastAsia="宋体"/>
          <w:sz w:val="21"/>
          <w:szCs w:val="21"/>
        </w:rPr>
        <w:t>围绕骑行体系策划四类活动，形成"常态+季节+事件+赛事"的立体活动矩阵：</w:t>
      </w:r>
    </w:p>
    <w:p w14:paraId="16AC9AFE">
      <w:pPr>
        <w:pStyle w:val="4"/>
        <w:bidi w:val="0"/>
        <w:rPr>
          <w:rFonts w:hint="eastAsia"/>
        </w:rPr>
      </w:pPr>
      <w:bookmarkStart w:id="119" w:name="_Toc32379"/>
      <w:r>
        <w:rPr>
          <w:rFonts w:hint="eastAsia"/>
        </w:rPr>
        <w:t>6.6.1</w:t>
      </w:r>
      <w:r>
        <w:t>常态化活动</w:t>
      </w:r>
      <w:bookmarkEnd w:id="119"/>
    </w:p>
    <w:p w14:paraId="76C2D272">
      <w:pPr>
        <w:rPr>
          <w:rFonts w:hint="eastAsia" w:ascii="宋体" w:hAnsi="宋体" w:eastAsia="宋体"/>
          <w:b/>
          <w:bCs/>
          <w:sz w:val="21"/>
          <w:szCs w:val="21"/>
        </w:rPr>
      </w:pPr>
      <w:r>
        <w:rPr>
          <w:rFonts w:ascii="宋体" w:hAnsi="宋体" w:eastAsia="宋体"/>
          <w:b/>
          <w:bCs/>
          <w:sz w:val="21"/>
          <w:szCs w:val="21"/>
        </w:rPr>
        <w:t>每</w:t>
      </w:r>
      <w:r>
        <w:rPr>
          <w:rFonts w:ascii="宋体" w:hAnsi="宋体" w:eastAsia="宋体"/>
          <w:b/>
          <w:bCs/>
          <w:sz w:val="21"/>
          <w:szCs w:val="21"/>
          <w:highlight w:val="yellow"/>
        </w:rPr>
        <w:t>周末"亲子骑行日"</w:t>
      </w:r>
      <w:r>
        <w:rPr>
          <w:rFonts w:ascii="宋体" w:hAnsi="宋体" w:eastAsia="宋体"/>
          <w:b/>
          <w:bCs/>
          <w:sz w:val="21"/>
          <w:szCs w:val="21"/>
        </w:rPr>
        <w:t>，固定时间发车，培养用户习惯。</w:t>
      </w:r>
      <w:r>
        <w:rPr>
          <w:rFonts w:hint="eastAsia" w:ascii="宋体" w:hAnsi="宋体" w:eastAsia="宋体"/>
          <w:b/>
          <w:bCs/>
          <w:sz w:val="21"/>
          <w:szCs w:val="21"/>
        </w:rPr>
        <w:t xml:space="preserve"> </w:t>
      </w:r>
    </w:p>
    <w:p w14:paraId="2B1046E4">
      <w:pPr>
        <w:rPr>
          <w:rFonts w:hint="eastAsia" w:ascii="宋体" w:hAnsi="宋体" w:eastAsia="宋体"/>
          <w:sz w:val="21"/>
          <w:szCs w:val="21"/>
        </w:rPr>
      </w:pPr>
      <w:r>
        <w:rPr>
          <w:rFonts w:hint="eastAsia" w:ascii="宋体" w:hAnsi="宋体" w:eastAsia="宋体"/>
          <w:b/>
          <w:bCs/>
          <w:sz w:val="21"/>
          <w:szCs w:val="21"/>
        </w:rPr>
        <w:t>内容：</w:t>
      </w:r>
      <w:r>
        <w:rPr>
          <w:rFonts w:hint="eastAsia" w:ascii="宋体" w:hAnsi="宋体" w:eastAsia="宋体"/>
          <w:b/>
          <w:bCs/>
          <w:sz w:val="21"/>
          <w:szCs w:val="21"/>
          <w:lang w:val="en-US" w:eastAsia="zh-CN"/>
        </w:rPr>
        <w:t>短距离小规模</w:t>
      </w:r>
      <w:r>
        <w:rPr>
          <w:rFonts w:hint="eastAsia" w:ascii="宋体" w:hAnsi="宋体" w:eastAsia="宋体"/>
          <w:b/>
          <w:bCs/>
          <w:sz w:val="21"/>
          <w:szCs w:val="21"/>
        </w:rPr>
        <w:t>骑行+生态小任务</w:t>
      </w:r>
      <w:r>
        <w:rPr>
          <w:rFonts w:hint="eastAsia" w:ascii="宋体" w:hAnsi="宋体" w:eastAsia="宋体"/>
          <w:sz w:val="21"/>
          <w:szCs w:val="21"/>
        </w:rPr>
        <w:t>（捡拾垃圾分类、水质观察、植物识别）</w:t>
      </w:r>
    </w:p>
    <w:p w14:paraId="2A7C6CD3">
      <w:pPr>
        <w:rPr>
          <w:rFonts w:hint="eastAsia" w:ascii="宋体" w:hAnsi="宋体" w:eastAsia="宋体"/>
          <w:b/>
          <w:bCs/>
          <w:sz w:val="21"/>
          <w:szCs w:val="21"/>
        </w:rPr>
      </w:pPr>
      <w:r>
        <w:rPr>
          <w:rFonts w:hint="eastAsia" w:ascii="宋体" w:hAnsi="宋体" w:eastAsia="宋体"/>
          <w:b/>
          <w:bCs/>
          <w:sz w:val="21"/>
          <w:szCs w:val="21"/>
        </w:rPr>
        <w:t>目标：培养用户习惯，形成周末微度假目的地</w:t>
      </w:r>
    </w:p>
    <w:p w14:paraId="0267A5E2">
      <w:pPr>
        <w:pStyle w:val="4"/>
        <w:bidi w:val="0"/>
        <w:rPr>
          <w:rFonts w:hint="eastAsia"/>
        </w:rPr>
      </w:pPr>
      <w:bookmarkStart w:id="120" w:name="_Toc2244"/>
      <w:r>
        <w:rPr>
          <w:rFonts w:hint="eastAsia"/>
        </w:rPr>
        <w:t>6.6.2季节性活动</w:t>
      </w:r>
      <w:bookmarkEnd w:id="120"/>
    </w:p>
    <w:p w14:paraId="5D5390AA">
      <w:pPr>
        <w:rPr>
          <w:rFonts w:hint="eastAsia" w:ascii="宋体" w:hAnsi="宋体" w:eastAsia="宋体"/>
          <w:b/>
          <w:bCs/>
          <w:sz w:val="21"/>
          <w:szCs w:val="21"/>
        </w:rPr>
      </w:pPr>
      <w:r>
        <w:rPr>
          <w:rFonts w:hint="eastAsia" w:ascii="宋体" w:hAnsi="宋体" w:eastAsia="宋体"/>
          <w:sz w:val="21"/>
          <w:szCs w:val="21"/>
        </w:rPr>
        <w:t>（1）</w:t>
      </w:r>
      <w:r>
        <w:rPr>
          <w:rFonts w:ascii="宋体" w:hAnsi="宋体" w:eastAsia="宋体"/>
          <w:b/>
          <w:bCs/>
          <w:sz w:val="21"/>
          <w:szCs w:val="21"/>
          <w:highlight w:val="yellow"/>
        </w:rPr>
        <w:t>樱桃季"骑行采摘节"</w:t>
      </w:r>
      <w:r>
        <w:rPr>
          <w:rFonts w:ascii="宋体" w:hAnsi="宋体" w:eastAsia="宋体"/>
          <w:b/>
          <w:bCs/>
          <w:sz w:val="21"/>
          <w:szCs w:val="21"/>
        </w:rPr>
        <w:t>（5-6月）</w:t>
      </w:r>
      <w:r>
        <w:rPr>
          <w:rFonts w:hint="eastAsia" w:ascii="宋体" w:hAnsi="宋体" w:eastAsia="宋体"/>
          <w:b/>
          <w:bCs/>
          <w:sz w:val="21"/>
          <w:szCs w:val="21"/>
        </w:rPr>
        <w:t>：</w:t>
      </w:r>
    </w:p>
    <w:p w14:paraId="69E1A120">
      <w:pPr>
        <w:rPr>
          <w:rFonts w:hint="eastAsia" w:ascii="宋体" w:hAnsi="宋体" w:eastAsia="宋体"/>
          <w:b/>
          <w:bCs/>
          <w:sz w:val="21"/>
          <w:szCs w:val="21"/>
        </w:rPr>
      </w:pPr>
      <w:r>
        <w:rPr>
          <w:rFonts w:hint="eastAsia" w:ascii="宋体" w:hAnsi="宋体" w:eastAsia="宋体"/>
          <w:b/>
          <w:bCs/>
          <w:sz w:val="21"/>
          <w:szCs w:val="21"/>
        </w:rPr>
        <w:t>a.核心内容：骑行入园+樱桃采摘+“樱桃树下听保水故事”分享会</w:t>
      </w:r>
    </w:p>
    <w:p w14:paraId="0FEF3187">
      <w:pPr>
        <w:rPr>
          <w:rFonts w:hint="eastAsia" w:ascii="宋体" w:hAnsi="宋体" w:eastAsia="宋体"/>
          <w:sz w:val="21"/>
          <w:szCs w:val="21"/>
        </w:rPr>
      </w:pPr>
      <w:r>
        <w:rPr>
          <w:rFonts w:ascii="宋体" w:hAnsi="宋体" w:eastAsia="宋体"/>
          <w:sz w:val="21"/>
          <w:szCs w:val="21"/>
        </w:rPr>
        <w:t>骑行入园</w:t>
      </w:r>
      <w:r>
        <w:rPr>
          <w:rFonts w:hint="eastAsia" w:ascii="宋体" w:hAnsi="宋体" w:eastAsia="宋体"/>
          <w:sz w:val="21"/>
          <w:szCs w:val="21"/>
        </w:rPr>
        <w:t>：</w:t>
      </w:r>
      <w:r>
        <w:rPr>
          <w:rFonts w:ascii="宋体" w:hAnsi="宋体" w:eastAsia="宋体"/>
          <w:sz w:val="21"/>
          <w:szCs w:val="21"/>
        </w:rPr>
        <w:t>从驿站集合出发，骑行穿过水库沿线至樱桃园</w:t>
      </w:r>
    </w:p>
    <w:p w14:paraId="664BC6E8">
      <w:pPr>
        <w:rPr>
          <w:rFonts w:hint="eastAsia" w:ascii="宋体" w:hAnsi="宋体" w:eastAsia="宋体"/>
          <w:sz w:val="21"/>
          <w:szCs w:val="21"/>
        </w:rPr>
      </w:pPr>
      <w:r>
        <w:rPr>
          <w:rFonts w:ascii="宋体" w:hAnsi="宋体" w:eastAsia="宋体"/>
          <w:sz w:val="21"/>
          <w:szCs w:val="21"/>
        </w:rPr>
        <w:t>樱桃采摘</w:t>
      </w:r>
      <w:r>
        <w:rPr>
          <w:rFonts w:hint="eastAsia" w:ascii="宋体" w:hAnsi="宋体" w:eastAsia="宋体"/>
          <w:sz w:val="21"/>
          <w:szCs w:val="21"/>
        </w:rPr>
        <w:t>：</w:t>
      </w:r>
      <w:r>
        <w:rPr>
          <w:rFonts w:ascii="宋体" w:hAnsi="宋体" w:eastAsia="宋体"/>
          <w:sz w:val="21"/>
          <w:szCs w:val="21"/>
        </w:rPr>
        <w:t>入园采摘，每人可带走2斤</w:t>
      </w:r>
    </w:p>
    <w:p w14:paraId="041A9B56">
      <w:pPr>
        <w:rPr>
          <w:rFonts w:hint="eastAsia" w:ascii="宋体" w:hAnsi="宋体" w:eastAsia="宋体"/>
          <w:sz w:val="21"/>
          <w:szCs w:val="21"/>
        </w:rPr>
      </w:pPr>
      <w:r>
        <w:rPr>
          <w:rFonts w:ascii="宋体" w:hAnsi="宋体" w:eastAsia="宋体"/>
          <w:sz w:val="21"/>
          <w:szCs w:val="21"/>
        </w:rPr>
        <w:t>“樱桃树下听保水故事”</w:t>
      </w:r>
      <w:r>
        <w:rPr>
          <w:rFonts w:hint="eastAsia" w:ascii="宋体" w:hAnsi="宋体" w:eastAsia="宋体"/>
          <w:sz w:val="21"/>
          <w:szCs w:val="21"/>
        </w:rPr>
        <w:t>：</w:t>
      </w:r>
      <w:r>
        <w:rPr>
          <w:rFonts w:ascii="宋体" w:hAnsi="宋体" w:eastAsia="宋体"/>
          <w:sz w:val="21"/>
          <w:szCs w:val="21"/>
        </w:rPr>
        <w:t>由村里老人或</w:t>
      </w:r>
      <w:r>
        <w:rPr>
          <w:rFonts w:hint="eastAsia" w:ascii="宋体" w:hAnsi="宋体" w:eastAsia="宋体"/>
          <w:sz w:val="21"/>
          <w:szCs w:val="21"/>
        </w:rPr>
        <w:t>工作人员</w:t>
      </w:r>
      <w:r>
        <w:rPr>
          <w:rFonts w:ascii="宋体" w:hAnsi="宋体" w:eastAsia="宋体"/>
          <w:sz w:val="21"/>
          <w:szCs w:val="21"/>
        </w:rPr>
        <w:t>现场讲述“为保水放弃养殖、转型种樱桃”的真实故事（5-8分钟），增强情感共鸣</w:t>
      </w:r>
    </w:p>
    <w:p w14:paraId="0BC5D8AF">
      <w:pPr>
        <w:rPr>
          <w:rFonts w:hint="eastAsia" w:ascii="宋体" w:hAnsi="宋体" w:eastAsia="宋体"/>
          <w:sz w:val="21"/>
          <w:szCs w:val="21"/>
        </w:rPr>
      </w:pPr>
      <w:r>
        <w:rPr>
          <w:rFonts w:hint="eastAsia" w:ascii="宋体" w:hAnsi="宋体" w:eastAsia="宋体"/>
          <w:sz w:val="21"/>
          <w:szCs w:val="21"/>
        </w:rPr>
        <w:t>b.</w:t>
      </w:r>
      <w:r>
        <w:rPr>
          <w:rFonts w:ascii="宋体" w:hAnsi="宋体" w:eastAsia="宋体"/>
          <w:sz w:val="21"/>
          <w:szCs w:val="21"/>
        </w:rPr>
        <w:t>附加体验（可</w:t>
      </w:r>
      <w:r>
        <w:rPr>
          <w:rFonts w:hint="eastAsia" w:ascii="宋体" w:hAnsi="宋体" w:eastAsia="宋体"/>
          <w:sz w:val="21"/>
          <w:szCs w:val="21"/>
        </w:rPr>
        <w:t>选择</w:t>
      </w:r>
      <w:r>
        <w:rPr>
          <w:rFonts w:ascii="宋体" w:hAnsi="宋体" w:eastAsia="宋体"/>
          <w:sz w:val="21"/>
          <w:szCs w:val="21"/>
        </w:rPr>
        <w:t>）</w:t>
      </w:r>
    </w:p>
    <w:p w14:paraId="40166C05">
      <w:pPr>
        <w:rPr>
          <w:rFonts w:hint="eastAsia" w:ascii="宋体" w:hAnsi="宋体" w:eastAsia="宋体"/>
          <w:sz w:val="21"/>
          <w:szCs w:val="21"/>
        </w:rPr>
      </w:pPr>
      <w:r>
        <w:rPr>
          <w:rFonts w:ascii="宋体" w:hAnsi="宋体" w:eastAsia="宋体"/>
          <w:sz w:val="21"/>
          <w:szCs w:val="21"/>
        </w:rPr>
        <w:t>“樱桃厨房”手作体验</w:t>
      </w:r>
      <w:r>
        <w:rPr>
          <w:rFonts w:hint="eastAsia" w:ascii="宋体" w:hAnsi="宋体" w:eastAsia="宋体"/>
          <w:sz w:val="21"/>
          <w:szCs w:val="21"/>
        </w:rPr>
        <w:t>：</w:t>
      </w:r>
      <w:r>
        <w:rPr>
          <w:rFonts w:ascii="宋体" w:hAnsi="宋体" w:eastAsia="宋体"/>
          <w:sz w:val="21"/>
          <w:szCs w:val="21"/>
        </w:rPr>
        <w:t>用新鲜樱桃制作樱桃酱、樱桃气泡水，可带走自己的作品</w:t>
      </w:r>
    </w:p>
    <w:p w14:paraId="373AC95E">
      <w:pPr>
        <w:rPr>
          <w:rFonts w:hint="eastAsia" w:ascii="宋体" w:hAnsi="宋体" w:eastAsia="宋体"/>
          <w:sz w:val="21"/>
          <w:szCs w:val="21"/>
        </w:rPr>
      </w:pPr>
      <w:r>
        <w:rPr>
          <w:rFonts w:ascii="宋体" w:hAnsi="宋体" w:eastAsia="宋体"/>
          <w:sz w:val="21"/>
          <w:szCs w:val="21"/>
        </w:rPr>
        <w:t>亲子任务</w:t>
      </w:r>
      <w:r>
        <w:rPr>
          <w:rFonts w:hint="eastAsia" w:ascii="宋体" w:hAnsi="宋体" w:eastAsia="宋体"/>
          <w:sz w:val="21"/>
          <w:szCs w:val="21"/>
        </w:rPr>
        <w:t>：</w:t>
      </w:r>
      <w:r>
        <w:rPr>
          <w:rFonts w:ascii="宋体" w:hAnsi="宋体" w:eastAsia="宋体"/>
          <w:sz w:val="21"/>
          <w:szCs w:val="21"/>
        </w:rPr>
        <w:t>为带孩子家庭设计，完成“找到三种樱桃品种”“捡拾园内垃圾分类”“采访果农”等任务，兑换限定贴纸</w:t>
      </w:r>
    </w:p>
    <w:p w14:paraId="654BF4E9">
      <w:pPr>
        <w:rPr>
          <w:rFonts w:hint="eastAsia" w:ascii="宋体" w:hAnsi="宋体" w:eastAsia="宋体"/>
          <w:b/>
          <w:bCs/>
          <w:sz w:val="21"/>
          <w:szCs w:val="21"/>
        </w:rPr>
      </w:pPr>
      <w:r>
        <w:rPr>
          <w:rFonts w:hint="eastAsia" w:ascii="宋体" w:hAnsi="宋体" w:eastAsia="宋体"/>
          <w:sz w:val="21"/>
          <w:szCs w:val="21"/>
        </w:rPr>
        <w:t>c</w:t>
      </w:r>
      <w:r>
        <w:rPr>
          <w:rFonts w:hint="eastAsia" w:ascii="宋体" w:hAnsi="宋体" w:eastAsia="宋体"/>
          <w:b/>
          <w:bCs/>
          <w:sz w:val="21"/>
          <w:szCs w:val="21"/>
        </w:rPr>
        <w:t>.目的：借樱桃成熟期的高流量，把“采摘”升级为“骑行+体验”，提高客单价和品牌溢价，同时引导游客转化为小程序用户，为后续运营引流。</w:t>
      </w:r>
    </w:p>
    <w:p w14:paraId="2DFF7FB6">
      <w:pPr>
        <w:numPr>
          <w:ilvl w:val="0"/>
          <w:numId w:val="9"/>
        </w:numPr>
        <w:rPr>
          <w:rFonts w:hint="eastAsia" w:ascii="宋体" w:hAnsi="宋体" w:eastAsia="宋体"/>
          <w:b/>
          <w:bCs/>
          <w:sz w:val="21"/>
          <w:szCs w:val="21"/>
        </w:rPr>
      </w:pPr>
      <w:r>
        <w:rPr>
          <w:rFonts w:ascii="宋体" w:hAnsi="宋体" w:eastAsia="宋体"/>
          <w:b/>
          <w:bCs/>
          <w:sz w:val="21"/>
          <w:szCs w:val="21"/>
          <w:highlight w:val="yellow"/>
        </w:rPr>
        <w:t>秋季"环库骑行赛"</w:t>
      </w:r>
      <w:r>
        <w:rPr>
          <w:rFonts w:ascii="宋体" w:hAnsi="宋体" w:eastAsia="宋体"/>
          <w:b/>
          <w:bCs/>
          <w:sz w:val="21"/>
          <w:szCs w:val="21"/>
        </w:rPr>
        <w:t>（10月）</w:t>
      </w:r>
      <w:r>
        <w:rPr>
          <w:rFonts w:hint="eastAsia" w:ascii="宋体" w:hAnsi="宋体" w:eastAsia="宋体"/>
          <w:b/>
          <w:bCs/>
          <w:sz w:val="21"/>
          <w:szCs w:val="21"/>
        </w:rPr>
        <w:t>：</w:t>
      </w:r>
    </w:p>
    <w:p w14:paraId="3DD346A1">
      <w:pPr>
        <w:rPr>
          <w:rFonts w:hint="eastAsia" w:ascii="宋体" w:hAnsi="宋体" w:eastAsia="宋体"/>
          <w:b/>
          <w:bCs/>
          <w:sz w:val="21"/>
          <w:szCs w:val="21"/>
        </w:rPr>
      </w:pPr>
      <w:r>
        <w:rPr>
          <w:rFonts w:hint="eastAsia" w:ascii="宋体" w:hAnsi="宋体" w:eastAsia="宋体"/>
          <w:b/>
          <w:bCs/>
          <w:sz w:val="21"/>
          <w:szCs w:val="21"/>
        </w:rPr>
        <w:t>a.核心内容：环水库骑行+公益捐赠</w:t>
      </w:r>
    </w:p>
    <w:p w14:paraId="6D495C56">
      <w:pPr>
        <w:rPr>
          <w:rFonts w:hint="eastAsia" w:ascii="宋体" w:hAnsi="宋体" w:eastAsia="宋体"/>
          <w:sz w:val="21"/>
          <w:szCs w:val="21"/>
        </w:rPr>
      </w:pPr>
      <w:r>
        <w:rPr>
          <w:rFonts w:hint="eastAsia" w:ascii="宋体" w:hAnsi="宋体" w:eastAsia="宋体"/>
          <w:sz w:val="21"/>
          <w:szCs w:val="21"/>
        </w:rPr>
        <w:t>环水库骑行：按规定路线骑行，设2个补给站</w:t>
      </w:r>
    </w:p>
    <w:p w14:paraId="326844E1">
      <w:pPr>
        <w:rPr>
          <w:rFonts w:hint="eastAsia" w:ascii="宋体" w:hAnsi="宋体" w:eastAsia="宋体"/>
          <w:sz w:val="21"/>
          <w:szCs w:val="21"/>
        </w:rPr>
      </w:pPr>
      <w:r>
        <w:rPr>
          <w:rFonts w:hint="eastAsia" w:ascii="宋体" w:hAnsi="宋体" w:eastAsia="宋体"/>
          <w:sz w:val="21"/>
          <w:szCs w:val="21"/>
        </w:rPr>
        <w:t>公益捐赠：报名费10元/人捐入村“保水公益基金”</w:t>
      </w:r>
    </w:p>
    <w:p w14:paraId="65274C78">
      <w:pPr>
        <w:rPr>
          <w:rFonts w:hint="eastAsia" w:ascii="宋体" w:hAnsi="宋体" w:eastAsia="宋体"/>
          <w:sz w:val="21"/>
          <w:szCs w:val="21"/>
        </w:rPr>
      </w:pPr>
      <w:r>
        <w:rPr>
          <w:rFonts w:hint="eastAsia" w:ascii="宋体" w:hAnsi="宋体" w:eastAsia="宋体"/>
          <w:sz w:val="21"/>
          <w:szCs w:val="21"/>
        </w:rPr>
        <w:t>完赛奖励：30生态积分+限定款樱桃木奖牌</w:t>
      </w:r>
    </w:p>
    <w:p w14:paraId="2FAD848A">
      <w:pPr>
        <w:rPr>
          <w:rFonts w:hint="eastAsia" w:ascii="宋体" w:hAnsi="宋体" w:eastAsia="宋体"/>
          <w:sz w:val="21"/>
          <w:szCs w:val="21"/>
        </w:rPr>
      </w:pPr>
      <w:r>
        <w:rPr>
          <w:rFonts w:hint="eastAsia" w:ascii="宋体" w:hAnsi="宋体" w:eastAsia="宋体"/>
          <w:sz w:val="21"/>
          <w:szCs w:val="21"/>
        </w:rPr>
        <w:t>b.附加体验：</w:t>
      </w:r>
    </w:p>
    <w:p w14:paraId="2EC28005">
      <w:pPr>
        <w:rPr>
          <w:rFonts w:hint="eastAsia" w:ascii="宋体" w:hAnsi="宋体" w:eastAsia="宋体"/>
          <w:sz w:val="21"/>
          <w:szCs w:val="21"/>
        </w:rPr>
      </w:pPr>
      <w:r>
        <w:rPr>
          <w:rFonts w:hint="eastAsia" w:ascii="宋体" w:hAnsi="宋体" w:eastAsia="宋体"/>
          <w:sz w:val="21"/>
          <w:szCs w:val="21"/>
        </w:rPr>
        <w:t>“护水知识”打卡点：沿途设3个打卡点，每个点有一个水源保护知识问答（如“一级水源保护区禁止哪些行为？”），答对盖章，集满可额外抽奖</w:t>
      </w:r>
    </w:p>
    <w:p w14:paraId="76B60A24">
      <w:pPr>
        <w:rPr>
          <w:rFonts w:hint="eastAsia" w:ascii="宋体" w:hAnsi="宋体" w:eastAsia="宋体"/>
          <w:sz w:val="21"/>
          <w:szCs w:val="21"/>
        </w:rPr>
      </w:pPr>
      <w:r>
        <w:rPr>
          <w:rFonts w:hint="eastAsia" w:ascii="宋体" w:hAnsi="宋体" w:eastAsia="宋体"/>
          <w:sz w:val="21"/>
          <w:szCs w:val="21"/>
        </w:rPr>
        <w:t>“最美骑手”摄影大赛：邀请参赛者拍摄沿途风景或骑行瞬间，赛后评选TOP10，获奖作品印制成下一年度的明信片/海报</w:t>
      </w:r>
    </w:p>
    <w:p w14:paraId="40B00E79">
      <w:pPr>
        <w:rPr>
          <w:rFonts w:hint="eastAsia" w:ascii="宋体" w:hAnsi="宋体" w:eastAsia="宋体"/>
          <w:sz w:val="21"/>
          <w:szCs w:val="21"/>
        </w:rPr>
      </w:pPr>
      <w:r>
        <w:rPr>
          <w:rFonts w:hint="eastAsia" w:ascii="宋体" w:hAnsi="宋体" w:eastAsia="宋体"/>
          <w:sz w:val="21"/>
          <w:szCs w:val="21"/>
        </w:rPr>
        <w:t>“骑后集市”：终点设小型集市，销售本地樱桃制品（樱桃干、樱桃酱）、文创（徽章、帆布袋）、热饮简餐</w:t>
      </w:r>
    </w:p>
    <w:p w14:paraId="3D281A7D">
      <w:pPr>
        <w:rPr>
          <w:rFonts w:hint="eastAsia" w:ascii="宋体" w:hAnsi="宋体" w:eastAsia="宋体"/>
          <w:b/>
          <w:bCs/>
          <w:sz w:val="21"/>
          <w:szCs w:val="21"/>
        </w:rPr>
      </w:pPr>
      <w:r>
        <w:rPr>
          <w:rFonts w:hint="eastAsia" w:ascii="宋体" w:hAnsi="宋体" w:eastAsia="宋体"/>
          <w:b/>
          <w:bCs/>
          <w:sz w:val="21"/>
          <w:szCs w:val="21"/>
        </w:rPr>
        <w:t>c.目的：填补樱桃季后淡季，打造年度高潮赛事IP，激活已有用户社群，积累精准骑行用户数据，争取政府支持，实现“全年有节奏”运营。</w:t>
      </w:r>
    </w:p>
    <w:p w14:paraId="468D01C8">
      <w:pPr>
        <w:pStyle w:val="4"/>
        <w:bidi w:val="0"/>
        <w:rPr>
          <w:rFonts w:hint="eastAsia"/>
        </w:rPr>
      </w:pPr>
      <w:bookmarkStart w:id="121" w:name="_Toc17737"/>
      <w:r>
        <w:rPr>
          <w:rFonts w:hint="eastAsia"/>
        </w:rPr>
        <w:t>6.6.3年度赛事IP</w:t>
      </w:r>
      <w:bookmarkEnd w:id="121"/>
    </w:p>
    <w:p w14:paraId="2A8A1D5D">
      <w:pPr>
        <w:rPr>
          <w:rFonts w:hint="eastAsia" w:ascii="宋体" w:hAnsi="宋体" w:eastAsia="宋体"/>
          <w:sz w:val="21"/>
          <w:szCs w:val="21"/>
        </w:rPr>
      </w:pPr>
      <w:r>
        <w:rPr>
          <w:rFonts w:ascii="宋体" w:hAnsi="宋体" w:eastAsia="宋体"/>
          <w:b/>
          <w:sz w:val="21"/>
          <w:szCs w:val="21"/>
          <w:highlight w:val="yellow"/>
        </w:rPr>
        <w:t>"樱动东庄骑行赛"</w:t>
      </w:r>
      <w:r>
        <w:rPr>
          <w:rFonts w:ascii="宋体" w:hAnsi="宋体" w:eastAsia="宋体"/>
          <w:b/>
          <w:sz w:val="21"/>
          <w:szCs w:val="21"/>
        </w:rPr>
        <w:t>运营流程</w:t>
      </w:r>
    </w:p>
    <w:p w14:paraId="0F954C1C">
      <w:pPr>
        <w:rPr>
          <w:rFonts w:hint="eastAsia" w:ascii="宋体" w:hAnsi="宋体" w:eastAsia="宋体"/>
          <w:sz w:val="21"/>
          <w:szCs w:val="21"/>
        </w:rPr>
      </w:pPr>
      <w:r>
        <w:rPr>
          <w:rFonts w:ascii="宋体" w:hAnsi="宋体" w:eastAsia="宋体"/>
          <w:sz w:val="21"/>
          <w:szCs w:val="21"/>
        </w:rPr>
        <w:t>该赛事是本项目的标志性活动，将体育赛事与农产品推广融为一体。详细运营流程如下：</w:t>
      </w:r>
    </w:p>
    <w:p w14:paraId="6D95810C">
      <w:pPr>
        <w:jc w:val="center"/>
        <w:rPr>
          <w:rFonts w:hint="eastAsia" w:ascii="宋体" w:hAnsi="宋体" w:eastAsia="宋体"/>
          <w:sz w:val="21"/>
          <w:szCs w:val="21"/>
        </w:rPr>
      </w:pPr>
      <w:r>
        <w:rPr>
          <w:rFonts w:ascii="宋体" w:hAnsi="宋体" w:eastAsia="宋体"/>
          <w:b/>
          <w:sz w:val="21"/>
          <w:szCs w:val="21"/>
        </w:rPr>
        <w:t>表6-4  年度骑行赛事运营流程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14:paraId="24356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Borders>
              <w:top w:val="single" w:color="000000" w:sz="12" w:space="0"/>
              <w:left w:val="nil"/>
              <w:bottom w:val="single" w:color="000000" w:sz="4" w:space="0"/>
              <w:right w:val="nil"/>
              <w:tl2br w:val="nil"/>
            </w:tcBorders>
            <w:shd w:val="clear" w:color="auto" w:fill="FFFFFF"/>
          </w:tcPr>
          <w:p w14:paraId="1B849004">
            <w:pPr>
              <w:spacing w:after="160" w:line="278" w:lineRule="auto"/>
              <w:rPr>
                <w:rFonts w:hint="eastAsia" w:ascii="宋体" w:hAnsi="宋体" w:eastAsia="宋体"/>
                <w:b w:val="0"/>
                <w:color w:val="000000"/>
                <w:sz w:val="21"/>
                <w:szCs w:val="21"/>
              </w:rPr>
            </w:pPr>
            <w:r>
              <w:rPr>
                <w:rFonts w:ascii="宋体" w:hAnsi="宋体" w:eastAsia="宋体"/>
                <w:b w:val="0"/>
                <w:color w:val="000000"/>
                <w:sz w:val="21"/>
                <w:szCs w:val="21"/>
              </w:rPr>
              <w:t>阶段</w:t>
            </w:r>
          </w:p>
        </w:tc>
        <w:tc>
          <w:tcPr>
            <w:tcW w:w="2160" w:type="dxa"/>
            <w:tcBorders>
              <w:top w:val="single" w:color="000000" w:sz="12" w:space="0"/>
              <w:left w:val="nil"/>
              <w:bottom w:val="single" w:color="000000" w:sz="4" w:space="0"/>
              <w:right w:val="nil"/>
            </w:tcBorders>
            <w:shd w:val="clear" w:color="auto" w:fill="FFFFFF"/>
          </w:tcPr>
          <w:p w14:paraId="4795973C">
            <w:pPr>
              <w:spacing w:after="160" w:line="278" w:lineRule="auto"/>
              <w:rPr>
                <w:rFonts w:hint="eastAsia" w:ascii="宋体" w:hAnsi="宋体" w:eastAsia="宋体"/>
                <w:b w:val="0"/>
                <w:color w:val="000000"/>
                <w:sz w:val="21"/>
                <w:szCs w:val="21"/>
              </w:rPr>
            </w:pPr>
            <w:r>
              <w:rPr>
                <w:rFonts w:ascii="宋体" w:hAnsi="宋体" w:eastAsia="宋体"/>
                <w:b w:val="0"/>
                <w:color w:val="000000"/>
                <w:sz w:val="21"/>
                <w:szCs w:val="21"/>
              </w:rPr>
              <w:t>时间</w:t>
            </w:r>
          </w:p>
        </w:tc>
        <w:tc>
          <w:tcPr>
            <w:tcW w:w="2160" w:type="dxa"/>
            <w:tcBorders>
              <w:top w:val="single" w:color="000000" w:sz="12" w:space="0"/>
              <w:left w:val="nil"/>
              <w:bottom w:val="single" w:color="000000" w:sz="4" w:space="0"/>
              <w:right w:val="nil"/>
            </w:tcBorders>
            <w:shd w:val="clear" w:color="auto" w:fill="FFFFFF"/>
          </w:tcPr>
          <w:p w14:paraId="50D7B1F6">
            <w:pPr>
              <w:spacing w:after="160" w:line="278" w:lineRule="auto"/>
              <w:rPr>
                <w:rFonts w:hint="eastAsia" w:ascii="宋体" w:hAnsi="宋体" w:eastAsia="宋体"/>
                <w:b w:val="0"/>
                <w:color w:val="000000"/>
                <w:sz w:val="21"/>
                <w:szCs w:val="21"/>
              </w:rPr>
            </w:pPr>
            <w:r>
              <w:rPr>
                <w:rFonts w:ascii="宋体" w:hAnsi="宋体" w:eastAsia="宋体"/>
                <w:b w:val="0"/>
                <w:color w:val="000000"/>
                <w:sz w:val="21"/>
                <w:szCs w:val="21"/>
              </w:rPr>
              <w:t>工作内容</w:t>
            </w:r>
          </w:p>
        </w:tc>
        <w:tc>
          <w:tcPr>
            <w:tcW w:w="2160" w:type="dxa"/>
            <w:tcBorders>
              <w:top w:val="single" w:color="000000" w:sz="12" w:space="0"/>
              <w:left w:val="nil"/>
              <w:bottom w:val="single" w:color="000000" w:sz="4" w:space="0"/>
              <w:right w:val="nil"/>
            </w:tcBorders>
            <w:shd w:val="clear" w:color="auto" w:fill="FFFFFF"/>
          </w:tcPr>
          <w:p w14:paraId="7DD30A0C">
            <w:pPr>
              <w:spacing w:after="160" w:line="278" w:lineRule="auto"/>
              <w:rPr>
                <w:rFonts w:hint="eastAsia" w:ascii="宋体" w:hAnsi="宋体" w:eastAsia="宋体"/>
                <w:b w:val="0"/>
                <w:color w:val="000000"/>
                <w:sz w:val="21"/>
                <w:szCs w:val="21"/>
              </w:rPr>
            </w:pPr>
            <w:r>
              <w:rPr>
                <w:rFonts w:ascii="宋体" w:hAnsi="宋体" w:eastAsia="宋体"/>
                <w:b w:val="0"/>
                <w:color w:val="000000"/>
                <w:sz w:val="21"/>
                <w:szCs w:val="21"/>
              </w:rPr>
              <w:t>负责方</w:t>
            </w:r>
          </w:p>
        </w:tc>
      </w:tr>
      <w:tr w14:paraId="54B50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Borders>
              <w:top w:val="single" w:color="000000" w:sz="4" w:space="0"/>
              <w:left w:val="nil"/>
              <w:bottom w:val="nil"/>
              <w:right w:val="nil"/>
            </w:tcBorders>
            <w:shd w:val="clear" w:color="auto" w:fill="FFFFFF"/>
          </w:tcPr>
          <w:p w14:paraId="309D3EF6">
            <w:pPr>
              <w:spacing w:after="160" w:line="278" w:lineRule="auto"/>
              <w:rPr>
                <w:rFonts w:hint="eastAsia" w:ascii="宋体" w:hAnsi="宋体" w:eastAsia="宋体"/>
                <w:b w:val="0"/>
                <w:color w:val="000000"/>
                <w:sz w:val="21"/>
                <w:szCs w:val="21"/>
              </w:rPr>
            </w:pPr>
            <w:r>
              <w:rPr>
                <w:rFonts w:ascii="宋体" w:hAnsi="宋体" w:eastAsia="宋体"/>
                <w:b w:val="0"/>
                <w:color w:val="000000"/>
                <w:sz w:val="21"/>
                <w:szCs w:val="21"/>
              </w:rPr>
              <w:t>策划期</w:t>
            </w:r>
          </w:p>
        </w:tc>
        <w:tc>
          <w:tcPr>
            <w:tcW w:w="2160" w:type="dxa"/>
            <w:tcBorders>
              <w:top w:val="single" w:color="000000" w:sz="4" w:space="0"/>
              <w:left w:val="nil"/>
              <w:bottom w:val="nil"/>
              <w:right w:val="nil"/>
            </w:tcBorders>
            <w:shd w:val="clear" w:color="auto" w:fill="FFFFFF"/>
          </w:tcPr>
          <w:p w14:paraId="1B852874">
            <w:pPr>
              <w:spacing w:after="160" w:line="278" w:lineRule="auto"/>
              <w:rPr>
                <w:rFonts w:hint="eastAsia" w:ascii="宋体" w:hAnsi="宋体" w:eastAsia="宋体"/>
                <w:b w:val="0"/>
                <w:color w:val="000000"/>
                <w:sz w:val="21"/>
                <w:szCs w:val="21"/>
              </w:rPr>
            </w:pPr>
            <w:r>
              <w:rPr>
                <w:rFonts w:ascii="宋体" w:hAnsi="宋体" w:eastAsia="宋体"/>
                <w:b w:val="0"/>
                <w:color w:val="000000"/>
                <w:sz w:val="21"/>
                <w:szCs w:val="21"/>
              </w:rPr>
              <w:t>赛前3个月</w:t>
            </w:r>
          </w:p>
        </w:tc>
        <w:tc>
          <w:tcPr>
            <w:tcW w:w="2160" w:type="dxa"/>
            <w:tcBorders>
              <w:top w:val="single" w:color="000000" w:sz="4" w:space="0"/>
              <w:left w:val="nil"/>
              <w:bottom w:val="nil"/>
              <w:right w:val="nil"/>
            </w:tcBorders>
            <w:shd w:val="clear" w:color="auto" w:fill="FFFFFF"/>
          </w:tcPr>
          <w:p w14:paraId="5E6DAFBF">
            <w:pPr>
              <w:spacing w:after="160" w:line="278" w:lineRule="auto"/>
              <w:rPr>
                <w:rFonts w:hint="eastAsia" w:ascii="宋体" w:hAnsi="宋体" w:eastAsia="宋体"/>
                <w:b w:val="0"/>
                <w:color w:val="000000"/>
                <w:sz w:val="21"/>
                <w:szCs w:val="21"/>
              </w:rPr>
            </w:pPr>
            <w:r>
              <w:rPr>
                <w:rFonts w:ascii="宋体" w:hAnsi="宋体" w:eastAsia="宋体"/>
                <w:b w:val="0"/>
                <w:color w:val="000000"/>
                <w:sz w:val="21"/>
                <w:szCs w:val="21"/>
              </w:rPr>
              <w:t>确定赛事日期、路线封闭协调、安全预案、奖品采购、报名系统上线</w:t>
            </w:r>
          </w:p>
        </w:tc>
        <w:tc>
          <w:tcPr>
            <w:tcW w:w="2160" w:type="dxa"/>
            <w:tcBorders>
              <w:top w:val="single" w:color="000000" w:sz="4" w:space="0"/>
              <w:left w:val="nil"/>
              <w:bottom w:val="nil"/>
              <w:right w:val="nil"/>
            </w:tcBorders>
            <w:shd w:val="clear" w:color="auto" w:fill="FFFFFF"/>
          </w:tcPr>
          <w:p w14:paraId="30FC28C6">
            <w:pPr>
              <w:spacing w:after="160" w:line="278" w:lineRule="auto"/>
              <w:rPr>
                <w:rFonts w:hint="eastAsia" w:ascii="宋体" w:hAnsi="宋体" w:eastAsia="宋体"/>
                <w:b w:val="0"/>
                <w:color w:val="000000"/>
                <w:sz w:val="21"/>
                <w:szCs w:val="21"/>
              </w:rPr>
            </w:pPr>
            <w:r>
              <w:rPr>
                <w:rFonts w:ascii="宋体" w:hAnsi="宋体" w:eastAsia="宋体"/>
                <w:b w:val="0"/>
                <w:color w:val="000000"/>
                <w:sz w:val="21"/>
                <w:szCs w:val="21"/>
              </w:rPr>
              <w:t>骑行运营组+村委会</w:t>
            </w:r>
          </w:p>
        </w:tc>
      </w:tr>
      <w:tr w14:paraId="7E635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Borders>
              <w:top w:val="nil"/>
              <w:left w:val="nil"/>
              <w:bottom w:val="nil"/>
              <w:right w:val="nil"/>
            </w:tcBorders>
            <w:shd w:val="clear" w:color="auto" w:fill="FFFFFF"/>
          </w:tcPr>
          <w:p w14:paraId="40D290C1">
            <w:pPr>
              <w:spacing w:after="160" w:line="278" w:lineRule="auto"/>
              <w:rPr>
                <w:rFonts w:hint="eastAsia" w:ascii="宋体" w:hAnsi="宋体" w:eastAsia="宋体"/>
                <w:b w:val="0"/>
                <w:color w:val="000000"/>
                <w:sz w:val="21"/>
                <w:szCs w:val="21"/>
              </w:rPr>
            </w:pPr>
            <w:r>
              <w:rPr>
                <w:rFonts w:ascii="宋体" w:hAnsi="宋体" w:eastAsia="宋体"/>
                <w:b w:val="0"/>
                <w:color w:val="000000"/>
                <w:sz w:val="21"/>
                <w:szCs w:val="21"/>
              </w:rPr>
              <w:t>预热期</w:t>
            </w:r>
          </w:p>
        </w:tc>
        <w:tc>
          <w:tcPr>
            <w:tcW w:w="2160" w:type="dxa"/>
            <w:tcBorders>
              <w:top w:val="nil"/>
              <w:left w:val="nil"/>
              <w:bottom w:val="nil"/>
              <w:right w:val="nil"/>
            </w:tcBorders>
            <w:shd w:val="clear" w:color="auto" w:fill="FFFFFF"/>
          </w:tcPr>
          <w:p w14:paraId="690825FC">
            <w:pPr>
              <w:spacing w:after="160" w:line="278" w:lineRule="auto"/>
              <w:rPr>
                <w:rFonts w:hint="eastAsia" w:ascii="宋体" w:hAnsi="宋体" w:eastAsia="宋体"/>
                <w:b w:val="0"/>
                <w:color w:val="000000"/>
                <w:sz w:val="21"/>
                <w:szCs w:val="21"/>
              </w:rPr>
            </w:pPr>
            <w:r>
              <w:rPr>
                <w:rFonts w:ascii="宋体" w:hAnsi="宋体" w:eastAsia="宋体"/>
                <w:b w:val="0"/>
                <w:color w:val="000000"/>
                <w:sz w:val="21"/>
                <w:szCs w:val="21"/>
              </w:rPr>
              <w:t>赛前1个月</w:t>
            </w:r>
          </w:p>
        </w:tc>
        <w:tc>
          <w:tcPr>
            <w:tcW w:w="2160" w:type="dxa"/>
            <w:tcBorders>
              <w:top w:val="nil"/>
              <w:left w:val="nil"/>
              <w:bottom w:val="nil"/>
              <w:right w:val="nil"/>
            </w:tcBorders>
            <w:shd w:val="clear" w:color="auto" w:fill="FFFFFF"/>
          </w:tcPr>
          <w:p w14:paraId="78A627A2">
            <w:pPr>
              <w:spacing w:after="160" w:line="278" w:lineRule="auto"/>
              <w:rPr>
                <w:rFonts w:hint="eastAsia" w:ascii="宋体" w:hAnsi="宋体" w:eastAsia="宋体"/>
                <w:b w:val="0"/>
                <w:color w:val="000000"/>
                <w:sz w:val="21"/>
                <w:szCs w:val="21"/>
              </w:rPr>
            </w:pPr>
            <w:r>
              <w:rPr>
                <w:rFonts w:ascii="宋体" w:hAnsi="宋体" w:eastAsia="宋体"/>
                <w:b w:val="0"/>
                <w:color w:val="000000"/>
                <w:sz w:val="21"/>
                <w:szCs w:val="21"/>
              </w:rPr>
              <w:t>社交媒体宣传、骑行社群定向推广、KOL邀请、媒体通稿发布</w:t>
            </w:r>
          </w:p>
        </w:tc>
        <w:tc>
          <w:tcPr>
            <w:tcW w:w="2160" w:type="dxa"/>
            <w:tcBorders>
              <w:top w:val="nil"/>
              <w:left w:val="nil"/>
              <w:bottom w:val="nil"/>
              <w:right w:val="nil"/>
            </w:tcBorders>
            <w:shd w:val="clear" w:color="auto" w:fill="FFFFFF"/>
          </w:tcPr>
          <w:p w14:paraId="194B720E">
            <w:pPr>
              <w:spacing w:after="160" w:line="278" w:lineRule="auto"/>
              <w:rPr>
                <w:rFonts w:hint="eastAsia" w:ascii="宋体" w:hAnsi="宋体" w:eastAsia="宋体"/>
                <w:b w:val="0"/>
                <w:color w:val="000000"/>
                <w:sz w:val="21"/>
                <w:szCs w:val="21"/>
              </w:rPr>
            </w:pPr>
            <w:r>
              <w:rPr>
                <w:rFonts w:ascii="宋体" w:hAnsi="宋体" w:eastAsia="宋体"/>
                <w:b w:val="0"/>
                <w:color w:val="000000"/>
                <w:sz w:val="21"/>
                <w:szCs w:val="21"/>
              </w:rPr>
              <w:t>品牌运营组</w:t>
            </w:r>
          </w:p>
        </w:tc>
      </w:tr>
      <w:tr w14:paraId="29216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Borders>
              <w:top w:val="nil"/>
              <w:left w:val="nil"/>
              <w:bottom w:val="nil"/>
              <w:right w:val="nil"/>
            </w:tcBorders>
            <w:shd w:val="clear" w:color="auto" w:fill="FFFFFF"/>
          </w:tcPr>
          <w:p w14:paraId="43BA4FBD">
            <w:pPr>
              <w:spacing w:after="160" w:line="278" w:lineRule="auto"/>
              <w:rPr>
                <w:rFonts w:hint="eastAsia" w:ascii="宋体" w:hAnsi="宋体" w:eastAsia="宋体"/>
                <w:b w:val="0"/>
                <w:color w:val="000000"/>
                <w:sz w:val="21"/>
                <w:szCs w:val="21"/>
              </w:rPr>
            </w:pPr>
            <w:r>
              <w:rPr>
                <w:rFonts w:ascii="宋体" w:hAnsi="宋体" w:eastAsia="宋体"/>
                <w:b w:val="0"/>
                <w:color w:val="000000"/>
                <w:sz w:val="21"/>
                <w:szCs w:val="21"/>
              </w:rPr>
              <w:t>报名期</w:t>
            </w:r>
          </w:p>
        </w:tc>
        <w:tc>
          <w:tcPr>
            <w:tcW w:w="2160" w:type="dxa"/>
            <w:tcBorders>
              <w:top w:val="nil"/>
              <w:left w:val="nil"/>
              <w:bottom w:val="nil"/>
              <w:right w:val="nil"/>
            </w:tcBorders>
            <w:shd w:val="clear" w:color="auto" w:fill="FFFFFF"/>
          </w:tcPr>
          <w:p w14:paraId="5D91CFEA">
            <w:pPr>
              <w:spacing w:after="160" w:line="278" w:lineRule="auto"/>
              <w:rPr>
                <w:rFonts w:hint="eastAsia" w:ascii="宋体" w:hAnsi="宋体" w:eastAsia="宋体"/>
                <w:b w:val="0"/>
                <w:color w:val="000000"/>
                <w:sz w:val="21"/>
                <w:szCs w:val="21"/>
              </w:rPr>
            </w:pPr>
            <w:r>
              <w:rPr>
                <w:rFonts w:ascii="宋体" w:hAnsi="宋体" w:eastAsia="宋体"/>
                <w:b w:val="0"/>
                <w:color w:val="000000"/>
                <w:sz w:val="21"/>
                <w:szCs w:val="21"/>
              </w:rPr>
              <w:t>赛前1个月-1周</w:t>
            </w:r>
          </w:p>
        </w:tc>
        <w:tc>
          <w:tcPr>
            <w:tcW w:w="2160" w:type="dxa"/>
            <w:tcBorders>
              <w:top w:val="nil"/>
              <w:left w:val="nil"/>
              <w:bottom w:val="nil"/>
              <w:right w:val="nil"/>
            </w:tcBorders>
            <w:shd w:val="clear" w:color="auto" w:fill="FFFFFF"/>
          </w:tcPr>
          <w:p w14:paraId="3DE21E12">
            <w:pPr>
              <w:spacing w:after="160" w:line="278" w:lineRule="auto"/>
              <w:rPr>
                <w:rFonts w:hint="eastAsia" w:ascii="宋体" w:hAnsi="宋体" w:eastAsia="宋体"/>
                <w:b w:val="0"/>
                <w:color w:val="000000"/>
                <w:sz w:val="21"/>
                <w:szCs w:val="21"/>
              </w:rPr>
            </w:pPr>
            <w:r>
              <w:rPr>
                <w:rFonts w:ascii="宋体" w:hAnsi="宋体" w:eastAsia="宋体"/>
                <w:b w:val="0"/>
                <w:color w:val="000000"/>
                <w:sz w:val="21"/>
                <w:szCs w:val="21"/>
              </w:rPr>
              <w:t>小程序在线报名（5km/10km/15km三组）、参赛包制作（品牌文创+号码布+补给品）</w:t>
            </w:r>
          </w:p>
        </w:tc>
        <w:tc>
          <w:tcPr>
            <w:tcW w:w="2160" w:type="dxa"/>
            <w:tcBorders>
              <w:top w:val="nil"/>
              <w:left w:val="nil"/>
              <w:bottom w:val="nil"/>
              <w:right w:val="nil"/>
            </w:tcBorders>
            <w:shd w:val="clear" w:color="auto" w:fill="FFFFFF"/>
          </w:tcPr>
          <w:p w14:paraId="26A87F1E">
            <w:pPr>
              <w:spacing w:after="160" w:line="278" w:lineRule="auto"/>
              <w:rPr>
                <w:rFonts w:hint="eastAsia" w:ascii="宋体" w:hAnsi="宋体" w:eastAsia="宋体"/>
                <w:b w:val="0"/>
                <w:color w:val="000000"/>
                <w:sz w:val="21"/>
                <w:szCs w:val="21"/>
              </w:rPr>
            </w:pPr>
            <w:r>
              <w:rPr>
                <w:rFonts w:ascii="宋体" w:hAnsi="宋体" w:eastAsia="宋体"/>
                <w:b w:val="0"/>
                <w:color w:val="000000"/>
                <w:sz w:val="21"/>
                <w:szCs w:val="21"/>
              </w:rPr>
              <w:t>技术组+设计组</w:t>
            </w:r>
          </w:p>
        </w:tc>
      </w:tr>
      <w:tr w14:paraId="46D41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Borders>
              <w:top w:val="nil"/>
              <w:left w:val="nil"/>
              <w:bottom w:val="nil"/>
              <w:right w:val="nil"/>
            </w:tcBorders>
            <w:shd w:val="clear" w:color="auto" w:fill="FFFFFF"/>
          </w:tcPr>
          <w:p w14:paraId="02A94973">
            <w:pPr>
              <w:spacing w:after="160" w:line="278" w:lineRule="auto"/>
              <w:rPr>
                <w:rFonts w:hint="eastAsia" w:ascii="宋体" w:hAnsi="宋体" w:eastAsia="宋体"/>
                <w:b w:val="0"/>
                <w:color w:val="000000"/>
                <w:sz w:val="21"/>
                <w:szCs w:val="21"/>
              </w:rPr>
            </w:pPr>
            <w:r>
              <w:rPr>
                <w:rFonts w:ascii="宋体" w:hAnsi="宋体" w:eastAsia="宋体"/>
                <w:b w:val="0"/>
                <w:color w:val="000000"/>
                <w:sz w:val="21"/>
                <w:szCs w:val="21"/>
              </w:rPr>
              <w:t>赛前准备</w:t>
            </w:r>
          </w:p>
        </w:tc>
        <w:tc>
          <w:tcPr>
            <w:tcW w:w="2160" w:type="dxa"/>
            <w:tcBorders>
              <w:top w:val="nil"/>
              <w:left w:val="nil"/>
              <w:bottom w:val="nil"/>
              <w:right w:val="nil"/>
            </w:tcBorders>
            <w:shd w:val="clear" w:color="auto" w:fill="FFFFFF"/>
          </w:tcPr>
          <w:p w14:paraId="337381F7">
            <w:pPr>
              <w:spacing w:after="160" w:line="278" w:lineRule="auto"/>
              <w:rPr>
                <w:rFonts w:hint="eastAsia" w:ascii="宋体" w:hAnsi="宋体" w:eastAsia="宋体"/>
                <w:b w:val="0"/>
                <w:color w:val="000000"/>
                <w:sz w:val="21"/>
                <w:szCs w:val="21"/>
              </w:rPr>
            </w:pPr>
            <w:r>
              <w:rPr>
                <w:rFonts w:ascii="宋体" w:hAnsi="宋体" w:eastAsia="宋体"/>
                <w:b w:val="0"/>
                <w:color w:val="000000"/>
                <w:sz w:val="21"/>
                <w:szCs w:val="21"/>
              </w:rPr>
              <w:t>赛前3天</w:t>
            </w:r>
          </w:p>
        </w:tc>
        <w:tc>
          <w:tcPr>
            <w:tcW w:w="2160" w:type="dxa"/>
            <w:tcBorders>
              <w:top w:val="nil"/>
              <w:left w:val="nil"/>
              <w:bottom w:val="nil"/>
              <w:right w:val="nil"/>
            </w:tcBorders>
            <w:shd w:val="clear" w:color="auto" w:fill="FFFFFF"/>
          </w:tcPr>
          <w:p w14:paraId="714DBB9E">
            <w:pPr>
              <w:spacing w:after="160" w:line="278" w:lineRule="auto"/>
              <w:rPr>
                <w:rFonts w:hint="eastAsia" w:ascii="宋体" w:hAnsi="宋体" w:eastAsia="宋体"/>
                <w:b w:val="0"/>
                <w:color w:val="000000"/>
                <w:sz w:val="21"/>
                <w:szCs w:val="21"/>
              </w:rPr>
            </w:pPr>
            <w:r>
              <w:rPr>
                <w:rFonts w:ascii="宋体" w:hAnsi="宋体" w:eastAsia="宋体"/>
                <w:b w:val="0"/>
                <w:color w:val="000000"/>
                <w:sz w:val="21"/>
                <w:szCs w:val="21"/>
              </w:rPr>
              <w:t>路线标识复检、补给站搭建（樱桃汁/能量棒/鲜果）、志愿者培训、医疗保障到位</w:t>
            </w:r>
          </w:p>
        </w:tc>
        <w:tc>
          <w:tcPr>
            <w:tcW w:w="2160" w:type="dxa"/>
            <w:tcBorders>
              <w:top w:val="nil"/>
              <w:left w:val="nil"/>
              <w:bottom w:val="nil"/>
              <w:right w:val="nil"/>
            </w:tcBorders>
            <w:shd w:val="clear" w:color="auto" w:fill="FFFFFF"/>
          </w:tcPr>
          <w:p w14:paraId="4E2399E7">
            <w:pPr>
              <w:spacing w:after="160" w:line="278" w:lineRule="auto"/>
              <w:rPr>
                <w:rFonts w:hint="eastAsia" w:ascii="宋体" w:hAnsi="宋体" w:eastAsia="宋体"/>
                <w:b w:val="0"/>
                <w:color w:val="000000"/>
                <w:sz w:val="21"/>
                <w:szCs w:val="21"/>
              </w:rPr>
            </w:pPr>
            <w:r>
              <w:rPr>
                <w:rFonts w:ascii="宋体" w:hAnsi="宋体" w:eastAsia="宋体"/>
                <w:b w:val="0"/>
                <w:color w:val="000000"/>
                <w:sz w:val="21"/>
                <w:szCs w:val="21"/>
              </w:rPr>
              <w:t>全团队+村民服务队</w:t>
            </w:r>
          </w:p>
        </w:tc>
      </w:tr>
      <w:tr w14:paraId="4A07B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Borders>
              <w:top w:val="nil"/>
              <w:left w:val="nil"/>
              <w:bottom w:val="nil"/>
              <w:right w:val="nil"/>
            </w:tcBorders>
            <w:shd w:val="clear" w:color="auto" w:fill="FFFFFF"/>
          </w:tcPr>
          <w:p w14:paraId="516A2F98">
            <w:pPr>
              <w:spacing w:after="160" w:line="278" w:lineRule="auto"/>
              <w:rPr>
                <w:rFonts w:hint="eastAsia" w:ascii="宋体" w:hAnsi="宋体" w:eastAsia="宋体"/>
                <w:b w:val="0"/>
                <w:color w:val="000000"/>
                <w:sz w:val="21"/>
                <w:szCs w:val="21"/>
              </w:rPr>
            </w:pPr>
            <w:r>
              <w:rPr>
                <w:rFonts w:ascii="宋体" w:hAnsi="宋体" w:eastAsia="宋体"/>
                <w:b w:val="0"/>
                <w:color w:val="000000"/>
                <w:sz w:val="21"/>
                <w:szCs w:val="21"/>
              </w:rPr>
              <w:t>比赛日</w:t>
            </w:r>
          </w:p>
        </w:tc>
        <w:tc>
          <w:tcPr>
            <w:tcW w:w="2160" w:type="dxa"/>
            <w:tcBorders>
              <w:top w:val="nil"/>
              <w:left w:val="nil"/>
              <w:bottom w:val="nil"/>
              <w:right w:val="nil"/>
            </w:tcBorders>
            <w:shd w:val="clear" w:color="auto" w:fill="FFFFFF"/>
          </w:tcPr>
          <w:p w14:paraId="71B0BD32">
            <w:pPr>
              <w:spacing w:after="160" w:line="278" w:lineRule="auto"/>
              <w:rPr>
                <w:rFonts w:hint="eastAsia" w:ascii="宋体" w:hAnsi="宋体" w:eastAsia="宋体"/>
                <w:b w:val="0"/>
                <w:color w:val="000000"/>
                <w:sz w:val="21"/>
                <w:szCs w:val="21"/>
              </w:rPr>
            </w:pPr>
            <w:r>
              <w:rPr>
                <w:rFonts w:ascii="宋体" w:hAnsi="宋体" w:eastAsia="宋体"/>
                <w:b w:val="0"/>
                <w:color w:val="000000"/>
                <w:sz w:val="21"/>
                <w:szCs w:val="21"/>
              </w:rPr>
              <w:t>当天</w:t>
            </w:r>
          </w:p>
        </w:tc>
        <w:tc>
          <w:tcPr>
            <w:tcW w:w="2160" w:type="dxa"/>
            <w:tcBorders>
              <w:top w:val="nil"/>
              <w:left w:val="nil"/>
              <w:bottom w:val="nil"/>
              <w:right w:val="nil"/>
            </w:tcBorders>
            <w:shd w:val="clear" w:color="auto" w:fill="FFFFFF"/>
          </w:tcPr>
          <w:p w14:paraId="24572558">
            <w:pPr>
              <w:spacing w:after="160" w:line="278" w:lineRule="auto"/>
              <w:rPr>
                <w:rFonts w:hint="eastAsia" w:ascii="宋体" w:hAnsi="宋体" w:eastAsia="宋体"/>
                <w:b w:val="0"/>
                <w:color w:val="000000"/>
                <w:sz w:val="21"/>
                <w:szCs w:val="21"/>
              </w:rPr>
            </w:pPr>
            <w:r>
              <w:rPr>
                <w:rFonts w:ascii="宋体" w:hAnsi="宋体" w:eastAsia="宋体"/>
                <w:b w:val="0"/>
                <w:color w:val="000000"/>
                <w:sz w:val="21"/>
                <w:szCs w:val="21"/>
              </w:rPr>
              <w:t>签到→热身→分组出发→沿途打卡→补给站服务→终点冲线→颁奖（樱桃造型奖牌）→集市</w:t>
            </w:r>
          </w:p>
        </w:tc>
        <w:tc>
          <w:tcPr>
            <w:tcW w:w="2160" w:type="dxa"/>
            <w:tcBorders>
              <w:top w:val="nil"/>
              <w:left w:val="nil"/>
              <w:bottom w:val="nil"/>
              <w:right w:val="nil"/>
            </w:tcBorders>
            <w:shd w:val="clear" w:color="auto" w:fill="FFFFFF"/>
          </w:tcPr>
          <w:p w14:paraId="3E407650">
            <w:pPr>
              <w:spacing w:after="160" w:line="278" w:lineRule="auto"/>
              <w:rPr>
                <w:rFonts w:hint="eastAsia" w:ascii="宋体" w:hAnsi="宋体" w:eastAsia="宋体"/>
                <w:b w:val="0"/>
                <w:color w:val="000000"/>
                <w:sz w:val="21"/>
                <w:szCs w:val="21"/>
              </w:rPr>
            </w:pPr>
            <w:r>
              <w:rPr>
                <w:rFonts w:ascii="宋体" w:hAnsi="宋体" w:eastAsia="宋体"/>
                <w:b w:val="0"/>
                <w:color w:val="000000"/>
                <w:sz w:val="21"/>
                <w:szCs w:val="21"/>
              </w:rPr>
              <w:t>全团队+志愿者</w:t>
            </w:r>
          </w:p>
        </w:tc>
      </w:tr>
      <w:tr w14:paraId="0C952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Borders>
              <w:top w:val="nil"/>
              <w:left w:val="nil"/>
              <w:bottom w:val="single" w:color="000000" w:sz="12" w:space="0"/>
              <w:right w:val="nil"/>
            </w:tcBorders>
            <w:shd w:val="clear" w:color="auto" w:fill="FFFFFF"/>
          </w:tcPr>
          <w:p w14:paraId="240FFAF7">
            <w:pPr>
              <w:spacing w:after="160" w:line="278" w:lineRule="auto"/>
              <w:rPr>
                <w:rFonts w:hint="eastAsia" w:ascii="宋体" w:hAnsi="宋体" w:eastAsia="宋体"/>
                <w:b w:val="0"/>
                <w:color w:val="000000"/>
                <w:sz w:val="21"/>
                <w:szCs w:val="21"/>
              </w:rPr>
            </w:pPr>
            <w:r>
              <w:rPr>
                <w:rFonts w:ascii="宋体" w:hAnsi="宋体" w:eastAsia="宋体"/>
                <w:b w:val="0"/>
                <w:color w:val="000000"/>
                <w:sz w:val="21"/>
                <w:szCs w:val="21"/>
              </w:rPr>
              <w:t>赛后</w:t>
            </w:r>
          </w:p>
        </w:tc>
        <w:tc>
          <w:tcPr>
            <w:tcW w:w="2160" w:type="dxa"/>
            <w:tcBorders>
              <w:top w:val="nil"/>
              <w:left w:val="nil"/>
              <w:bottom w:val="single" w:color="000000" w:sz="12" w:space="0"/>
              <w:right w:val="nil"/>
            </w:tcBorders>
            <w:shd w:val="clear" w:color="auto" w:fill="FFFFFF"/>
          </w:tcPr>
          <w:p w14:paraId="141B8D7B">
            <w:pPr>
              <w:spacing w:after="160" w:line="278" w:lineRule="auto"/>
              <w:rPr>
                <w:rFonts w:hint="eastAsia" w:ascii="宋体" w:hAnsi="宋体" w:eastAsia="宋体"/>
                <w:b w:val="0"/>
                <w:color w:val="000000"/>
                <w:sz w:val="21"/>
                <w:szCs w:val="21"/>
              </w:rPr>
            </w:pPr>
            <w:r>
              <w:rPr>
                <w:rFonts w:ascii="宋体" w:hAnsi="宋体" w:eastAsia="宋体"/>
                <w:b w:val="0"/>
                <w:color w:val="000000"/>
                <w:sz w:val="21"/>
                <w:szCs w:val="21"/>
              </w:rPr>
              <w:t>赛后1周</w:t>
            </w:r>
          </w:p>
        </w:tc>
        <w:tc>
          <w:tcPr>
            <w:tcW w:w="2160" w:type="dxa"/>
            <w:tcBorders>
              <w:top w:val="nil"/>
              <w:left w:val="nil"/>
              <w:bottom w:val="single" w:color="000000" w:sz="12" w:space="0"/>
              <w:right w:val="nil"/>
            </w:tcBorders>
            <w:shd w:val="clear" w:color="auto" w:fill="FFFFFF"/>
          </w:tcPr>
          <w:p w14:paraId="000F608F">
            <w:pPr>
              <w:spacing w:after="160" w:line="278" w:lineRule="auto"/>
              <w:rPr>
                <w:rFonts w:hint="eastAsia" w:ascii="宋体" w:hAnsi="宋体" w:eastAsia="宋体"/>
                <w:b w:val="0"/>
                <w:color w:val="000000"/>
                <w:sz w:val="21"/>
                <w:szCs w:val="21"/>
              </w:rPr>
            </w:pPr>
            <w:r>
              <w:rPr>
                <w:rFonts w:ascii="宋体" w:hAnsi="宋体" w:eastAsia="宋体"/>
                <w:b w:val="0"/>
                <w:color w:val="000000"/>
                <w:sz w:val="21"/>
                <w:szCs w:val="21"/>
              </w:rPr>
              <w:t>成绩公示、参赛者骑行海报推送、赛事回顾视频发布、数据复盘、赞助商回报</w:t>
            </w:r>
          </w:p>
        </w:tc>
        <w:tc>
          <w:tcPr>
            <w:tcW w:w="2160" w:type="dxa"/>
            <w:tcBorders>
              <w:top w:val="nil"/>
              <w:left w:val="nil"/>
              <w:bottom w:val="single" w:color="000000" w:sz="12" w:space="0"/>
              <w:right w:val="nil"/>
            </w:tcBorders>
            <w:shd w:val="clear" w:color="auto" w:fill="FFFFFF"/>
          </w:tcPr>
          <w:p w14:paraId="68F7FC41">
            <w:pPr>
              <w:spacing w:after="160" w:line="278" w:lineRule="auto"/>
              <w:rPr>
                <w:rFonts w:hint="eastAsia" w:ascii="宋体" w:hAnsi="宋体" w:eastAsia="宋体"/>
                <w:b w:val="0"/>
                <w:color w:val="000000"/>
                <w:sz w:val="21"/>
                <w:szCs w:val="21"/>
              </w:rPr>
            </w:pPr>
            <w:r>
              <w:rPr>
                <w:rFonts w:ascii="宋体" w:hAnsi="宋体" w:eastAsia="宋体"/>
                <w:b w:val="0"/>
                <w:color w:val="000000"/>
                <w:sz w:val="21"/>
                <w:szCs w:val="21"/>
              </w:rPr>
              <w:t>品牌运营组+技术组</w:t>
            </w:r>
          </w:p>
        </w:tc>
      </w:tr>
    </w:tbl>
    <w:p w14:paraId="51F3A7A3">
      <w:pPr>
        <w:rPr>
          <w:rFonts w:hint="eastAsia" w:ascii="宋体" w:hAnsi="宋体" w:eastAsia="宋体"/>
          <w:sz w:val="21"/>
          <w:szCs w:val="21"/>
        </w:rPr>
      </w:pPr>
      <w:r>
        <w:rPr>
          <w:rFonts w:ascii="宋体" w:hAnsi="宋体" w:eastAsia="宋体"/>
          <w:sz w:val="21"/>
          <w:szCs w:val="21"/>
        </w:rPr>
        <w:t>赛事规模规划：首届控制在200-300人，以口碑和内容质量为优先；第二届根据首届数据扩大至500人；第三届争取纳入怀柔区体育赛事日历，获得官方支持。</w:t>
      </w:r>
    </w:p>
    <w:p w14:paraId="0B72F534">
      <w:pPr>
        <w:pStyle w:val="3"/>
        <w:bidi w:val="0"/>
        <w:rPr>
          <w:rFonts w:hint="eastAsia"/>
        </w:rPr>
      </w:pPr>
      <w:bookmarkStart w:id="122" w:name="_Toc29455"/>
      <w:r>
        <w:t>6.7  与周边区域联动</w:t>
      </w:r>
      <w:bookmarkEnd w:id="122"/>
    </w:p>
    <w:p w14:paraId="54358F53">
      <w:pPr>
        <w:rPr>
          <w:rFonts w:hint="eastAsia" w:ascii="宋体" w:hAnsi="宋体" w:eastAsia="宋体"/>
          <w:sz w:val="21"/>
          <w:szCs w:val="21"/>
        </w:rPr>
      </w:pPr>
      <w:r>
        <w:rPr>
          <w:rFonts w:ascii="宋体" w:hAnsi="宋体" w:eastAsia="宋体"/>
          <w:b/>
          <w:bCs/>
          <w:sz w:val="21"/>
          <w:szCs w:val="21"/>
          <w:highlight w:val="yellow"/>
        </w:rPr>
        <w:t>杨家东庄村不应孤立发展</w:t>
      </w:r>
      <w:r>
        <w:rPr>
          <w:rFonts w:ascii="宋体" w:hAnsi="宋体" w:eastAsia="宋体"/>
          <w:sz w:val="21"/>
          <w:szCs w:val="21"/>
        </w:rPr>
        <w:t>。本项目规划三层区域联动：</w:t>
      </w:r>
    </w:p>
    <w:p w14:paraId="25C84F47">
      <w:pPr>
        <w:rPr>
          <w:rFonts w:hint="eastAsia" w:ascii="宋体" w:hAnsi="宋体" w:eastAsia="宋体"/>
          <w:sz w:val="21"/>
          <w:szCs w:val="21"/>
          <w:highlight w:val="yellow"/>
        </w:rPr>
      </w:pPr>
      <w:r>
        <w:rPr>
          <w:rFonts w:ascii="宋体" w:hAnsi="宋体" w:eastAsia="宋体"/>
          <w:b/>
          <w:bCs/>
          <w:sz w:val="21"/>
          <w:szCs w:val="21"/>
          <w:highlight w:val="yellow"/>
        </w:rPr>
        <w:t>第一层（近期）</w:t>
      </w:r>
      <w:r>
        <w:rPr>
          <w:rFonts w:ascii="宋体" w:hAnsi="宋体" w:eastAsia="宋体"/>
          <w:b/>
          <w:bCs/>
          <w:sz w:val="21"/>
          <w:szCs w:val="21"/>
        </w:rPr>
        <w:t>：联合桥梓镇相邻村庄，共建"环怀柔水库骑行绿道"的基础路网</w:t>
      </w:r>
      <w:r>
        <w:rPr>
          <w:rFonts w:ascii="宋体" w:hAnsi="宋体" w:eastAsia="宋体"/>
          <w:b/>
          <w:bCs/>
          <w:sz w:val="21"/>
          <w:szCs w:val="21"/>
          <w:highlight w:val="yellow"/>
        </w:rPr>
        <w:t>，实现资源共享与客流互导</w:t>
      </w:r>
      <w:r>
        <w:rPr>
          <w:rFonts w:ascii="宋体" w:hAnsi="宋体" w:eastAsia="宋体"/>
          <w:sz w:val="21"/>
          <w:szCs w:val="21"/>
          <w:highlight w:val="yellow"/>
        </w:rPr>
        <w:t>。</w:t>
      </w:r>
    </w:p>
    <w:p w14:paraId="10960E65">
      <w:pPr>
        <w:rPr>
          <w:rFonts w:hint="eastAsia" w:ascii="宋体" w:hAnsi="宋体" w:eastAsia="宋体"/>
          <w:sz w:val="21"/>
          <w:szCs w:val="21"/>
        </w:rPr>
      </w:pPr>
      <w:r>
        <w:rPr>
          <w:rFonts w:ascii="宋体" w:hAnsi="宋体" w:eastAsia="宋体"/>
          <w:b/>
          <w:bCs/>
          <w:sz w:val="21"/>
          <w:szCs w:val="21"/>
          <w:highlight w:val="yellow"/>
        </w:rPr>
        <w:t>第二层（中期）：</w:t>
      </w:r>
      <w:r>
        <w:rPr>
          <w:rFonts w:hint="eastAsia" w:ascii="宋体" w:hAnsi="宋体" w:eastAsia="宋体"/>
          <w:b/>
          <w:bCs/>
          <w:sz w:val="21"/>
          <w:szCs w:val="21"/>
          <w:highlight w:val="yellow"/>
        </w:rPr>
        <w:t>对接怀柔区文旅局，</w:t>
      </w:r>
      <w:r>
        <w:rPr>
          <w:rFonts w:hint="eastAsia" w:ascii="宋体" w:hAnsi="宋体" w:eastAsia="宋体"/>
          <w:b/>
          <w:bCs/>
          <w:sz w:val="21"/>
          <w:szCs w:val="21"/>
        </w:rPr>
        <w:t>将骑行路线申报为官方推荐线路，</w:t>
      </w:r>
      <w:r>
        <w:rPr>
          <w:rFonts w:hint="eastAsia" w:ascii="宋体" w:hAnsi="宋体" w:eastAsia="宋体"/>
          <w:sz w:val="21"/>
          <w:szCs w:val="21"/>
        </w:rPr>
        <w:t>争取在“怀柔旅游”公众号/小程序中获得固定入口。同时联动怀柔科学城，面向科研人员推广周末骑行活动。</w:t>
      </w:r>
    </w:p>
    <w:p w14:paraId="67B2E3A0">
      <w:pPr>
        <w:rPr>
          <w:rFonts w:hint="eastAsia" w:ascii="宋体" w:hAnsi="宋体" w:eastAsia="宋体"/>
          <w:sz w:val="21"/>
          <w:szCs w:val="21"/>
        </w:rPr>
      </w:pPr>
      <w:r>
        <w:rPr>
          <w:rFonts w:ascii="宋体" w:hAnsi="宋体" w:eastAsia="宋体"/>
          <w:b/>
          <w:bCs/>
          <w:sz w:val="21"/>
          <w:szCs w:val="21"/>
          <w:highlight w:val="yellow"/>
        </w:rPr>
        <w:t>第三层（远期）：</w:t>
      </w:r>
      <w:r>
        <w:rPr>
          <w:rFonts w:ascii="宋体" w:hAnsi="宋体" w:eastAsia="宋体"/>
          <w:b/>
          <w:bCs/>
          <w:sz w:val="21"/>
          <w:szCs w:val="21"/>
        </w:rPr>
        <w:t>探索与共享单车品牌、骑行装备品牌的商业合作</w:t>
      </w:r>
      <w:r>
        <w:rPr>
          <w:rFonts w:ascii="宋体" w:hAnsi="宋体" w:eastAsia="宋体"/>
          <w:sz w:val="21"/>
          <w:szCs w:val="21"/>
        </w:rPr>
        <w:t>（如美利达/捷安特骑行体验点），</w:t>
      </w:r>
      <w:r>
        <w:rPr>
          <w:rFonts w:ascii="宋体" w:hAnsi="宋体" w:eastAsia="宋体"/>
          <w:sz w:val="21"/>
          <w:szCs w:val="21"/>
          <w:highlight w:val="yellow"/>
        </w:rPr>
        <w:t>提升骑行体系的专业性和商业可持续性。</w:t>
      </w:r>
    </w:p>
    <w:p w14:paraId="54D34E09">
      <w:pPr>
        <w:pStyle w:val="3"/>
        <w:bidi w:val="0"/>
        <w:rPr>
          <w:rFonts w:hint="eastAsia"/>
        </w:rPr>
      </w:pPr>
      <w:bookmarkStart w:id="123" w:name="_Toc8047"/>
      <w:r>
        <w:t>6.8  预期效果</w:t>
      </w:r>
      <w:bookmarkEnd w:id="123"/>
    </w:p>
    <w:p w14:paraId="4965921A">
      <w:pPr>
        <w:jc w:val="center"/>
        <w:rPr>
          <w:rFonts w:hint="eastAsia" w:ascii="宋体" w:hAnsi="宋体" w:eastAsia="宋体"/>
          <w:sz w:val="21"/>
          <w:szCs w:val="21"/>
        </w:rPr>
      </w:pPr>
      <w:r>
        <w:rPr>
          <w:rFonts w:ascii="宋体" w:hAnsi="宋体" w:eastAsia="宋体"/>
          <w:b/>
          <w:sz w:val="21"/>
          <w:szCs w:val="21"/>
        </w:rPr>
        <w:t>表6-5  骑行体系预期效果</w:t>
      </w:r>
    </w:p>
    <w:tbl>
      <w:tblPr>
        <w:tblStyle w:val="15"/>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14:paraId="1E03D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Borders>
              <w:top w:val="single" w:color="000000" w:sz="12" w:space="0"/>
              <w:left w:val="nil"/>
              <w:bottom w:val="single" w:color="000000" w:sz="4" w:space="0"/>
              <w:right w:val="nil"/>
              <w:tl2br w:val="nil"/>
            </w:tcBorders>
            <w:shd w:val="clear" w:color="auto" w:fill="FFFFFF"/>
          </w:tcPr>
          <w:p w14:paraId="58A2B953">
            <w:pPr>
              <w:spacing w:after="160" w:line="278" w:lineRule="auto"/>
              <w:rPr>
                <w:rFonts w:hint="eastAsia" w:ascii="宋体" w:hAnsi="宋体" w:eastAsia="宋体"/>
                <w:b w:val="0"/>
                <w:color w:val="000000"/>
                <w:sz w:val="21"/>
                <w:szCs w:val="21"/>
              </w:rPr>
            </w:pPr>
            <w:r>
              <w:rPr>
                <w:rFonts w:ascii="宋体" w:hAnsi="宋体" w:eastAsia="宋体"/>
                <w:b w:val="0"/>
                <w:color w:val="000000"/>
                <w:sz w:val="21"/>
                <w:szCs w:val="21"/>
              </w:rPr>
              <w:t>指标</w:t>
            </w:r>
          </w:p>
        </w:tc>
        <w:tc>
          <w:tcPr>
            <w:tcW w:w="2160" w:type="dxa"/>
            <w:tcBorders>
              <w:top w:val="single" w:color="000000" w:sz="12" w:space="0"/>
              <w:left w:val="nil"/>
              <w:bottom w:val="single" w:color="000000" w:sz="4" w:space="0"/>
              <w:right w:val="nil"/>
            </w:tcBorders>
            <w:shd w:val="clear" w:color="auto" w:fill="FFFFFF"/>
          </w:tcPr>
          <w:p w14:paraId="75AC82BC">
            <w:pPr>
              <w:spacing w:after="160" w:line="278" w:lineRule="auto"/>
              <w:rPr>
                <w:rFonts w:hint="eastAsia" w:ascii="宋体" w:hAnsi="宋体" w:eastAsia="宋体"/>
                <w:b w:val="0"/>
                <w:color w:val="000000"/>
                <w:sz w:val="21"/>
                <w:szCs w:val="21"/>
              </w:rPr>
            </w:pPr>
            <w:r>
              <w:rPr>
                <w:rFonts w:ascii="宋体" w:hAnsi="宋体" w:eastAsia="宋体"/>
                <w:b w:val="0"/>
                <w:color w:val="000000"/>
                <w:sz w:val="21"/>
                <w:szCs w:val="21"/>
              </w:rPr>
              <w:t>短期（6个月）</w:t>
            </w:r>
          </w:p>
        </w:tc>
        <w:tc>
          <w:tcPr>
            <w:tcW w:w="2160" w:type="dxa"/>
            <w:tcBorders>
              <w:top w:val="single" w:color="000000" w:sz="12" w:space="0"/>
              <w:left w:val="nil"/>
              <w:bottom w:val="single" w:color="000000" w:sz="4" w:space="0"/>
              <w:right w:val="nil"/>
            </w:tcBorders>
            <w:shd w:val="clear" w:color="auto" w:fill="FFFFFF"/>
          </w:tcPr>
          <w:p w14:paraId="7620617A">
            <w:pPr>
              <w:spacing w:after="160" w:line="278" w:lineRule="auto"/>
              <w:rPr>
                <w:rFonts w:hint="eastAsia" w:ascii="宋体" w:hAnsi="宋体" w:eastAsia="宋体"/>
                <w:b w:val="0"/>
                <w:color w:val="000000"/>
                <w:sz w:val="21"/>
                <w:szCs w:val="21"/>
              </w:rPr>
            </w:pPr>
            <w:r>
              <w:rPr>
                <w:rFonts w:ascii="宋体" w:hAnsi="宋体" w:eastAsia="宋体"/>
                <w:b w:val="0"/>
                <w:color w:val="000000"/>
                <w:sz w:val="21"/>
                <w:szCs w:val="21"/>
              </w:rPr>
              <w:t>中期（1-2年）</w:t>
            </w:r>
          </w:p>
        </w:tc>
        <w:tc>
          <w:tcPr>
            <w:tcW w:w="2160" w:type="dxa"/>
            <w:tcBorders>
              <w:top w:val="single" w:color="000000" w:sz="12" w:space="0"/>
              <w:left w:val="nil"/>
              <w:bottom w:val="single" w:color="000000" w:sz="4" w:space="0"/>
              <w:right w:val="nil"/>
            </w:tcBorders>
            <w:shd w:val="clear" w:color="auto" w:fill="FFFFFF"/>
          </w:tcPr>
          <w:p w14:paraId="534876D6">
            <w:pPr>
              <w:spacing w:after="160" w:line="278" w:lineRule="auto"/>
              <w:rPr>
                <w:rFonts w:hint="eastAsia" w:ascii="宋体" w:hAnsi="宋体" w:eastAsia="宋体"/>
                <w:b w:val="0"/>
                <w:color w:val="000000"/>
                <w:sz w:val="21"/>
                <w:szCs w:val="21"/>
              </w:rPr>
            </w:pPr>
            <w:r>
              <w:rPr>
                <w:rFonts w:ascii="宋体" w:hAnsi="宋体" w:eastAsia="宋体"/>
                <w:b w:val="0"/>
                <w:color w:val="000000"/>
                <w:sz w:val="21"/>
                <w:szCs w:val="21"/>
              </w:rPr>
              <w:t>长期（3年+）</w:t>
            </w:r>
          </w:p>
        </w:tc>
      </w:tr>
      <w:tr w14:paraId="6D861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Borders>
              <w:top w:val="single" w:color="000000" w:sz="4" w:space="0"/>
              <w:left w:val="nil"/>
              <w:bottom w:val="nil"/>
              <w:right w:val="nil"/>
            </w:tcBorders>
            <w:shd w:val="clear" w:color="auto" w:fill="FFFFFF"/>
          </w:tcPr>
          <w:p w14:paraId="136D1E63">
            <w:pPr>
              <w:spacing w:after="160" w:line="278" w:lineRule="auto"/>
              <w:rPr>
                <w:rFonts w:hint="eastAsia" w:ascii="宋体" w:hAnsi="宋体" w:eastAsia="宋体"/>
                <w:b w:val="0"/>
                <w:color w:val="000000"/>
                <w:sz w:val="21"/>
                <w:szCs w:val="21"/>
              </w:rPr>
            </w:pPr>
            <w:r>
              <w:rPr>
                <w:rFonts w:ascii="宋体" w:hAnsi="宋体" w:eastAsia="宋体"/>
                <w:b w:val="0"/>
                <w:color w:val="000000"/>
                <w:sz w:val="21"/>
                <w:szCs w:val="21"/>
              </w:rPr>
              <w:t>骑行路线日均客流</w:t>
            </w:r>
          </w:p>
        </w:tc>
        <w:tc>
          <w:tcPr>
            <w:tcW w:w="2160" w:type="dxa"/>
            <w:tcBorders>
              <w:top w:val="single" w:color="000000" w:sz="4" w:space="0"/>
              <w:left w:val="nil"/>
              <w:bottom w:val="nil"/>
              <w:right w:val="nil"/>
            </w:tcBorders>
            <w:shd w:val="clear" w:color="auto" w:fill="FFFFFF"/>
          </w:tcPr>
          <w:p w14:paraId="5C33895D">
            <w:pPr>
              <w:spacing w:after="160" w:line="278" w:lineRule="auto"/>
              <w:rPr>
                <w:rFonts w:hint="eastAsia" w:ascii="宋体" w:hAnsi="宋体" w:eastAsia="宋体"/>
                <w:b w:val="0"/>
                <w:color w:val="000000"/>
                <w:sz w:val="21"/>
                <w:szCs w:val="21"/>
              </w:rPr>
            </w:pPr>
            <w:r>
              <w:rPr>
                <w:rFonts w:ascii="宋体" w:hAnsi="宋体" w:eastAsia="宋体"/>
                <w:b w:val="0"/>
                <w:color w:val="000000"/>
                <w:sz w:val="21"/>
                <w:szCs w:val="21"/>
              </w:rPr>
              <w:t>20-50人次</w:t>
            </w:r>
          </w:p>
        </w:tc>
        <w:tc>
          <w:tcPr>
            <w:tcW w:w="2160" w:type="dxa"/>
            <w:tcBorders>
              <w:top w:val="single" w:color="000000" w:sz="4" w:space="0"/>
              <w:left w:val="nil"/>
              <w:bottom w:val="nil"/>
              <w:right w:val="nil"/>
            </w:tcBorders>
            <w:shd w:val="clear" w:color="auto" w:fill="FFFFFF"/>
          </w:tcPr>
          <w:p w14:paraId="4029A6FA">
            <w:pPr>
              <w:spacing w:after="160" w:line="278" w:lineRule="auto"/>
              <w:rPr>
                <w:rFonts w:hint="eastAsia" w:ascii="宋体" w:hAnsi="宋体" w:eastAsia="宋体"/>
                <w:b w:val="0"/>
                <w:color w:val="000000"/>
                <w:sz w:val="21"/>
                <w:szCs w:val="21"/>
              </w:rPr>
            </w:pPr>
            <w:r>
              <w:rPr>
                <w:rFonts w:ascii="宋体" w:hAnsi="宋体" w:eastAsia="宋体"/>
                <w:b w:val="0"/>
                <w:color w:val="000000"/>
                <w:sz w:val="21"/>
                <w:szCs w:val="21"/>
              </w:rPr>
              <w:t>80-150人次</w:t>
            </w:r>
          </w:p>
        </w:tc>
        <w:tc>
          <w:tcPr>
            <w:tcW w:w="2160" w:type="dxa"/>
            <w:tcBorders>
              <w:top w:val="single" w:color="000000" w:sz="4" w:space="0"/>
              <w:left w:val="nil"/>
              <w:bottom w:val="nil"/>
              <w:right w:val="nil"/>
            </w:tcBorders>
            <w:shd w:val="clear" w:color="auto" w:fill="FFFFFF"/>
          </w:tcPr>
          <w:p w14:paraId="18F797C5">
            <w:pPr>
              <w:spacing w:after="160" w:line="278" w:lineRule="auto"/>
              <w:rPr>
                <w:rFonts w:hint="eastAsia" w:ascii="宋体" w:hAnsi="宋体" w:eastAsia="宋体"/>
                <w:b w:val="0"/>
                <w:color w:val="000000"/>
                <w:sz w:val="21"/>
                <w:szCs w:val="21"/>
              </w:rPr>
            </w:pPr>
            <w:r>
              <w:rPr>
                <w:rFonts w:ascii="宋体" w:hAnsi="宋体" w:eastAsia="宋体"/>
                <w:b w:val="0"/>
                <w:color w:val="000000"/>
                <w:sz w:val="21"/>
                <w:szCs w:val="21"/>
              </w:rPr>
              <w:t>150-300人次</w:t>
            </w:r>
          </w:p>
        </w:tc>
      </w:tr>
      <w:tr w14:paraId="2E8F1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Borders>
              <w:top w:val="nil"/>
              <w:left w:val="nil"/>
              <w:bottom w:val="nil"/>
              <w:right w:val="nil"/>
            </w:tcBorders>
            <w:shd w:val="clear" w:color="auto" w:fill="FFFFFF"/>
          </w:tcPr>
          <w:p w14:paraId="4C2BD6A0">
            <w:pPr>
              <w:spacing w:after="160" w:line="278" w:lineRule="auto"/>
              <w:rPr>
                <w:rFonts w:hint="eastAsia" w:ascii="宋体" w:hAnsi="宋体" w:eastAsia="宋体"/>
                <w:b w:val="0"/>
                <w:color w:val="000000"/>
                <w:sz w:val="21"/>
                <w:szCs w:val="21"/>
              </w:rPr>
            </w:pPr>
            <w:r>
              <w:rPr>
                <w:rFonts w:ascii="宋体" w:hAnsi="宋体" w:eastAsia="宋体"/>
                <w:b w:val="0"/>
                <w:color w:val="000000"/>
                <w:sz w:val="21"/>
                <w:szCs w:val="21"/>
              </w:rPr>
              <w:t>平均停留时长</w:t>
            </w:r>
          </w:p>
        </w:tc>
        <w:tc>
          <w:tcPr>
            <w:tcW w:w="2160" w:type="dxa"/>
            <w:tcBorders>
              <w:top w:val="nil"/>
              <w:left w:val="nil"/>
              <w:bottom w:val="nil"/>
              <w:right w:val="nil"/>
            </w:tcBorders>
            <w:shd w:val="clear" w:color="auto" w:fill="FFFFFF"/>
          </w:tcPr>
          <w:p w14:paraId="48D58A52">
            <w:pPr>
              <w:spacing w:after="160" w:line="278" w:lineRule="auto"/>
              <w:rPr>
                <w:rFonts w:hint="eastAsia" w:ascii="宋体" w:hAnsi="宋体" w:eastAsia="宋体"/>
                <w:b w:val="0"/>
                <w:color w:val="000000"/>
                <w:sz w:val="21"/>
                <w:szCs w:val="21"/>
              </w:rPr>
            </w:pPr>
            <w:r>
              <w:rPr>
                <w:rFonts w:ascii="宋体" w:hAnsi="宋体" w:eastAsia="宋体"/>
                <w:b w:val="0"/>
                <w:color w:val="000000"/>
                <w:sz w:val="21"/>
                <w:szCs w:val="21"/>
              </w:rPr>
              <w:t>2-3小时</w:t>
            </w:r>
          </w:p>
        </w:tc>
        <w:tc>
          <w:tcPr>
            <w:tcW w:w="2160" w:type="dxa"/>
            <w:tcBorders>
              <w:top w:val="nil"/>
              <w:left w:val="nil"/>
              <w:bottom w:val="nil"/>
              <w:right w:val="nil"/>
            </w:tcBorders>
            <w:shd w:val="clear" w:color="auto" w:fill="FFFFFF"/>
          </w:tcPr>
          <w:p w14:paraId="43284F98">
            <w:pPr>
              <w:spacing w:after="160" w:line="278" w:lineRule="auto"/>
              <w:rPr>
                <w:rFonts w:hint="eastAsia" w:ascii="宋体" w:hAnsi="宋体" w:eastAsia="宋体"/>
                <w:b w:val="0"/>
                <w:color w:val="000000"/>
                <w:sz w:val="21"/>
                <w:szCs w:val="21"/>
              </w:rPr>
            </w:pPr>
            <w:r>
              <w:rPr>
                <w:rFonts w:ascii="宋体" w:hAnsi="宋体" w:eastAsia="宋体"/>
                <w:b w:val="0"/>
                <w:color w:val="000000"/>
                <w:sz w:val="21"/>
                <w:szCs w:val="21"/>
              </w:rPr>
              <w:t>3-5小时（含体验）</w:t>
            </w:r>
          </w:p>
        </w:tc>
        <w:tc>
          <w:tcPr>
            <w:tcW w:w="2160" w:type="dxa"/>
            <w:tcBorders>
              <w:top w:val="nil"/>
              <w:left w:val="nil"/>
              <w:bottom w:val="nil"/>
              <w:right w:val="nil"/>
            </w:tcBorders>
            <w:shd w:val="clear" w:color="auto" w:fill="FFFFFF"/>
          </w:tcPr>
          <w:p w14:paraId="7C8251F5">
            <w:pPr>
              <w:spacing w:after="160" w:line="278" w:lineRule="auto"/>
              <w:rPr>
                <w:rFonts w:hint="eastAsia" w:ascii="宋体" w:hAnsi="宋体" w:eastAsia="宋体"/>
                <w:b w:val="0"/>
                <w:color w:val="000000"/>
                <w:sz w:val="21"/>
                <w:szCs w:val="21"/>
              </w:rPr>
            </w:pPr>
            <w:r>
              <w:rPr>
                <w:rFonts w:ascii="宋体" w:hAnsi="宋体" w:eastAsia="宋体"/>
                <w:b w:val="0"/>
                <w:color w:val="000000"/>
                <w:sz w:val="21"/>
                <w:szCs w:val="21"/>
              </w:rPr>
              <w:t>5-8小时（含餐饮住宿）</w:t>
            </w:r>
          </w:p>
        </w:tc>
      </w:tr>
      <w:tr w14:paraId="6FA11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Borders>
              <w:top w:val="nil"/>
              <w:left w:val="nil"/>
              <w:bottom w:val="nil"/>
              <w:right w:val="nil"/>
            </w:tcBorders>
            <w:shd w:val="clear" w:color="auto" w:fill="FFFFFF"/>
          </w:tcPr>
          <w:p w14:paraId="42B50ADD">
            <w:pPr>
              <w:spacing w:after="160" w:line="278" w:lineRule="auto"/>
              <w:rPr>
                <w:rFonts w:hint="eastAsia" w:ascii="宋体" w:hAnsi="宋体" w:eastAsia="宋体"/>
                <w:b w:val="0"/>
                <w:color w:val="000000"/>
                <w:sz w:val="21"/>
                <w:szCs w:val="21"/>
              </w:rPr>
            </w:pPr>
            <w:r>
              <w:rPr>
                <w:rFonts w:ascii="宋体" w:hAnsi="宋体" w:eastAsia="宋体"/>
                <w:b w:val="0"/>
                <w:color w:val="000000"/>
                <w:sz w:val="21"/>
                <w:szCs w:val="21"/>
              </w:rPr>
              <w:t>消费转化率</w:t>
            </w:r>
          </w:p>
        </w:tc>
        <w:tc>
          <w:tcPr>
            <w:tcW w:w="2160" w:type="dxa"/>
            <w:tcBorders>
              <w:top w:val="nil"/>
              <w:left w:val="nil"/>
              <w:bottom w:val="nil"/>
              <w:right w:val="nil"/>
            </w:tcBorders>
            <w:shd w:val="clear" w:color="auto" w:fill="FFFFFF"/>
          </w:tcPr>
          <w:p w14:paraId="366E91F5">
            <w:pPr>
              <w:spacing w:after="160" w:line="278" w:lineRule="auto"/>
              <w:rPr>
                <w:rFonts w:hint="eastAsia" w:ascii="宋体" w:hAnsi="宋体" w:eastAsia="宋体"/>
                <w:b w:val="0"/>
                <w:color w:val="000000"/>
                <w:sz w:val="21"/>
                <w:szCs w:val="21"/>
              </w:rPr>
            </w:pPr>
            <w:r>
              <w:rPr>
                <w:rFonts w:ascii="宋体" w:hAnsi="宋体" w:eastAsia="宋体"/>
                <w:b w:val="0"/>
                <w:color w:val="000000"/>
                <w:sz w:val="21"/>
                <w:szCs w:val="21"/>
              </w:rPr>
              <w:t>40%</w:t>
            </w:r>
          </w:p>
        </w:tc>
        <w:tc>
          <w:tcPr>
            <w:tcW w:w="2160" w:type="dxa"/>
            <w:tcBorders>
              <w:top w:val="nil"/>
              <w:left w:val="nil"/>
              <w:bottom w:val="nil"/>
              <w:right w:val="nil"/>
            </w:tcBorders>
            <w:shd w:val="clear" w:color="auto" w:fill="FFFFFF"/>
          </w:tcPr>
          <w:p w14:paraId="4AE23D65">
            <w:pPr>
              <w:spacing w:after="160" w:line="278" w:lineRule="auto"/>
              <w:rPr>
                <w:rFonts w:hint="eastAsia" w:ascii="宋体" w:hAnsi="宋体" w:eastAsia="宋体"/>
                <w:b w:val="0"/>
                <w:color w:val="000000"/>
                <w:sz w:val="21"/>
                <w:szCs w:val="21"/>
              </w:rPr>
            </w:pPr>
            <w:r>
              <w:rPr>
                <w:rFonts w:ascii="宋体" w:hAnsi="宋体" w:eastAsia="宋体"/>
                <w:b w:val="0"/>
                <w:color w:val="000000"/>
                <w:sz w:val="21"/>
                <w:szCs w:val="21"/>
              </w:rPr>
              <w:t>60%</w:t>
            </w:r>
          </w:p>
        </w:tc>
        <w:tc>
          <w:tcPr>
            <w:tcW w:w="2160" w:type="dxa"/>
            <w:tcBorders>
              <w:top w:val="nil"/>
              <w:left w:val="nil"/>
              <w:bottom w:val="nil"/>
              <w:right w:val="nil"/>
            </w:tcBorders>
            <w:shd w:val="clear" w:color="auto" w:fill="FFFFFF"/>
          </w:tcPr>
          <w:p w14:paraId="645A19EA">
            <w:pPr>
              <w:spacing w:after="160" w:line="278" w:lineRule="auto"/>
              <w:rPr>
                <w:rFonts w:hint="eastAsia" w:ascii="宋体" w:hAnsi="宋体" w:eastAsia="宋体"/>
                <w:b w:val="0"/>
                <w:color w:val="000000"/>
                <w:sz w:val="21"/>
                <w:szCs w:val="21"/>
              </w:rPr>
            </w:pPr>
            <w:r>
              <w:rPr>
                <w:rFonts w:ascii="宋体" w:hAnsi="宋体" w:eastAsia="宋体"/>
                <w:b w:val="0"/>
                <w:color w:val="000000"/>
                <w:sz w:val="21"/>
                <w:szCs w:val="21"/>
              </w:rPr>
              <w:t>75%</w:t>
            </w:r>
          </w:p>
        </w:tc>
      </w:tr>
      <w:tr w14:paraId="17CF7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Borders>
              <w:top w:val="nil"/>
              <w:left w:val="nil"/>
              <w:bottom w:val="single" w:color="000000" w:sz="12" w:space="0"/>
              <w:right w:val="nil"/>
            </w:tcBorders>
            <w:shd w:val="clear" w:color="auto" w:fill="FFFFFF"/>
          </w:tcPr>
          <w:p w14:paraId="12274F9B">
            <w:pPr>
              <w:spacing w:after="160" w:line="278" w:lineRule="auto"/>
              <w:rPr>
                <w:rFonts w:hint="eastAsia" w:ascii="宋体" w:hAnsi="宋体" w:eastAsia="宋体"/>
                <w:b w:val="0"/>
                <w:color w:val="000000"/>
                <w:sz w:val="21"/>
                <w:szCs w:val="21"/>
              </w:rPr>
            </w:pPr>
            <w:r>
              <w:rPr>
                <w:rFonts w:ascii="宋体" w:hAnsi="宋体" w:eastAsia="宋体"/>
                <w:b w:val="0"/>
                <w:color w:val="000000"/>
                <w:sz w:val="21"/>
                <w:szCs w:val="21"/>
              </w:rPr>
              <w:t>社交媒体曝光量（骑行海报分享）</w:t>
            </w:r>
          </w:p>
        </w:tc>
        <w:tc>
          <w:tcPr>
            <w:tcW w:w="2160" w:type="dxa"/>
            <w:tcBorders>
              <w:top w:val="nil"/>
              <w:left w:val="nil"/>
              <w:bottom w:val="single" w:color="000000" w:sz="12" w:space="0"/>
              <w:right w:val="nil"/>
            </w:tcBorders>
            <w:shd w:val="clear" w:color="auto" w:fill="FFFFFF"/>
          </w:tcPr>
          <w:p w14:paraId="0925A7FB">
            <w:pPr>
              <w:spacing w:after="160" w:line="278" w:lineRule="auto"/>
              <w:rPr>
                <w:rFonts w:hint="eastAsia" w:ascii="宋体" w:hAnsi="宋体" w:eastAsia="宋体"/>
                <w:b w:val="0"/>
                <w:color w:val="000000"/>
                <w:sz w:val="21"/>
                <w:szCs w:val="21"/>
              </w:rPr>
            </w:pPr>
            <w:r>
              <w:rPr>
                <w:rFonts w:ascii="宋体" w:hAnsi="宋体" w:eastAsia="宋体"/>
                <w:b w:val="0"/>
                <w:color w:val="000000"/>
                <w:sz w:val="21"/>
                <w:szCs w:val="21"/>
              </w:rPr>
              <w:t>月均5000次</w:t>
            </w:r>
          </w:p>
        </w:tc>
        <w:tc>
          <w:tcPr>
            <w:tcW w:w="2160" w:type="dxa"/>
            <w:tcBorders>
              <w:top w:val="nil"/>
              <w:left w:val="nil"/>
              <w:bottom w:val="single" w:color="000000" w:sz="12" w:space="0"/>
              <w:right w:val="nil"/>
            </w:tcBorders>
            <w:shd w:val="clear" w:color="auto" w:fill="FFFFFF"/>
          </w:tcPr>
          <w:p w14:paraId="04AA0448">
            <w:pPr>
              <w:spacing w:after="160" w:line="278" w:lineRule="auto"/>
              <w:rPr>
                <w:rFonts w:hint="eastAsia" w:ascii="宋体" w:hAnsi="宋体" w:eastAsia="宋体"/>
                <w:b w:val="0"/>
                <w:color w:val="000000"/>
                <w:sz w:val="21"/>
                <w:szCs w:val="21"/>
              </w:rPr>
            </w:pPr>
            <w:r>
              <w:rPr>
                <w:rFonts w:ascii="宋体" w:hAnsi="宋体" w:eastAsia="宋体"/>
                <w:b w:val="0"/>
                <w:color w:val="000000"/>
                <w:sz w:val="21"/>
                <w:szCs w:val="21"/>
              </w:rPr>
              <w:t>月均2万次</w:t>
            </w:r>
          </w:p>
        </w:tc>
        <w:tc>
          <w:tcPr>
            <w:tcW w:w="2160" w:type="dxa"/>
            <w:tcBorders>
              <w:top w:val="nil"/>
              <w:left w:val="nil"/>
              <w:bottom w:val="single" w:color="000000" w:sz="12" w:space="0"/>
              <w:right w:val="nil"/>
            </w:tcBorders>
            <w:shd w:val="clear" w:color="auto" w:fill="FFFFFF"/>
          </w:tcPr>
          <w:p w14:paraId="0972E533">
            <w:pPr>
              <w:spacing w:after="160" w:line="278" w:lineRule="auto"/>
              <w:rPr>
                <w:rFonts w:hint="eastAsia" w:ascii="宋体" w:hAnsi="宋体" w:eastAsia="宋体"/>
                <w:b w:val="0"/>
                <w:color w:val="000000"/>
                <w:sz w:val="21"/>
                <w:szCs w:val="21"/>
              </w:rPr>
            </w:pPr>
            <w:r>
              <w:rPr>
                <w:rFonts w:ascii="宋体" w:hAnsi="宋体" w:eastAsia="宋体"/>
                <w:b w:val="0"/>
                <w:color w:val="000000"/>
                <w:sz w:val="21"/>
                <w:szCs w:val="21"/>
              </w:rPr>
              <w:t>月均5万次</w:t>
            </w:r>
          </w:p>
        </w:tc>
      </w:tr>
    </w:tbl>
    <w:p w14:paraId="49215629">
      <w:pPr>
        <w:pStyle w:val="3"/>
        <w:bidi w:val="0"/>
      </w:pPr>
      <w:bookmarkStart w:id="124" w:name="_Toc6693"/>
      <w:r>
        <w:t>6.9 北京水源地骑行联盟机制</w:t>
      </w:r>
      <w:bookmarkEnd w:id="124"/>
    </w:p>
    <w:p w14:paraId="752D73B4">
      <w:pPr>
        <w:spacing w:after="80" w:line="360" w:lineRule="auto"/>
        <w:ind w:firstLine="440"/>
        <w:rPr>
          <w:rFonts w:ascii="宋体" w:hAnsi="宋体" w:eastAsia="宋体"/>
          <w:b w:val="0"/>
          <w:sz w:val="22"/>
        </w:rPr>
      </w:pPr>
      <w:r>
        <w:rPr>
          <w:rFonts w:ascii="宋体" w:hAnsi="宋体" w:eastAsia="宋体"/>
          <w:b w:val="0"/>
          <w:sz w:val="22"/>
        </w:rPr>
        <w:t>杨家东庄位于通往慕田峪长城的干路支线上,依次经秦家东庄进入本村,再向北则是具备完善民宿、餐饮与非遗葫芦资源的铠甲村等北片各村。实地调研显示</w:t>
      </w:r>
      <w:r>
        <w:rPr>
          <w:rFonts w:hint="eastAsia" w:ascii="宋体" w:hAnsi="宋体" w:eastAsia="宋体"/>
          <w:b w:val="0"/>
          <w:sz w:val="22"/>
          <w:lang w:eastAsia="zh-CN"/>
        </w:rPr>
        <w:t>，</w:t>
      </w:r>
      <w:r>
        <w:rPr>
          <w:rFonts w:ascii="宋体" w:hAnsi="宋体" w:eastAsia="宋体"/>
          <w:b w:val="0"/>
          <w:sz w:val="22"/>
        </w:rPr>
        <w:t>怀柔水库沿线的骑行者以过境为主,桥梓镇虽已将上述村庄划为北片区域，但尚未建立实质性的联盟协议与分成机制。</w:t>
      </w:r>
    </w:p>
    <w:p w14:paraId="55DFE6B5">
      <w:pPr>
        <w:spacing w:after="80" w:line="360" w:lineRule="auto"/>
        <w:ind w:firstLine="440"/>
        <w:rPr>
          <w:rFonts w:hint="default" w:ascii="宋体" w:hAnsi="宋体" w:eastAsia="宋体"/>
          <w:b w:val="0"/>
          <w:sz w:val="22"/>
        </w:rPr>
      </w:pPr>
      <w:r>
        <w:rPr>
          <w:rFonts w:ascii="宋体" w:hAnsi="宋体" w:eastAsia="宋体"/>
          <w:b w:val="0"/>
          <w:sz w:val="22"/>
        </w:rPr>
        <w:t>这一现状决定了骑行系统的战略突破口——</w:t>
      </w:r>
      <w:r>
        <w:rPr>
          <w:rFonts w:hint="default" w:ascii="宋体" w:hAnsi="宋体" w:eastAsia="宋体"/>
          <w:b/>
          <w:bCs/>
          <w:sz w:val="22"/>
          <w:highlight w:val="yellow"/>
        </w:rPr>
        <w:t>由杨家东庄村发起区域联盟机制，依托本项目的数字工具与品牌势能，将沿线骑行流量转化为多村共同受益的可持续资产。</w:t>
      </w:r>
      <w:r>
        <w:rPr>
          <w:rFonts w:hint="default" w:ascii="宋体" w:hAnsi="宋体" w:eastAsia="宋体"/>
          <w:b/>
          <w:bCs/>
          <w:sz w:val="22"/>
        </w:rPr>
        <w:t>“北京水源地骑行联盟”的核心逻辑是：杨家东庄村作为发起方与路线组织者，向联盟村提供品牌、数字工具与赛事召集三项核心服务，换取在骑行联动业务中的分润地位。这是在政策硬约束下，</w:t>
      </w:r>
      <w:r>
        <w:rPr>
          <w:rFonts w:hint="default" w:ascii="宋体" w:hAnsi="宋体" w:eastAsia="宋体"/>
          <w:b/>
          <w:bCs/>
          <w:sz w:val="22"/>
          <w:highlight w:val="yellow"/>
        </w:rPr>
        <w:t>将杨家东庄村从“资源有限的承接方”重新定位为“具备数字与组织能力的平台方”</w:t>
      </w:r>
      <w:r>
        <w:rPr>
          <w:rFonts w:hint="default" w:ascii="宋体" w:hAnsi="宋体" w:eastAsia="宋体"/>
          <w:b/>
          <w:bCs/>
          <w:sz w:val="22"/>
        </w:rPr>
        <w:t>的关键一跃。</w:t>
      </w:r>
    </w:p>
    <w:p w14:paraId="21FD9586">
      <w:pPr>
        <w:pStyle w:val="4"/>
        <w:bidi w:val="0"/>
      </w:pPr>
      <w:bookmarkStart w:id="125" w:name="_Toc1971"/>
      <w:r>
        <w:t>6.9.1 战略定位:组织者而非承接者</w:t>
      </w:r>
      <w:bookmarkEnd w:id="125"/>
    </w:p>
    <w:p w14:paraId="39DF952E">
      <w:pPr>
        <w:spacing w:after="80" w:line="360" w:lineRule="auto"/>
        <w:ind w:firstLine="440"/>
        <w:rPr>
          <w:rFonts w:hint="default" w:ascii="宋体" w:hAnsi="宋体" w:eastAsia="宋体"/>
          <w:b/>
          <w:bCs/>
          <w:sz w:val="22"/>
          <w:highlight w:val="yellow"/>
        </w:rPr>
      </w:pPr>
      <w:r>
        <w:rPr>
          <w:rFonts w:hint="default" w:ascii="宋体" w:hAnsi="宋体" w:eastAsia="宋体"/>
          <w:b w:val="0"/>
          <w:sz w:val="22"/>
        </w:rPr>
        <w:t>联盟的战略定位可概括为：</w:t>
      </w:r>
      <w:r>
        <w:rPr>
          <w:rFonts w:hint="default" w:ascii="宋体" w:hAnsi="宋体" w:eastAsia="宋体"/>
          <w:b/>
          <w:bCs/>
          <w:sz w:val="22"/>
          <w:highlight w:val="yellow"/>
        </w:rPr>
        <w:t>杨家东庄村以路线设计、品牌输出、数字工具与赛事召集能力参与区域骑行生态，通过组织与技术服务费参与分润，而非依赖本村承接终端消费。</w:t>
      </w:r>
    </w:p>
    <w:p w14:paraId="0C45BECD">
      <w:pPr>
        <w:spacing w:after="80" w:line="360" w:lineRule="auto"/>
        <w:ind w:firstLine="440"/>
      </w:pPr>
      <w:r>
        <w:rPr>
          <w:rFonts w:hint="default" w:ascii="宋体" w:hAnsi="宋体" w:eastAsia="宋体"/>
          <w:b w:val="0"/>
          <w:sz w:val="22"/>
        </w:rPr>
        <w:t>这一定位精准匹配</w:t>
      </w:r>
      <w:r>
        <w:rPr>
          <w:rFonts w:hint="default" w:ascii="宋体" w:hAnsi="宋体" w:eastAsia="宋体"/>
          <w:b w:val="0"/>
          <w:sz w:val="22"/>
          <w:highlight w:val="yellow"/>
        </w:rPr>
        <w:t>村庄现状：村内空间有限、人口老龄化、政策约束严苛</w:t>
      </w:r>
      <w:r>
        <w:rPr>
          <w:rFonts w:hint="default" w:ascii="宋体" w:hAnsi="宋体" w:eastAsia="宋体"/>
          <w:b w:val="0"/>
          <w:sz w:val="22"/>
        </w:rPr>
        <w:t>，适合作为品牌与组织的母节点。项目团队带来的数字化能力、品牌基础与产学研资源，正是周边各村普遍缺乏的组织性资产，构成联盟机制中不可替代的议价基础。</w:t>
      </w:r>
    </w:p>
    <w:p w14:paraId="37321A1D">
      <w:pPr>
        <w:spacing w:after="80" w:line="360" w:lineRule="auto"/>
        <w:ind w:firstLine="440" w:firstLineChars="200"/>
      </w:pPr>
      <w:r>
        <w:rPr>
          <w:rFonts w:ascii="宋体" w:hAnsi="宋体" w:eastAsia="宋体"/>
          <w:b w:val="0"/>
          <w:sz w:val="22"/>
        </w:rPr>
        <w:t>联盟的核心资产归属</w:t>
      </w:r>
      <w:r>
        <w:rPr>
          <w:rFonts w:hint="eastAsia" w:ascii="宋体" w:hAnsi="宋体" w:eastAsia="宋体"/>
          <w:b w:val="0"/>
          <w:sz w:val="22"/>
          <w:lang w:val="en-US" w:eastAsia="zh-CN"/>
        </w:rPr>
        <w:t>要</w:t>
      </w:r>
      <w:r>
        <w:rPr>
          <w:rFonts w:ascii="宋体" w:hAnsi="宋体" w:eastAsia="宋体"/>
          <w:b w:val="0"/>
          <w:sz w:val="22"/>
        </w:rPr>
        <w:t>明确</w:t>
      </w:r>
      <w:r>
        <w:rPr>
          <w:rFonts w:hint="eastAsia" w:ascii="宋体" w:hAnsi="宋体" w:eastAsia="宋体"/>
          <w:b w:val="0"/>
          <w:sz w:val="22"/>
          <w:lang w:eastAsia="zh-CN"/>
        </w:rPr>
        <w:t>，</w:t>
      </w:r>
      <w:r>
        <w:rPr>
          <w:rFonts w:ascii="宋体" w:hAnsi="宋体" w:eastAsia="宋体"/>
          <w:b/>
          <w:bCs/>
          <w:sz w:val="22"/>
        </w:rPr>
        <w:t>"北京水源地骑行联盟"团体品牌注册在杨家东庄村集体或合作社名下;骑行打卡、消费、积分等全部数据汇总在本项目自建小程序后台;联盟赛事的召集权、路线设计权、标准制定权均由杨家东庄主导。</w:t>
      </w:r>
    </w:p>
    <w:p w14:paraId="39C503CD">
      <w:pPr>
        <w:pStyle w:val="4"/>
        <w:bidi w:val="0"/>
      </w:pPr>
      <w:bookmarkStart w:id="126" w:name="_Toc20073"/>
      <w:r>
        <w:t>6.9.2 三层机制设计</w:t>
      </w:r>
      <w:bookmarkEnd w:id="126"/>
    </w:p>
    <w:p w14:paraId="3E872B45">
      <w:pPr>
        <w:spacing w:after="80" w:line="360" w:lineRule="auto"/>
        <w:ind w:firstLine="440"/>
        <w:rPr>
          <w:b/>
          <w:bCs/>
        </w:rPr>
      </w:pPr>
      <w:r>
        <w:rPr>
          <w:rFonts w:ascii="宋体" w:hAnsi="宋体" w:eastAsia="宋体"/>
          <w:b w:val="0"/>
          <w:sz w:val="22"/>
        </w:rPr>
        <w:t>联盟机制采用三层递进设计</w:t>
      </w:r>
      <w:r>
        <w:rPr>
          <w:rFonts w:ascii="宋体" w:hAnsi="宋体" w:eastAsia="宋体"/>
          <w:b w:val="0"/>
          <w:sz w:val="22"/>
          <w:highlight w:val="yellow"/>
        </w:rPr>
        <w:t>,</w:t>
      </w:r>
      <w:r>
        <w:rPr>
          <w:rFonts w:ascii="宋体" w:hAnsi="宋体" w:eastAsia="宋体"/>
          <w:b/>
          <w:bCs/>
          <w:sz w:val="22"/>
          <w:highlight w:val="yellow"/>
        </w:rPr>
        <w:t>自上而下分别解决"谁来组织""用户如何使用""收益如何分"三个问题</w:t>
      </w:r>
      <w:r>
        <w:rPr>
          <w:rFonts w:ascii="宋体" w:hAnsi="宋体" w:eastAsia="宋体"/>
          <w:b/>
          <w:bCs/>
          <w:sz w:val="22"/>
        </w:rPr>
        <w:t>。</w:t>
      </w:r>
    </w:p>
    <w:p w14:paraId="38723E7A">
      <w:pPr>
        <w:spacing w:after="80" w:line="360" w:lineRule="auto"/>
        <w:rPr>
          <w:rFonts w:hint="default" w:ascii="宋体" w:hAnsi="宋体" w:eastAsia="宋体"/>
          <w:b/>
          <w:bCs/>
          <w:sz w:val="22"/>
        </w:rPr>
      </w:pPr>
      <w:r>
        <w:rPr>
          <w:rFonts w:hint="eastAsia" w:ascii="宋体" w:hAnsi="宋体" w:eastAsia="宋体"/>
          <w:b w:val="0"/>
          <w:sz w:val="22"/>
          <w:lang w:val="en-US" w:eastAsia="zh-CN"/>
        </w:rPr>
        <w:t>a.</w:t>
      </w:r>
      <w:r>
        <w:rPr>
          <w:rFonts w:hint="default" w:ascii="宋体" w:hAnsi="宋体" w:eastAsia="宋体"/>
          <w:b/>
          <w:bCs/>
          <w:sz w:val="22"/>
          <w:highlight w:val="yellow"/>
        </w:rPr>
        <w:t>第一层：路线托管层</w:t>
      </w:r>
    </w:p>
    <w:p w14:paraId="30944611">
      <w:pPr>
        <w:spacing w:after="80" w:line="360" w:lineRule="auto"/>
        <w:rPr>
          <w:rFonts w:hint="default" w:ascii="宋体" w:hAnsi="宋体" w:eastAsia="宋体"/>
          <w:b w:val="0"/>
          <w:sz w:val="22"/>
        </w:rPr>
      </w:pPr>
      <w:r>
        <w:rPr>
          <w:rFonts w:hint="default" w:ascii="宋体" w:hAnsi="宋体" w:eastAsia="宋体"/>
          <w:b/>
          <w:bCs/>
          <w:sz w:val="22"/>
        </w:rPr>
        <w:t>分工逻辑</w:t>
      </w:r>
      <w:r>
        <w:rPr>
          <w:rFonts w:hint="eastAsia" w:ascii="宋体" w:hAnsi="宋体" w:eastAsia="宋体"/>
          <w:b/>
          <w:bCs/>
          <w:sz w:val="22"/>
          <w:lang w:eastAsia="zh-CN"/>
        </w:rPr>
        <w:t>是</w:t>
      </w:r>
      <w:r>
        <w:rPr>
          <w:rFonts w:hint="default" w:ascii="宋体" w:hAnsi="宋体" w:eastAsia="宋体"/>
          <w:b/>
          <w:bCs/>
          <w:sz w:val="22"/>
        </w:rPr>
        <w:t>杨家东庄村输出“能力”，加盟村输出“资源”，形成互补</w:t>
      </w:r>
      <w:r>
        <w:rPr>
          <w:rFonts w:hint="eastAsia" w:ascii="宋体" w:hAnsi="宋体" w:eastAsia="宋体"/>
          <w:b/>
          <w:bCs/>
          <w:sz w:val="22"/>
          <w:lang w:eastAsia="zh-CN"/>
        </w:rPr>
        <w:t>。</w:t>
      </w:r>
      <w:r>
        <w:rPr>
          <w:rFonts w:hint="default" w:ascii="宋体" w:hAnsi="宋体" w:eastAsia="宋体"/>
          <w:b w:val="0"/>
          <w:sz w:val="22"/>
        </w:rPr>
        <w:t>杨家东庄村负责路线设计、品牌建设、小程序开发、赛事召集</w:t>
      </w:r>
      <w:r>
        <w:rPr>
          <w:rFonts w:hint="eastAsia" w:ascii="宋体" w:hAnsi="宋体" w:eastAsia="宋体"/>
          <w:b w:val="0"/>
          <w:sz w:val="22"/>
          <w:lang w:eastAsia="zh-CN"/>
        </w:rPr>
        <w:t>；</w:t>
      </w:r>
      <w:r>
        <w:rPr>
          <w:rFonts w:hint="default" w:ascii="宋体" w:hAnsi="宋体" w:eastAsia="宋体"/>
          <w:b w:val="0"/>
          <w:sz w:val="22"/>
        </w:rPr>
        <w:t>加盟村负责提供民宿、餐饮、非遗体验、农产品补给等资源</w:t>
      </w:r>
      <w:r>
        <w:rPr>
          <w:rFonts w:hint="eastAsia" w:ascii="宋体" w:hAnsi="宋体" w:eastAsia="宋体"/>
          <w:b w:val="0"/>
          <w:sz w:val="22"/>
          <w:lang w:eastAsia="zh-CN"/>
        </w:rPr>
        <w:t>。</w:t>
      </w:r>
      <w:r>
        <w:rPr>
          <w:rFonts w:hint="default" w:ascii="宋体" w:hAnsi="宋体" w:eastAsia="宋体"/>
          <w:b w:val="0"/>
          <w:sz w:val="22"/>
        </w:rPr>
        <w:t>各村向联盟统一输出“资源能力与服务标准”，而非品牌或数字系统。</w:t>
      </w:r>
    </w:p>
    <w:p w14:paraId="0DA11952">
      <w:pPr>
        <w:spacing w:after="80" w:line="360" w:lineRule="auto"/>
        <w:rPr>
          <w:rFonts w:hint="default" w:ascii="宋体" w:hAnsi="宋体" w:eastAsia="宋体"/>
          <w:b/>
          <w:bCs/>
          <w:sz w:val="22"/>
        </w:rPr>
      </w:pPr>
      <w:r>
        <w:rPr>
          <w:rFonts w:hint="eastAsia" w:ascii="宋体" w:hAnsi="宋体" w:eastAsia="宋体"/>
          <w:b w:val="0"/>
          <w:sz w:val="22"/>
          <w:lang w:val="en-US" w:eastAsia="zh-CN"/>
        </w:rPr>
        <w:t>b.</w:t>
      </w:r>
      <w:r>
        <w:rPr>
          <w:rFonts w:hint="default" w:ascii="宋体" w:hAnsi="宋体" w:eastAsia="宋体"/>
          <w:b/>
          <w:bCs/>
          <w:sz w:val="22"/>
          <w:highlight w:val="yellow"/>
        </w:rPr>
        <w:t>第二层：积分联盟层</w:t>
      </w:r>
    </w:p>
    <w:p w14:paraId="497120E3">
      <w:pPr>
        <w:spacing w:after="80" w:line="360" w:lineRule="auto"/>
        <w:rPr>
          <w:rFonts w:hint="default" w:ascii="宋体" w:hAnsi="宋体" w:eastAsia="宋体"/>
          <w:b w:val="0"/>
          <w:sz w:val="22"/>
        </w:rPr>
      </w:pPr>
      <w:r>
        <w:rPr>
          <w:rFonts w:hint="default" w:ascii="宋体" w:hAnsi="宋体" w:eastAsia="宋体"/>
          <w:b/>
          <w:bCs/>
          <w:sz w:val="22"/>
        </w:rPr>
        <w:t>骑行者进入小程序后，在每个联盟村节点扫码打卡即获得“水源地积分”。积分具备跨村通兑属性，可在任意联盟村合作商家消费抵用</w:t>
      </w:r>
      <w:r>
        <w:rPr>
          <w:rFonts w:hint="default" w:ascii="宋体" w:hAnsi="宋体" w:eastAsia="宋体"/>
          <w:b w:val="0"/>
          <w:sz w:val="22"/>
        </w:rPr>
        <w:t>——例如在铠甲村民宿减50-100元、在秦家东庄餐饮减20-30元、在杨家东庄村认养商城享受折扣。</w:t>
      </w:r>
    </w:p>
    <w:p w14:paraId="304FB3EF">
      <w:pPr>
        <w:spacing w:after="80" w:line="360" w:lineRule="auto"/>
        <w:rPr>
          <w:rFonts w:hint="default" w:ascii="宋体" w:hAnsi="宋体" w:eastAsia="宋体"/>
          <w:b w:val="0"/>
          <w:sz w:val="22"/>
        </w:rPr>
      </w:pPr>
      <w:r>
        <w:rPr>
          <w:rFonts w:hint="default" w:ascii="宋体" w:hAnsi="宋体" w:eastAsia="宋体"/>
          <w:b w:val="0"/>
          <w:sz w:val="22"/>
        </w:rPr>
        <w:t>积分池由小程序运营方（杨家东庄村）统一管理，联盟商家承担各自门店的折扣成本，本质是用部分毛利换取联盟内的定向流量。</w:t>
      </w:r>
    </w:p>
    <w:p w14:paraId="24205EC3">
      <w:pPr>
        <w:spacing w:after="80" w:line="360" w:lineRule="auto"/>
        <w:rPr>
          <w:rFonts w:hint="default" w:ascii="宋体" w:hAnsi="宋体" w:eastAsia="宋体"/>
          <w:b/>
          <w:bCs/>
          <w:sz w:val="22"/>
        </w:rPr>
      </w:pPr>
      <w:r>
        <w:rPr>
          <w:rFonts w:hint="eastAsia" w:ascii="宋体" w:hAnsi="宋体" w:eastAsia="宋体"/>
          <w:b w:val="0"/>
          <w:sz w:val="22"/>
          <w:lang w:val="en-US" w:eastAsia="zh-CN"/>
        </w:rPr>
        <w:t>c.</w:t>
      </w:r>
      <w:r>
        <w:rPr>
          <w:rFonts w:hint="default" w:ascii="宋体" w:hAnsi="宋体" w:eastAsia="宋体"/>
          <w:b/>
          <w:bCs/>
          <w:sz w:val="22"/>
          <w:highlight w:val="yellow"/>
        </w:rPr>
        <w:t>第三层：分润机制层</w:t>
      </w:r>
    </w:p>
    <w:p w14:paraId="705FEBB4">
      <w:pPr>
        <w:spacing w:after="80" w:line="360" w:lineRule="auto"/>
        <w:rPr>
          <w:rFonts w:hint="default" w:ascii="宋体" w:hAnsi="宋体" w:eastAsia="宋体"/>
          <w:b w:val="0"/>
          <w:sz w:val="22"/>
        </w:rPr>
      </w:pPr>
      <w:r>
        <w:rPr>
          <w:rFonts w:hint="default" w:ascii="宋体" w:hAnsi="宋体" w:eastAsia="宋体"/>
          <w:b w:val="0"/>
          <w:sz w:val="22"/>
        </w:rPr>
        <w:t>分润机制是联盟能否运行的关键。</w:t>
      </w:r>
      <w:r>
        <w:rPr>
          <w:rFonts w:hint="default" w:ascii="宋体" w:hAnsi="宋体" w:eastAsia="宋体"/>
          <w:b/>
          <w:bCs/>
          <w:sz w:val="22"/>
        </w:rPr>
        <w:t>三类收入对应三种分配方式，所有分成比例写入《北京水源地骑行联盟合作协议》，按月结算</w:t>
      </w:r>
      <w:r>
        <w:rPr>
          <w:rFonts w:hint="default" w:ascii="宋体" w:hAnsi="宋体" w:eastAsia="宋体"/>
          <w:b w:val="0"/>
          <w:sz w:val="22"/>
        </w:rPr>
        <w:t>。</w:t>
      </w:r>
    </w:p>
    <w:p w14:paraId="5C0B3745">
      <w:pPr>
        <w:pStyle w:val="4"/>
        <w:bidi w:val="0"/>
      </w:pPr>
      <w:bookmarkStart w:id="127" w:name="_Toc4818"/>
      <w:r>
        <w:t>6.9.3 三种分润模型</w:t>
      </w:r>
      <w:bookmarkEnd w:id="127"/>
    </w:p>
    <w:tbl>
      <w:tblPr>
        <w:tblStyle w:val="14"/>
        <w:tblW w:w="0" w:type="auto"/>
        <w:tblInd w:w="0" w:type="dxa"/>
        <w:tblLayout w:type="autofit"/>
        <w:tblCellMar>
          <w:top w:w="0" w:type="dxa"/>
          <w:left w:w="108" w:type="dxa"/>
          <w:bottom w:w="0" w:type="dxa"/>
          <w:right w:w="108" w:type="dxa"/>
        </w:tblCellMar>
      </w:tblPr>
      <w:tblGrid>
        <w:gridCol w:w="1861"/>
        <w:gridCol w:w="3176"/>
        <w:gridCol w:w="1346"/>
        <w:gridCol w:w="2139"/>
      </w:tblGrid>
      <w:tr w14:paraId="72E27DDE">
        <w:tblPrEx>
          <w:tblCellMar>
            <w:top w:w="0" w:type="dxa"/>
            <w:left w:w="108" w:type="dxa"/>
            <w:bottom w:w="0" w:type="dxa"/>
            <w:right w:w="108" w:type="dxa"/>
          </w:tblCellMar>
        </w:tblPrEx>
        <w:tc>
          <w:tcPr>
            <w:tcW w:w="1984" w:type="dxa"/>
            <w:tcBorders>
              <w:top w:val="single" w:color="000000" w:sz="12" w:space="0"/>
              <w:left w:val="nil"/>
              <w:bottom w:val="single" w:color="000000" w:sz="4" w:space="0"/>
              <w:right w:val="nil"/>
              <w:tl2br w:val="nil"/>
            </w:tcBorders>
            <w:shd w:val="clear" w:color="auto" w:fill="FFFFFF"/>
          </w:tcPr>
          <w:p w14:paraId="06E3D35A">
            <w:pPr>
              <w:jc w:val="center"/>
              <w:rPr>
                <w:b w:val="0"/>
                <w:color w:val="000000"/>
              </w:rPr>
            </w:pPr>
            <w:r>
              <w:rPr>
                <w:rFonts w:ascii="黑体" w:hAnsi="黑体" w:eastAsia="黑体"/>
                <w:b w:val="0"/>
                <w:color w:val="000000"/>
                <w:sz w:val="20"/>
              </w:rPr>
              <w:t>收入类型</w:t>
            </w:r>
          </w:p>
        </w:tc>
        <w:tc>
          <w:tcPr>
            <w:tcW w:w="3402" w:type="dxa"/>
            <w:tcBorders>
              <w:top w:val="single" w:color="000000" w:sz="12" w:space="0"/>
              <w:left w:val="nil"/>
              <w:bottom w:val="single" w:color="000000" w:sz="4" w:space="0"/>
              <w:right w:val="nil"/>
            </w:tcBorders>
            <w:shd w:val="clear" w:color="auto" w:fill="FFFFFF"/>
          </w:tcPr>
          <w:p w14:paraId="09D0DEBD">
            <w:pPr>
              <w:jc w:val="center"/>
              <w:rPr>
                <w:b w:val="0"/>
                <w:color w:val="000000"/>
              </w:rPr>
            </w:pPr>
            <w:r>
              <w:rPr>
                <w:rFonts w:ascii="黑体" w:hAnsi="黑体" w:eastAsia="黑体"/>
                <w:b w:val="0"/>
                <w:color w:val="000000"/>
                <w:sz w:val="20"/>
              </w:rPr>
              <w:t>分配项</w:t>
            </w:r>
          </w:p>
        </w:tc>
        <w:tc>
          <w:tcPr>
            <w:tcW w:w="1417" w:type="dxa"/>
            <w:tcBorders>
              <w:top w:val="single" w:color="000000" w:sz="12" w:space="0"/>
              <w:left w:val="nil"/>
              <w:bottom w:val="single" w:color="000000" w:sz="4" w:space="0"/>
              <w:right w:val="nil"/>
            </w:tcBorders>
            <w:shd w:val="clear" w:color="auto" w:fill="FFFFFF"/>
          </w:tcPr>
          <w:p w14:paraId="75EE72D7">
            <w:pPr>
              <w:jc w:val="center"/>
              <w:rPr>
                <w:b w:val="0"/>
                <w:color w:val="000000"/>
              </w:rPr>
            </w:pPr>
            <w:r>
              <w:rPr>
                <w:rFonts w:ascii="黑体" w:hAnsi="黑体" w:eastAsia="黑体"/>
                <w:b w:val="0"/>
                <w:color w:val="000000"/>
                <w:sz w:val="20"/>
              </w:rPr>
              <w:t>分配比例</w:t>
            </w:r>
          </w:p>
        </w:tc>
        <w:tc>
          <w:tcPr>
            <w:tcW w:w="2268" w:type="dxa"/>
            <w:tcBorders>
              <w:top w:val="single" w:color="000000" w:sz="12" w:space="0"/>
              <w:left w:val="nil"/>
              <w:bottom w:val="single" w:color="000000" w:sz="4" w:space="0"/>
              <w:right w:val="nil"/>
            </w:tcBorders>
            <w:shd w:val="clear" w:color="auto" w:fill="FFFFFF"/>
          </w:tcPr>
          <w:p w14:paraId="3009BB92">
            <w:pPr>
              <w:jc w:val="center"/>
              <w:rPr>
                <w:b w:val="0"/>
                <w:color w:val="000000"/>
              </w:rPr>
            </w:pPr>
            <w:r>
              <w:rPr>
                <w:rFonts w:ascii="黑体" w:hAnsi="黑体" w:eastAsia="黑体"/>
                <w:b w:val="0"/>
                <w:color w:val="000000"/>
                <w:sz w:val="20"/>
              </w:rPr>
              <w:t>说明</w:t>
            </w:r>
          </w:p>
        </w:tc>
      </w:tr>
      <w:tr w14:paraId="09C22553">
        <w:tblPrEx>
          <w:tblCellMar>
            <w:top w:w="0" w:type="dxa"/>
            <w:left w:w="108" w:type="dxa"/>
            <w:bottom w:w="0" w:type="dxa"/>
            <w:right w:w="108" w:type="dxa"/>
          </w:tblCellMar>
        </w:tblPrEx>
        <w:tc>
          <w:tcPr>
            <w:tcW w:w="1984" w:type="dxa"/>
            <w:tcBorders>
              <w:top w:val="single" w:color="000000" w:sz="4" w:space="0"/>
              <w:left w:val="nil"/>
              <w:bottom w:val="nil"/>
              <w:right w:val="nil"/>
            </w:tcBorders>
            <w:shd w:val="clear" w:color="auto" w:fill="FFFFFF"/>
          </w:tcPr>
          <w:p w14:paraId="6BF68BFE">
            <w:pPr>
              <w:rPr>
                <w:b w:val="0"/>
                <w:color w:val="000000"/>
              </w:rPr>
            </w:pPr>
            <w:r>
              <w:rPr>
                <w:rFonts w:ascii="宋体" w:hAnsi="宋体" w:eastAsia="宋体"/>
                <w:b w:val="0"/>
                <w:color w:val="000000"/>
                <w:sz w:val="20"/>
              </w:rPr>
              <w:t>联盟赛事报名费</w:t>
            </w:r>
          </w:p>
        </w:tc>
        <w:tc>
          <w:tcPr>
            <w:tcW w:w="3402" w:type="dxa"/>
            <w:tcBorders>
              <w:top w:val="single" w:color="000000" w:sz="4" w:space="0"/>
              <w:left w:val="nil"/>
              <w:bottom w:val="nil"/>
              <w:right w:val="nil"/>
            </w:tcBorders>
            <w:shd w:val="clear" w:color="auto" w:fill="FFFFFF"/>
          </w:tcPr>
          <w:p w14:paraId="3CA06754">
            <w:pPr>
              <w:rPr>
                <w:b w:val="0"/>
                <w:color w:val="000000"/>
              </w:rPr>
            </w:pPr>
            <w:r>
              <w:rPr>
                <w:rFonts w:ascii="宋体" w:hAnsi="宋体" w:eastAsia="宋体"/>
                <w:b w:val="0"/>
                <w:color w:val="000000"/>
                <w:sz w:val="20"/>
              </w:rPr>
              <w:t>活动运营成本(奖品/物料/临时人工)</w:t>
            </w:r>
          </w:p>
        </w:tc>
        <w:tc>
          <w:tcPr>
            <w:tcW w:w="1417" w:type="dxa"/>
            <w:tcBorders>
              <w:top w:val="single" w:color="000000" w:sz="4" w:space="0"/>
              <w:left w:val="nil"/>
              <w:bottom w:val="nil"/>
              <w:right w:val="nil"/>
            </w:tcBorders>
            <w:shd w:val="clear" w:color="auto" w:fill="FFFFFF"/>
          </w:tcPr>
          <w:p w14:paraId="1FD45B8A">
            <w:pPr>
              <w:rPr>
                <w:b w:val="0"/>
                <w:color w:val="000000"/>
              </w:rPr>
            </w:pPr>
            <w:r>
              <w:rPr>
                <w:rFonts w:ascii="宋体" w:hAnsi="宋体" w:eastAsia="宋体"/>
                <w:b w:val="0"/>
                <w:color w:val="000000"/>
                <w:sz w:val="20"/>
              </w:rPr>
              <w:t>30%</w:t>
            </w:r>
          </w:p>
        </w:tc>
        <w:tc>
          <w:tcPr>
            <w:tcW w:w="2268" w:type="dxa"/>
            <w:tcBorders>
              <w:top w:val="single" w:color="000000" w:sz="4" w:space="0"/>
              <w:left w:val="nil"/>
              <w:bottom w:val="nil"/>
              <w:right w:val="nil"/>
            </w:tcBorders>
            <w:shd w:val="clear" w:color="auto" w:fill="FFFFFF"/>
          </w:tcPr>
          <w:p w14:paraId="741375B6">
            <w:pPr>
              <w:rPr>
                <w:b w:val="0"/>
                <w:color w:val="000000"/>
              </w:rPr>
            </w:pPr>
            <w:r>
              <w:rPr>
                <w:rFonts w:ascii="宋体" w:hAnsi="宋体" w:eastAsia="宋体"/>
                <w:b w:val="0"/>
                <w:color w:val="000000"/>
                <w:sz w:val="20"/>
              </w:rPr>
              <w:t>专项开支,据实列支</w:t>
            </w:r>
          </w:p>
        </w:tc>
      </w:tr>
      <w:tr w14:paraId="3C2E8A01">
        <w:tblPrEx>
          <w:tblCellMar>
            <w:top w:w="0" w:type="dxa"/>
            <w:left w:w="108" w:type="dxa"/>
            <w:bottom w:w="0" w:type="dxa"/>
            <w:right w:w="108" w:type="dxa"/>
          </w:tblCellMar>
        </w:tblPrEx>
        <w:tc>
          <w:tcPr>
            <w:tcW w:w="1984" w:type="dxa"/>
            <w:tcBorders>
              <w:top w:val="nil"/>
              <w:left w:val="nil"/>
              <w:bottom w:val="nil"/>
              <w:right w:val="nil"/>
            </w:tcBorders>
            <w:shd w:val="clear" w:color="auto" w:fill="FFFFFF"/>
          </w:tcPr>
          <w:p w14:paraId="40E6C56A">
            <w:pPr>
              <w:rPr>
                <w:b w:val="0"/>
                <w:color w:val="000000"/>
              </w:rPr>
            </w:pPr>
          </w:p>
        </w:tc>
        <w:tc>
          <w:tcPr>
            <w:tcW w:w="3402" w:type="dxa"/>
            <w:tcBorders>
              <w:top w:val="nil"/>
              <w:left w:val="nil"/>
              <w:bottom w:val="nil"/>
              <w:right w:val="nil"/>
            </w:tcBorders>
            <w:shd w:val="clear" w:color="auto" w:fill="FFFFFF"/>
          </w:tcPr>
          <w:p w14:paraId="55DE89BF">
            <w:pPr>
              <w:rPr>
                <w:b w:val="0"/>
                <w:color w:val="000000"/>
              </w:rPr>
            </w:pPr>
            <w:r>
              <w:rPr>
                <w:rFonts w:ascii="宋体" w:hAnsi="宋体" w:eastAsia="宋体"/>
                <w:b w:val="0"/>
                <w:color w:val="000000"/>
                <w:sz w:val="20"/>
              </w:rPr>
              <w:t>召集方杨家东庄村委会</w:t>
            </w:r>
          </w:p>
        </w:tc>
        <w:tc>
          <w:tcPr>
            <w:tcW w:w="1417" w:type="dxa"/>
            <w:tcBorders>
              <w:top w:val="nil"/>
              <w:left w:val="nil"/>
              <w:bottom w:val="nil"/>
              <w:right w:val="nil"/>
            </w:tcBorders>
            <w:shd w:val="clear" w:color="auto" w:fill="FFFFFF"/>
          </w:tcPr>
          <w:p w14:paraId="739B9672">
            <w:pPr>
              <w:rPr>
                <w:b w:val="0"/>
                <w:color w:val="000000"/>
              </w:rPr>
            </w:pPr>
            <w:r>
              <w:rPr>
                <w:rFonts w:ascii="宋体" w:hAnsi="宋体" w:eastAsia="宋体"/>
                <w:b w:val="0"/>
                <w:color w:val="000000"/>
                <w:sz w:val="20"/>
              </w:rPr>
              <w:t>25%</w:t>
            </w:r>
          </w:p>
        </w:tc>
        <w:tc>
          <w:tcPr>
            <w:tcW w:w="2268" w:type="dxa"/>
            <w:tcBorders>
              <w:top w:val="nil"/>
              <w:left w:val="nil"/>
              <w:bottom w:val="nil"/>
              <w:right w:val="nil"/>
            </w:tcBorders>
            <w:shd w:val="clear" w:color="auto" w:fill="FFFFFF"/>
          </w:tcPr>
          <w:p w14:paraId="75D1DCD4">
            <w:pPr>
              <w:rPr>
                <w:b w:val="0"/>
                <w:color w:val="000000"/>
              </w:rPr>
            </w:pPr>
            <w:r>
              <w:rPr>
                <w:rFonts w:ascii="宋体" w:hAnsi="宋体" w:eastAsia="宋体"/>
                <w:b w:val="0"/>
                <w:color w:val="000000"/>
                <w:sz w:val="20"/>
              </w:rPr>
              <w:t>品牌/召集/保障</w:t>
            </w:r>
          </w:p>
        </w:tc>
      </w:tr>
      <w:tr w14:paraId="1D685962">
        <w:tblPrEx>
          <w:tblCellMar>
            <w:top w:w="0" w:type="dxa"/>
            <w:left w:w="108" w:type="dxa"/>
            <w:bottom w:w="0" w:type="dxa"/>
            <w:right w:w="108" w:type="dxa"/>
          </w:tblCellMar>
        </w:tblPrEx>
        <w:tc>
          <w:tcPr>
            <w:tcW w:w="1984" w:type="dxa"/>
            <w:tcBorders>
              <w:top w:val="nil"/>
              <w:left w:val="nil"/>
              <w:bottom w:val="nil"/>
              <w:right w:val="nil"/>
            </w:tcBorders>
            <w:shd w:val="clear" w:color="auto" w:fill="FFFFFF"/>
          </w:tcPr>
          <w:p w14:paraId="55B05CC8">
            <w:pPr>
              <w:rPr>
                <w:b w:val="0"/>
                <w:color w:val="000000"/>
              </w:rPr>
            </w:pPr>
          </w:p>
        </w:tc>
        <w:tc>
          <w:tcPr>
            <w:tcW w:w="3402" w:type="dxa"/>
            <w:tcBorders>
              <w:top w:val="nil"/>
              <w:left w:val="nil"/>
              <w:bottom w:val="nil"/>
              <w:right w:val="nil"/>
            </w:tcBorders>
            <w:shd w:val="clear" w:color="auto" w:fill="FFFFFF"/>
          </w:tcPr>
          <w:p w14:paraId="26A1175F">
            <w:pPr>
              <w:rPr>
                <w:b w:val="0"/>
                <w:color w:val="000000"/>
              </w:rPr>
            </w:pPr>
            <w:r>
              <w:rPr>
                <w:rFonts w:ascii="宋体" w:hAnsi="宋体" w:eastAsia="宋体"/>
                <w:b w:val="0"/>
                <w:color w:val="000000"/>
                <w:sz w:val="20"/>
              </w:rPr>
              <w:t>沿途节点村平分</w:t>
            </w:r>
          </w:p>
        </w:tc>
        <w:tc>
          <w:tcPr>
            <w:tcW w:w="1417" w:type="dxa"/>
            <w:tcBorders>
              <w:top w:val="nil"/>
              <w:left w:val="nil"/>
              <w:bottom w:val="nil"/>
              <w:right w:val="nil"/>
            </w:tcBorders>
            <w:shd w:val="clear" w:color="auto" w:fill="FFFFFF"/>
          </w:tcPr>
          <w:p w14:paraId="1EAA3C39">
            <w:pPr>
              <w:rPr>
                <w:b w:val="0"/>
                <w:color w:val="000000"/>
              </w:rPr>
            </w:pPr>
            <w:r>
              <w:rPr>
                <w:rFonts w:ascii="宋体" w:hAnsi="宋体" w:eastAsia="宋体"/>
                <w:b w:val="0"/>
                <w:color w:val="000000"/>
                <w:sz w:val="20"/>
              </w:rPr>
              <w:t>45%</w:t>
            </w:r>
          </w:p>
        </w:tc>
        <w:tc>
          <w:tcPr>
            <w:tcW w:w="2268" w:type="dxa"/>
            <w:tcBorders>
              <w:top w:val="nil"/>
              <w:left w:val="nil"/>
              <w:bottom w:val="nil"/>
              <w:right w:val="nil"/>
            </w:tcBorders>
            <w:shd w:val="clear" w:color="auto" w:fill="FFFFFF"/>
          </w:tcPr>
          <w:p w14:paraId="1A4D50C9">
            <w:pPr>
              <w:rPr>
                <w:b w:val="0"/>
                <w:color w:val="000000"/>
              </w:rPr>
            </w:pPr>
            <w:r>
              <w:rPr>
                <w:rFonts w:ascii="宋体" w:hAnsi="宋体" w:eastAsia="宋体"/>
                <w:b w:val="0"/>
                <w:color w:val="000000"/>
                <w:sz w:val="20"/>
              </w:rPr>
              <w:t>3村参与每村15%,以此类推</w:t>
            </w:r>
          </w:p>
        </w:tc>
      </w:tr>
      <w:tr w14:paraId="39B7C601">
        <w:tblPrEx>
          <w:tblCellMar>
            <w:top w:w="0" w:type="dxa"/>
            <w:left w:w="108" w:type="dxa"/>
            <w:bottom w:w="0" w:type="dxa"/>
            <w:right w:w="108" w:type="dxa"/>
          </w:tblCellMar>
        </w:tblPrEx>
        <w:tc>
          <w:tcPr>
            <w:tcW w:w="1984" w:type="dxa"/>
            <w:tcBorders>
              <w:top w:val="nil"/>
              <w:left w:val="nil"/>
              <w:bottom w:val="nil"/>
              <w:right w:val="nil"/>
            </w:tcBorders>
            <w:shd w:val="clear" w:color="auto" w:fill="FFFFFF"/>
          </w:tcPr>
          <w:p w14:paraId="16C4257F">
            <w:pPr>
              <w:rPr>
                <w:b w:val="0"/>
                <w:color w:val="000000"/>
              </w:rPr>
            </w:pPr>
            <w:r>
              <w:rPr>
                <w:rFonts w:ascii="宋体" w:hAnsi="宋体" w:eastAsia="宋体"/>
                <w:b w:val="0"/>
                <w:color w:val="000000"/>
                <w:sz w:val="20"/>
              </w:rPr>
              <w:t>B端联盟定制订单</w:t>
            </w:r>
          </w:p>
        </w:tc>
        <w:tc>
          <w:tcPr>
            <w:tcW w:w="3402" w:type="dxa"/>
            <w:tcBorders>
              <w:top w:val="nil"/>
              <w:left w:val="nil"/>
              <w:bottom w:val="nil"/>
              <w:right w:val="nil"/>
            </w:tcBorders>
            <w:shd w:val="clear" w:color="auto" w:fill="FFFFFF"/>
          </w:tcPr>
          <w:p w14:paraId="2F27EFEC">
            <w:pPr>
              <w:rPr>
                <w:b w:val="0"/>
                <w:color w:val="000000"/>
              </w:rPr>
            </w:pPr>
            <w:r>
              <w:rPr>
                <w:rFonts w:ascii="宋体" w:hAnsi="宋体" w:eastAsia="宋体"/>
                <w:b w:val="0"/>
                <w:color w:val="000000"/>
                <w:sz w:val="20"/>
              </w:rPr>
              <w:t>实际服务承担村</w:t>
            </w:r>
          </w:p>
        </w:tc>
        <w:tc>
          <w:tcPr>
            <w:tcW w:w="1417" w:type="dxa"/>
            <w:tcBorders>
              <w:top w:val="nil"/>
              <w:left w:val="nil"/>
              <w:bottom w:val="nil"/>
              <w:right w:val="nil"/>
            </w:tcBorders>
            <w:shd w:val="clear" w:color="auto" w:fill="FFFFFF"/>
          </w:tcPr>
          <w:p w14:paraId="000A68D8">
            <w:pPr>
              <w:rPr>
                <w:b w:val="0"/>
                <w:color w:val="000000"/>
              </w:rPr>
            </w:pPr>
            <w:r>
              <w:rPr>
                <w:rFonts w:ascii="宋体" w:hAnsi="宋体" w:eastAsia="宋体"/>
                <w:b w:val="0"/>
                <w:color w:val="000000"/>
                <w:sz w:val="20"/>
              </w:rPr>
              <w:t>40%</w:t>
            </w:r>
          </w:p>
        </w:tc>
        <w:tc>
          <w:tcPr>
            <w:tcW w:w="2268" w:type="dxa"/>
            <w:tcBorders>
              <w:top w:val="nil"/>
              <w:left w:val="nil"/>
              <w:bottom w:val="nil"/>
              <w:right w:val="nil"/>
            </w:tcBorders>
            <w:shd w:val="clear" w:color="auto" w:fill="FFFFFF"/>
          </w:tcPr>
          <w:p w14:paraId="692A7FFC">
            <w:pPr>
              <w:rPr>
                <w:b w:val="0"/>
                <w:color w:val="000000"/>
              </w:rPr>
            </w:pPr>
            <w:r>
              <w:rPr>
                <w:rFonts w:ascii="宋体" w:hAnsi="宋体" w:eastAsia="宋体"/>
                <w:b w:val="0"/>
                <w:color w:val="000000"/>
                <w:sz w:val="20"/>
              </w:rPr>
              <w:t>承担餐饮/住宿/体验/非遗等实质服务的村</w:t>
            </w:r>
          </w:p>
        </w:tc>
      </w:tr>
      <w:tr w14:paraId="765AFA52">
        <w:tblPrEx>
          <w:tblCellMar>
            <w:top w:w="0" w:type="dxa"/>
            <w:left w:w="108" w:type="dxa"/>
            <w:bottom w:w="0" w:type="dxa"/>
            <w:right w:w="108" w:type="dxa"/>
          </w:tblCellMar>
        </w:tblPrEx>
        <w:tc>
          <w:tcPr>
            <w:tcW w:w="1984" w:type="dxa"/>
            <w:tcBorders>
              <w:top w:val="nil"/>
              <w:left w:val="nil"/>
              <w:bottom w:val="nil"/>
              <w:right w:val="nil"/>
            </w:tcBorders>
            <w:shd w:val="clear" w:color="auto" w:fill="FFFFFF"/>
          </w:tcPr>
          <w:p w14:paraId="271132B6">
            <w:pPr>
              <w:rPr>
                <w:b w:val="0"/>
                <w:color w:val="000000"/>
              </w:rPr>
            </w:pPr>
          </w:p>
        </w:tc>
        <w:tc>
          <w:tcPr>
            <w:tcW w:w="3402" w:type="dxa"/>
            <w:tcBorders>
              <w:top w:val="nil"/>
              <w:left w:val="nil"/>
              <w:bottom w:val="nil"/>
              <w:right w:val="nil"/>
            </w:tcBorders>
            <w:shd w:val="clear" w:color="auto" w:fill="FFFFFF"/>
          </w:tcPr>
          <w:p w14:paraId="4D67D0D3">
            <w:pPr>
              <w:rPr>
                <w:b w:val="0"/>
                <w:color w:val="000000"/>
              </w:rPr>
            </w:pPr>
            <w:r>
              <w:rPr>
                <w:rFonts w:ascii="宋体" w:hAnsi="宋体" w:eastAsia="宋体"/>
                <w:b w:val="0"/>
                <w:color w:val="000000"/>
                <w:sz w:val="20"/>
              </w:rPr>
              <w:t>路线设计与小程序支撑</w:t>
            </w:r>
          </w:p>
        </w:tc>
        <w:tc>
          <w:tcPr>
            <w:tcW w:w="1417" w:type="dxa"/>
            <w:tcBorders>
              <w:top w:val="nil"/>
              <w:left w:val="nil"/>
              <w:bottom w:val="nil"/>
              <w:right w:val="nil"/>
            </w:tcBorders>
            <w:shd w:val="clear" w:color="auto" w:fill="FFFFFF"/>
          </w:tcPr>
          <w:p w14:paraId="0EF74103">
            <w:pPr>
              <w:rPr>
                <w:b w:val="0"/>
                <w:color w:val="000000"/>
              </w:rPr>
            </w:pPr>
            <w:r>
              <w:rPr>
                <w:rFonts w:ascii="宋体" w:hAnsi="宋体" w:eastAsia="宋体"/>
                <w:b w:val="0"/>
                <w:color w:val="000000"/>
                <w:sz w:val="20"/>
              </w:rPr>
              <w:t>30%</w:t>
            </w:r>
          </w:p>
        </w:tc>
        <w:tc>
          <w:tcPr>
            <w:tcW w:w="2268" w:type="dxa"/>
            <w:tcBorders>
              <w:top w:val="nil"/>
              <w:left w:val="nil"/>
              <w:bottom w:val="nil"/>
              <w:right w:val="nil"/>
            </w:tcBorders>
            <w:shd w:val="clear" w:color="auto" w:fill="FFFFFF"/>
          </w:tcPr>
          <w:p w14:paraId="1DBE58B9">
            <w:pPr>
              <w:rPr>
                <w:b w:val="0"/>
                <w:color w:val="000000"/>
              </w:rPr>
            </w:pPr>
            <w:r>
              <w:rPr>
                <w:rFonts w:ascii="宋体" w:hAnsi="宋体" w:eastAsia="宋体"/>
                <w:b w:val="0"/>
                <w:color w:val="000000"/>
                <w:sz w:val="20"/>
              </w:rPr>
              <w:t>杨家东庄</w:t>
            </w:r>
          </w:p>
        </w:tc>
      </w:tr>
      <w:tr w14:paraId="0D940160">
        <w:tblPrEx>
          <w:tblCellMar>
            <w:top w:w="0" w:type="dxa"/>
            <w:left w:w="108" w:type="dxa"/>
            <w:bottom w:w="0" w:type="dxa"/>
            <w:right w:w="108" w:type="dxa"/>
          </w:tblCellMar>
        </w:tblPrEx>
        <w:tc>
          <w:tcPr>
            <w:tcW w:w="1984" w:type="dxa"/>
            <w:tcBorders>
              <w:top w:val="nil"/>
              <w:left w:val="nil"/>
              <w:bottom w:val="nil"/>
              <w:right w:val="nil"/>
            </w:tcBorders>
            <w:shd w:val="clear" w:color="auto" w:fill="FFFFFF"/>
          </w:tcPr>
          <w:p w14:paraId="13EDD17D">
            <w:pPr>
              <w:rPr>
                <w:b w:val="0"/>
                <w:color w:val="000000"/>
              </w:rPr>
            </w:pPr>
          </w:p>
        </w:tc>
        <w:tc>
          <w:tcPr>
            <w:tcW w:w="3402" w:type="dxa"/>
            <w:tcBorders>
              <w:top w:val="nil"/>
              <w:left w:val="nil"/>
              <w:bottom w:val="nil"/>
              <w:right w:val="nil"/>
            </w:tcBorders>
            <w:shd w:val="clear" w:color="auto" w:fill="FFFFFF"/>
          </w:tcPr>
          <w:p w14:paraId="4AAE957A">
            <w:pPr>
              <w:rPr>
                <w:b w:val="0"/>
                <w:color w:val="000000"/>
              </w:rPr>
            </w:pPr>
            <w:r>
              <w:rPr>
                <w:rFonts w:ascii="宋体" w:hAnsi="宋体" w:eastAsia="宋体"/>
                <w:b w:val="0"/>
                <w:color w:val="000000"/>
                <w:sz w:val="20"/>
              </w:rPr>
              <w:t>客户拓展与销售转化</w:t>
            </w:r>
          </w:p>
        </w:tc>
        <w:tc>
          <w:tcPr>
            <w:tcW w:w="1417" w:type="dxa"/>
            <w:tcBorders>
              <w:top w:val="nil"/>
              <w:left w:val="nil"/>
              <w:bottom w:val="nil"/>
              <w:right w:val="nil"/>
            </w:tcBorders>
            <w:shd w:val="clear" w:color="auto" w:fill="FFFFFF"/>
          </w:tcPr>
          <w:p w14:paraId="0DA1DC9B">
            <w:pPr>
              <w:rPr>
                <w:b w:val="0"/>
                <w:color w:val="000000"/>
              </w:rPr>
            </w:pPr>
            <w:r>
              <w:rPr>
                <w:rFonts w:ascii="宋体" w:hAnsi="宋体" w:eastAsia="宋体"/>
                <w:b w:val="0"/>
                <w:color w:val="000000"/>
                <w:sz w:val="20"/>
              </w:rPr>
              <w:t>20%</w:t>
            </w:r>
          </w:p>
        </w:tc>
        <w:tc>
          <w:tcPr>
            <w:tcW w:w="2268" w:type="dxa"/>
            <w:tcBorders>
              <w:top w:val="nil"/>
              <w:left w:val="nil"/>
              <w:bottom w:val="nil"/>
              <w:right w:val="nil"/>
            </w:tcBorders>
            <w:shd w:val="clear" w:color="auto" w:fill="FFFFFF"/>
          </w:tcPr>
          <w:p w14:paraId="2E28EF26">
            <w:pPr>
              <w:rPr>
                <w:b w:val="0"/>
                <w:color w:val="000000"/>
              </w:rPr>
            </w:pPr>
            <w:r>
              <w:rPr>
                <w:rFonts w:ascii="宋体" w:hAnsi="宋体" w:eastAsia="宋体"/>
                <w:b w:val="0"/>
                <w:color w:val="000000"/>
                <w:sz w:val="20"/>
              </w:rPr>
              <w:t>订单来源方(可能是任一村)</w:t>
            </w:r>
          </w:p>
        </w:tc>
      </w:tr>
      <w:tr w14:paraId="23484225">
        <w:tblPrEx>
          <w:tblCellMar>
            <w:top w:w="0" w:type="dxa"/>
            <w:left w:w="108" w:type="dxa"/>
            <w:bottom w:w="0" w:type="dxa"/>
            <w:right w:w="108" w:type="dxa"/>
          </w:tblCellMar>
        </w:tblPrEx>
        <w:tc>
          <w:tcPr>
            <w:tcW w:w="1984" w:type="dxa"/>
            <w:tcBorders>
              <w:top w:val="nil"/>
              <w:left w:val="nil"/>
              <w:bottom w:val="nil"/>
              <w:right w:val="nil"/>
            </w:tcBorders>
            <w:shd w:val="clear" w:color="auto" w:fill="FFFFFF"/>
          </w:tcPr>
          <w:p w14:paraId="231D54DF">
            <w:pPr>
              <w:rPr>
                <w:b w:val="0"/>
                <w:color w:val="000000"/>
              </w:rPr>
            </w:pPr>
          </w:p>
        </w:tc>
        <w:tc>
          <w:tcPr>
            <w:tcW w:w="3402" w:type="dxa"/>
            <w:tcBorders>
              <w:top w:val="nil"/>
              <w:left w:val="nil"/>
              <w:bottom w:val="nil"/>
              <w:right w:val="nil"/>
            </w:tcBorders>
            <w:shd w:val="clear" w:color="auto" w:fill="FFFFFF"/>
          </w:tcPr>
          <w:p w14:paraId="043BABAD">
            <w:pPr>
              <w:rPr>
                <w:b w:val="0"/>
                <w:color w:val="000000"/>
              </w:rPr>
            </w:pPr>
            <w:r>
              <w:rPr>
                <w:rFonts w:ascii="宋体" w:hAnsi="宋体" w:eastAsia="宋体"/>
                <w:b w:val="0"/>
                <w:color w:val="000000"/>
                <w:sz w:val="20"/>
              </w:rPr>
              <w:t>联盟共同池</w:t>
            </w:r>
          </w:p>
        </w:tc>
        <w:tc>
          <w:tcPr>
            <w:tcW w:w="1417" w:type="dxa"/>
            <w:tcBorders>
              <w:top w:val="nil"/>
              <w:left w:val="nil"/>
              <w:bottom w:val="nil"/>
              <w:right w:val="nil"/>
            </w:tcBorders>
            <w:shd w:val="clear" w:color="auto" w:fill="FFFFFF"/>
          </w:tcPr>
          <w:p w14:paraId="604B3E28">
            <w:pPr>
              <w:rPr>
                <w:b w:val="0"/>
                <w:color w:val="000000"/>
              </w:rPr>
            </w:pPr>
            <w:r>
              <w:rPr>
                <w:rFonts w:ascii="宋体" w:hAnsi="宋体" w:eastAsia="宋体"/>
                <w:b w:val="0"/>
                <w:color w:val="000000"/>
                <w:sz w:val="20"/>
              </w:rPr>
              <w:t>10%</w:t>
            </w:r>
          </w:p>
        </w:tc>
        <w:tc>
          <w:tcPr>
            <w:tcW w:w="2268" w:type="dxa"/>
            <w:tcBorders>
              <w:top w:val="nil"/>
              <w:left w:val="nil"/>
              <w:bottom w:val="nil"/>
              <w:right w:val="nil"/>
            </w:tcBorders>
            <w:shd w:val="clear" w:color="auto" w:fill="FFFFFF"/>
          </w:tcPr>
          <w:p w14:paraId="666B3209">
            <w:pPr>
              <w:rPr>
                <w:b w:val="0"/>
                <w:color w:val="000000"/>
              </w:rPr>
            </w:pPr>
            <w:r>
              <w:rPr>
                <w:rFonts w:ascii="宋体" w:hAnsi="宋体" w:eastAsia="宋体"/>
                <w:b w:val="0"/>
                <w:color w:val="000000"/>
                <w:sz w:val="20"/>
              </w:rPr>
              <w:t>用于品牌推广、基础建设兜底</w:t>
            </w:r>
          </w:p>
        </w:tc>
      </w:tr>
      <w:tr w14:paraId="529528D4">
        <w:tblPrEx>
          <w:tblCellMar>
            <w:top w:w="0" w:type="dxa"/>
            <w:left w:w="108" w:type="dxa"/>
            <w:bottom w:w="0" w:type="dxa"/>
            <w:right w:w="108" w:type="dxa"/>
          </w:tblCellMar>
        </w:tblPrEx>
        <w:tc>
          <w:tcPr>
            <w:tcW w:w="1984" w:type="dxa"/>
            <w:tcBorders>
              <w:top w:val="nil"/>
              <w:left w:val="nil"/>
              <w:bottom w:val="nil"/>
              <w:right w:val="nil"/>
            </w:tcBorders>
            <w:shd w:val="clear" w:color="auto" w:fill="FFFFFF"/>
          </w:tcPr>
          <w:p w14:paraId="4F019901">
            <w:pPr>
              <w:rPr>
                <w:b w:val="0"/>
                <w:color w:val="000000"/>
              </w:rPr>
            </w:pPr>
            <w:r>
              <w:rPr>
                <w:rFonts w:ascii="宋体" w:hAnsi="宋体" w:eastAsia="宋体"/>
                <w:b w:val="0"/>
                <w:color w:val="000000"/>
                <w:sz w:val="20"/>
              </w:rPr>
              <w:t>小程序导流订单</w:t>
            </w:r>
          </w:p>
        </w:tc>
        <w:tc>
          <w:tcPr>
            <w:tcW w:w="3402" w:type="dxa"/>
            <w:tcBorders>
              <w:top w:val="nil"/>
              <w:left w:val="nil"/>
              <w:bottom w:val="nil"/>
              <w:right w:val="nil"/>
            </w:tcBorders>
            <w:shd w:val="clear" w:color="auto" w:fill="FFFFFF"/>
          </w:tcPr>
          <w:p w14:paraId="583F8812">
            <w:pPr>
              <w:rPr>
                <w:b w:val="0"/>
                <w:color w:val="000000"/>
              </w:rPr>
            </w:pPr>
            <w:r>
              <w:rPr>
                <w:rFonts w:ascii="宋体" w:hAnsi="宋体" w:eastAsia="宋体"/>
                <w:b w:val="0"/>
                <w:color w:val="000000"/>
                <w:sz w:val="20"/>
              </w:rPr>
              <w:t>商家实收</w:t>
            </w:r>
          </w:p>
        </w:tc>
        <w:tc>
          <w:tcPr>
            <w:tcW w:w="1417" w:type="dxa"/>
            <w:tcBorders>
              <w:top w:val="nil"/>
              <w:left w:val="nil"/>
              <w:bottom w:val="nil"/>
              <w:right w:val="nil"/>
            </w:tcBorders>
            <w:shd w:val="clear" w:color="auto" w:fill="FFFFFF"/>
          </w:tcPr>
          <w:p w14:paraId="51FD21EA">
            <w:pPr>
              <w:rPr>
                <w:b w:val="0"/>
                <w:color w:val="000000"/>
              </w:rPr>
            </w:pPr>
            <w:r>
              <w:rPr>
                <w:rFonts w:ascii="宋体" w:hAnsi="宋体" w:eastAsia="宋体"/>
                <w:b w:val="0"/>
                <w:color w:val="000000"/>
                <w:sz w:val="20"/>
              </w:rPr>
              <w:t>95%</w:t>
            </w:r>
          </w:p>
        </w:tc>
        <w:tc>
          <w:tcPr>
            <w:tcW w:w="2268" w:type="dxa"/>
            <w:tcBorders>
              <w:top w:val="nil"/>
              <w:left w:val="nil"/>
              <w:bottom w:val="nil"/>
              <w:right w:val="nil"/>
            </w:tcBorders>
            <w:shd w:val="clear" w:color="auto" w:fill="FFFFFF"/>
          </w:tcPr>
          <w:p w14:paraId="793F0BFB">
            <w:pPr>
              <w:rPr>
                <w:b w:val="0"/>
                <w:color w:val="000000"/>
              </w:rPr>
            </w:pPr>
            <w:r>
              <w:rPr>
                <w:rFonts w:ascii="宋体" w:hAnsi="宋体" w:eastAsia="宋体"/>
                <w:b w:val="0"/>
                <w:color w:val="000000"/>
                <w:sz w:val="20"/>
              </w:rPr>
              <w:t>联盟村商家从小程序接单的实收</w:t>
            </w:r>
          </w:p>
        </w:tc>
      </w:tr>
      <w:tr w14:paraId="10D0A273">
        <w:tblPrEx>
          <w:tblCellMar>
            <w:top w:w="0" w:type="dxa"/>
            <w:left w:w="108" w:type="dxa"/>
            <w:bottom w:w="0" w:type="dxa"/>
            <w:right w:w="108" w:type="dxa"/>
          </w:tblCellMar>
        </w:tblPrEx>
        <w:tc>
          <w:tcPr>
            <w:tcW w:w="1984" w:type="dxa"/>
            <w:tcBorders>
              <w:top w:val="nil"/>
              <w:left w:val="nil"/>
              <w:bottom w:val="single" w:color="000000" w:sz="12" w:space="0"/>
              <w:right w:val="nil"/>
            </w:tcBorders>
            <w:shd w:val="clear" w:color="auto" w:fill="FFFFFF"/>
          </w:tcPr>
          <w:p w14:paraId="50540B0B">
            <w:pPr>
              <w:rPr>
                <w:b w:val="0"/>
                <w:color w:val="000000"/>
              </w:rPr>
            </w:pPr>
          </w:p>
        </w:tc>
        <w:tc>
          <w:tcPr>
            <w:tcW w:w="3402" w:type="dxa"/>
            <w:tcBorders>
              <w:top w:val="nil"/>
              <w:left w:val="nil"/>
              <w:bottom w:val="single" w:color="000000" w:sz="12" w:space="0"/>
              <w:right w:val="nil"/>
            </w:tcBorders>
            <w:shd w:val="clear" w:color="auto" w:fill="FFFFFF"/>
          </w:tcPr>
          <w:p w14:paraId="32F6B6D4">
            <w:pPr>
              <w:rPr>
                <w:b w:val="0"/>
                <w:color w:val="000000"/>
              </w:rPr>
            </w:pPr>
            <w:r>
              <w:rPr>
                <w:rFonts w:ascii="宋体" w:hAnsi="宋体" w:eastAsia="宋体"/>
                <w:b w:val="0"/>
                <w:color w:val="000000"/>
                <w:sz w:val="20"/>
              </w:rPr>
              <w:t>技术服务费</w:t>
            </w:r>
          </w:p>
        </w:tc>
        <w:tc>
          <w:tcPr>
            <w:tcW w:w="1417" w:type="dxa"/>
            <w:tcBorders>
              <w:top w:val="nil"/>
              <w:left w:val="nil"/>
              <w:bottom w:val="single" w:color="000000" w:sz="12" w:space="0"/>
              <w:right w:val="nil"/>
            </w:tcBorders>
            <w:shd w:val="clear" w:color="auto" w:fill="FFFFFF"/>
          </w:tcPr>
          <w:p w14:paraId="145821C5">
            <w:pPr>
              <w:rPr>
                <w:b w:val="0"/>
                <w:color w:val="000000"/>
              </w:rPr>
            </w:pPr>
            <w:r>
              <w:rPr>
                <w:rFonts w:ascii="宋体" w:hAnsi="宋体" w:eastAsia="宋体"/>
                <w:b w:val="0"/>
                <w:color w:val="000000"/>
                <w:sz w:val="20"/>
              </w:rPr>
              <w:t>5%</w:t>
            </w:r>
          </w:p>
        </w:tc>
        <w:tc>
          <w:tcPr>
            <w:tcW w:w="2268" w:type="dxa"/>
            <w:tcBorders>
              <w:top w:val="nil"/>
              <w:left w:val="nil"/>
              <w:bottom w:val="single" w:color="000000" w:sz="12" w:space="0"/>
              <w:right w:val="nil"/>
            </w:tcBorders>
            <w:shd w:val="clear" w:color="auto" w:fill="FFFFFF"/>
          </w:tcPr>
          <w:p w14:paraId="2DD3810E">
            <w:pPr>
              <w:rPr>
                <w:b w:val="0"/>
                <w:color w:val="000000"/>
              </w:rPr>
            </w:pPr>
            <w:r>
              <w:rPr>
                <w:rFonts w:ascii="宋体" w:hAnsi="宋体" w:eastAsia="宋体"/>
                <w:b w:val="0"/>
                <w:color w:val="000000"/>
                <w:sz w:val="20"/>
              </w:rPr>
              <w:t>返杨家东庄作为小程序运营方</w:t>
            </w:r>
          </w:p>
        </w:tc>
      </w:tr>
    </w:tbl>
    <w:p w14:paraId="1FB00CF3">
      <w:pPr>
        <w:pStyle w:val="4"/>
        <w:bidi w:val="0"/>
      </w:pPr>
      <w:bookmarkStart w:id="128" w:name="_Toc26601"/>
      <w:r>
        <w:t>6.9.4 实施路径:从双村试点到北片全域</w:t>
      </w:r>
      <w:bookmarkEnd w:id="128"/>
    </w:p>
    <w:p w14:paraId="2FE8092B">
      <w:pPr>
        <w:spacing w:after="80" w:line="360" w:lineRule="auto"/>
        <w:ind w:firstLine="440"/>
      </w:pPr>
      <w:r>
        <w:rPr>
          <w:rFonts w:ascii="宋体" w:hAnsi="宋体" w:eastAsia="宋体"/>
          <w:b w:val="0"/>
          <w:sz w:val="22"/>
        </w:rPr>
        <w:t>本项目不追求一次性签约多村,</w:t>
      </w:r>
      <w:r>
        <w:rPr>
          <w:rFonts w:ascii="宋体" w:hAnsi="宋体" w:eastAsia="宋体"/>
          <w:b w:val="0"/>
          <w:sz w:val="22"/>
          <w:highlight w:val="yellow"/>
        </w:rPr>
        <w:t>采取"先做出样板,再吸引加入"的策略</w:t>
      </w:r>
      <w:r>
        <w:rPr>
          <w:rFonts w:ascii="宋体" w:hAnsi="宋体" w:eastAsia="宋体"/>
          <w:b w:val="0"/>
          <w:sz w:val="22"/>
        </w:rPr>
        <w:t>,分三阶段推进。</w:t>
      </w:r>
    </w:p>
    <w:p w14:paraId="0A630791">
      <w:pPr>
        <w:spacing w:before="160" w:after="80"/>
      </w:pPr>
      <w:r>
        <w:rPr>
          <w:rFonts w:ascii="黑体" w:hAnsi="黑体" w:eastAsia="黑体"/>
          <w:b/>
          <w:sz w:val="24"/>
        </w:rPr>
        <w:t>(一)</w:t>
      </w:r>
      <w:r>
        <w:rPr>
          <w:rFonts w:ascii="黑体" w:hAnsi="黑体" w:eastAsia="黑体"/>
          <w:b/>
          <w:sz w:val="24"/>
          <w:highlight w:val="yellow"/>
        </w:rPr>
        <w:t>阶段一·铠甲村双村试点</w:t>
      </w:r>
      <w:r>
        <w:rPr>
          <w:rFonts w:ascii="黑体" w:hAnsi="黑体" w:eastAsia="黑体"/>
          <w:b/>
          <w:sz w:val="24"/>
        </w:rPr>
        <w:t>(Y1前6个月)</w:t>
      </w:r>
    </w:p>
    <w:p w14:paraId="57E4BBAF">
      <w:pPr>
        <w:pStyle w:val="13"/>
        <w:keepNext w:val="0"/>
        <w:keepLines w:val="0"/>
        <w:widowControl/>
        <w:suppressLineNumbers w:val="0"/>
        <w:shd w:val="clear" w:fill="FFFFFF"/>
        <w:spacing w:before="120" w:beforeAutospacing="0" w:after="120" w:afterAutospacing="0"/>
        <w:ind w:left="0" w:right="0" w:firstLine="0"/>
        <w:rPr>
          <w:rFonts w:hint="default" w:ascii="宋体" w:hAnsi="宋体" w:eastAsia="宋体" w:cstheme="minorBidi"/>
          <w:b/>
          <w:bCs/>
          <w:kern w:val="2"/>
          <w:sz w:val="22"/>
          <w:szCs w:val="24"/>
          <w:lang w:val="en-US" w:eastAsia="zh-CN" w:bidi="ar-SA"/>
          <w14:ligatures w14:val="standardContextual"/>
        </w:rPr>
      </w:pPr>
      <w:r>
        <w:rPr>
          <w:rFonts w:hint="default" w:ascii="宋体" w:hAnsi="宋体" w:eastAsia="宋体" w:cstheme="minorBidi"/>
          <w:b/>
          <w:bCs/>
          <w:kern w:val="2"/>
          <w:sz w:val="22"/>
          <w:szCs w:val="24"/>
          <w:highlight w:val="yellow"/>
          <w:lang w:val="en-US" w:eastAsia="zh-CN" w:bidi="ar-SA"/>
          <w14:ligatures w14:val="standardContextual"/>
        </w:rPr>
        <w:t>首期只与一家联盟村签约，优先选择铠甲村。</w:t>
      </w:r>
    </w:p>
    <w:p w14:paraId="2B17F201">
      <w:pPr>
        <w:pStyle w:val="13"/>
        <w:keepNext w:val="0"/>
        <w:keepLines w:val="0"/>
        <w:widowControl/>
        <w:suppressLineNumbers w:val="0"/>
        <w:shd w:val="clear" w:fill="FFFFFF"/>
        <w:spacing w:before="120" w:beforeAutospacing="0" w:after="120" w:afterAutospacing="0"/>
        <w:ind w:left="0" w:right="0" w:firstLine="0"/>
        <w:rPr>
          <w:rFonts w:ascii="宋体" w:hAnsi="宋体" w:eastAsia="宋体" w:cstheme="minorBidi"/>
          <w:b/>
          <w:bCs/>
          <w:kern w:val="2"/>
          <w:sz w:val="22"/>
          <w:szCs w:val="24"/>
          <w:lang w:val="en-US" w:eastAsia="zh-CN" w:bidi="ar-SA"/>
          <w14:ligatures w14:val="standardContextual"/>
        </w:rPr>
      </w:pPr>
      <w:r>
        <w:rPr>
          <w:rFonts w:hint="default" w:ascii="宋体" w:hAnsi="宋体" w:eastAsia="宋体" w:cstheme="minorBidi"/>
          <w:b/>
          <w:bCs/>
          <w:kern w:val="2"/>
          <w:sz w:val="22"/>
          <w:szCs w:val="24"/>
          <w:lang w:val="en-US" w:eastAsia="zh-CN" w:bidi="ar-SA"/>
          <w14:ligatures w14:val="standardContextual"/>
        </w:rPr>
        <w:t>理由：①非遗葫芦制作与樱桃形成文化互补；②已具备民宿餐饮接待能力，弥补杨家东庄村承接空缺；③不在一级水源保护区内，执行成本低。</w:t>
      </w:r>
    </w:p>
    <w:p w14:paraId="2AC442CD">
      <w:pPr>
        <w:pStyle w:val="13"/>
        <w:keepNext w:val="0"/>
        <w:keepLines w:val="0"/>
        <w:widowControl/>
        <w:suppressLineNumbers w:val="0"/>
        <w:shd w:val="clear" w:fill="FFFFFF"/>
        <w:spacing w:before="120" w:beforeAutospacing="0" w:after="120" w:afterAutospacing="0"/>
        <w:ind w:left="0" w:right="0" w:firstLine="0"/>
        <w:rPr>
          <w:rFonts w:hint="default" w:ascii="宋体" w:hAnsi="宋体" w:eastAsia="宋体" w:cstheme="minorBidi"/>
          <w:b w:val="0"/>
          <w:kern w:val="2"/>
          <w:sz w:val="22"/>
          <w:szCs w:val="24"/>
          <w:lang w:val="en-US" w:eastAsia="zh-CN" w:bidi="ar-SA"/>
          <w14:ligatures w14:val="standardContextual"/>
        </w:rPr>
      </w:pPr>
      <w:r>
        <w:rPr>
          <w:rFonts w:hint="default" w:ascii="宋体" w:hAnsi="宋体" w:eastAsia="宋体" w:cstheme="minorBidi"/>
          <w:b w:val="0"/>
          <w:kern w:val="2"/>
          <w:sz w:val="22"/>
          <w:szCs w:val="24"/>
          <w:lang w:val="en-US" w:eastAsia="zh-CN" w:bidi="ar-SA"/>
          <w14:ligatures w14:val="standardContextual"/>
        </w:rPr>
        <w:t>首款联盟产品为“樱桃+葫芦半日骑行”，定价168-298元/人。首半年目标：跑通3-5场活动，每场20-30人，验证两村是否愿意分钱、骑行者是否愿意买单、分润流程是否可执行。</w:t>
      </w:r>
    </w:p>
    <w:p w14:paraId="226455F4">
      <w:pPr>
        <w:spacing w:before="160" w:after="80"/>
      </w:pPr>
      <w:r>
        <w:rPr>
          <w:rFonts w:ascii="黑体" w:hAnsi="黑体" w:eastAsia="黑体"/>
          <w:b/>
          <w:sz w:val="24"/>
        </w:rPr>
        <w:t>(二)</w:t>
      </w:r>
      <w:r>
        <w:rPr>
          <w:rFonts w:ascii="黑体" w:hAnsi="黑体" w:eastAsia="黑体"/>
          <w:b/>
          <w:sz w:val="24"/>
          <w:highlight w:val="yellow"/>
        </w:rPr>
        <w:t>阶段二·秦家东庄拉入</w:t>
      </w:r>
      <w:r>
        <w:rPr>
          <w:rFonts w:ascii="黑体" w:hAnsi="黑体" w:eastAsia="黑体"/>
          <w:b/>
          <w:sz w:val="24"/>
        </w:rPr>
        <w:t>(Y1末至Y2初)</w:t>
      </w:r>
    </w:p>
    <w:p w14:paraId="65DAD4E5">
      <w:pPr>
        <w:spacing w:after="80" w:line="360" w:lineRule="auto"/>
      </w:pPr>
      <w:r>
        <w:rPr>
          <w:rFonts w:ascii="宋体" w:hAnsi="宋体" w:eastAsia="宋体"/>
          <w:b w:val="0"/>
          <w:sz w:val="22"/>
        </w:rPr>
        <w:t>秦家东庄是地理必经点,从骑行路线完整性而言不能缺席。</w:t>
      </w:r>
      <w:r>
        <w:rPr>
          <w:rFonts w:ascii="宋体" w:hAnsi="宋体" w:eastAsia="宋体"/>
          <w:b w:val="0"/>
          <w:sz w:val="22"/>
          <w:highlight w:val="yellow"/>
        </w:rPr>
        <w:t>在双村试点出成绩后,向秦家东庄扩展联盟。</w:t>
      </w:r>
      <w:r>
        <w:rPr>
          <w:rFonts w:ascii="宋体" w:hAnsi="宋体" w:eastAsia="宋体"/>
          <w:b w:val="0"/>
          <w:sz w:val="22"/>
        </w:rPr>
        <w:t>其资源相对薄弱,分成比例相应降低。联盟至此形成三村闭环,推出"一日深度骑行"升级产品,客单价上升至300—500元。</w:t>
      </w:r>
    </w:p>
    <w:p w14:paraId="4550BBE0">
      <w:pPr>
        <w:spacing w:before="160" w:after="80"/>
      </w:pPr>
      <w:r>
        <w:rPr>
          <w:rFonts w:ascii="黑体" w:hAnsi="黑体" w:eastAsia="黑体"/>
          <w:b/>
          <w:sz w:val="24"/>
        </w:rPr>
        <w:t>(三)</w:t>
      </w:r>
      <w:r>
        <w:rPr>
          <w:rFonts w:ascii="黑体" w:hAnsi="黑体" w:eastAsia="黑体"/>
          <w:b/>
          <w:sz w:val="24"/>
          <w:highlight w:val="yellow"/>
        </w:rPr>
        <w:t>阶段三·北片全域联盟</w:t>
      </w:r>
      <w:r>
        <w:rPr>
          <w:rFonts w:ascii="黑体" w:hAnsi="黑体" w:eastAsia="黑体"/>
          <w:b/>
          <w:sz w:val="24"/>
        </w:rPr>
        <w:t>(Y2—Y3)</w:t>
      </w:r>
    </w:p>
    <w:p w14:paraId="7C45E967">
      <w:pPr>
        <w:spacing w:after="80" w:line="360" w:lineRule="auto"/>
        <w:ind w:firstLine="440"/>
      </w:pPr>
      <w:r>
        <w:rPr>
          <w:rFonts w:ascii="宋体" w:hAnsi="宋体" w:eastAsia="宋体"/>
          <w:b w:val="0"/>
          <w:sz w:val="22"/>
          <w:highlight w:val="yellow"/>
        </w:rPr>
        <w:t>扩展至4—5个村,签订书面联盟协议,统一品牌视觉识别</w:t>
      </w:r>
      <w:r>
        <w:rPr>
          <w:rFonts w:ascii="宋体" w:hAnsi="宋体" w:eastAsia="宋体"/>
          <w:b w:val="0"/>
          <w:sz w:val="22"/>
        </w:rPr>
        <w:t>(Logo、指路牌、打卡桩、骑行海报模板),建立分级服务标准,争取镇政府与区文旅局的正式背书。同步推出年度旗舰赛事"北京水源地骑行挑战赛",目标每年两场,每场规模300—500人,争取进入怀柔区官方旅游推荐路线。</w:t>
      </w:r>
    </w:p>
    <w:p w14:paraId="7C210070">
      <w:pPr>
        <w:pStyle w:val="4"/>
        <w:bidi w:val="0"/>
      </w:pPr>
      <w:bookmarkStart w:id="129" w:name="_Toc32225"/>
      <w:r>
        <w:t>6.9.5 村书记与联盟村的顾虑应对</w:t>
      </w:r>
      <w:bookmarkEnd w:id="129"/>
    </w:p>
    <w:p w14:paraId="6EA72802">
      <w:pPr>
        <w:spacing w:after="80" w:line="360" w:lineRule="auto"/>
        <w:ind w:firstLine="440"/>
      </w:pPr>
      <w:r>
        <w:rPr>
          <w:rFonts w:ascii="宋体" w:hAnsi="宋体" w:eastAsia="宋体"/>
          <w:b w:val="0"/>
          <w:sz w:val="22"/>
        </w:rPr>
        <w:t>联盟机制的落地,核心不是技术设计,而是信任建立。实地调研中村书记反映的主要顾虑可以归纳为五类,本项目逐一给出应对策略。</w:t>
      </w:r>
    </w:p>
    <w:tbl>
      <w:tblPr>
        <w:tblStyle w:val="14"/>
        <w:tblW w:w="0" w:type="auto"/>
        <w:tblInd w:w="0" w:type="dxa"/>
        <w:tblLayout w:type="autofit"/>
        <w:tblCellMar>
          <w:top w:w="0" w:type="dxa"/>
          <w:left w:w="108" w:type="dxa"/>
          <w:bottom w:w="0" w:type="dxa"/>
          <w:right w:w="108" w:type="dxa"/>
        </w:tblCellMar>
      </w:tblPr>
      <w:tblGrid>
        <w:gridCol w:w="2940"/>
        <w:gridCol w:w="5582"/>
      </w:tblGrid>
      <w:tr w14:paraId="1D824296">
        <w:tblPrEx>
          <w:tblCellMar>
            <w:top w:w="0" w:type="dxa"/>
            <w:left w:w="108" w:type="dxa"/>
            <w:bottom w:w="0" w:type="dxa"/>
            <w:right w:w="108" w:type="dxa"/>
          </w:tblCellMar>
        </w:tblPrEx>
        <w:tc>
          <w:tcPr>
            <w:tcW w:w="3118" w:type="dxa"/>
            <w:tcBorders>
              <w:top w:val="single" w:color="000000" w:sz="12" w:space="0"/>
              <w:left w:val="nil"/>
              <w:bottom w:val="single" w:color="000000" w:sz="4" w:space="0"/>
              <w:right w:val="nil"/>
              <w:tl2br w:val="nil"/>
            </w:tcBorders>
            <w:shd w:val="clear" w:color="auto" w:fill="FFFFFF"/>
          </w:tcPr>
          <w:p w14:paraId="0E1242A7">
            <w:pPr>
              <w:jc w:val="center"/>
              <w:rPr>
                <w:b w:val="0"/>
                <w:color w:val="000000"/>
              </w:rPr>
            </w:pPr>
            <w:r>
              <w:rPr>
                <w:rFonts w:ascii="黑体" w:hAnsi="黑体" w:eastAsia="黑体"/>
                <w:b w:val="0"/>
                <w:color w:val="000000"/>
                <w:sz w:val="20"/>
              </w:rPr>
              <w:t>顾虑</w:t>
            </w:r>
          </w:p>
        </w:tc>
        <w:tc>
          <w:tcPr>
            <w:tcW w:w="5953" w:type="dxa"/>
            <w:tcBorders>
              <w:top w:val="single" w:color="000000" w:sz="12" w:space="0"/>
              <w:left w:val="nil"/>
              <w:bottom w:val="single" w:color="000000" w:sz="4" w:space="0"/>
              <w:right w:val="nil"/>
            </w:tcBorders>
            <w:shd w:val="clear" w:color="auto" w:fill="FFFFFF"/>
          </w:tcPr>
          <w:p w14:paraId="776D939B">
            <w:pPr>
              <w:jc w:val="center"/>
              <w:rPr>
                <w:b w:val="0"/>
                <w:color w:val="000000"/>
              </w:rPr>
            </w:pPr>
            <w:r>
              <w:rPr>
                <w:rFonts w:ascii="黑体" w:hAnsi="黑体" w:eastAsia="黑体"/>
                <w:b w:val="0"/>
                <w:color w:val="000000"/>
                <w:sz w:val="20"/>
              </w:rPr>
              <w:t>应对策略</w:t>
            </w:r>
          </w:p>
        </w:tc>
      </w:tr>
      <w:tr w14:paraId="0888B111">
        <w:tblPrEx>
          <w:tblCellMar>
            <w:top w:w="0" w:type="dxa"/>
            <w:left w:w="108" w:type="dxa"/>
            <w:bottom w:w="0" w:type="dxa"/>
            <w:right w:w="108" w:type="dxa"/>
          </w:tblCellMar>
        </w:tblPrEx>
        <w:tc>
          <w:tcPr>
            <w:tcW w:w="3118" w:type="dxa"/>
            <w:tcBorders>
              <w:top w:val="single" w:color="000000" w:sz="4" w:space="0"/>
              <w:left w:val="nil"/>
              <w:bottom w:val="nil"/>
              <w:right w:val="nil"/>
            </w:tcBorders>
            <w:shd w:val="clear" w:color="auto" w:fill="FFFFFF"/>
          </w:tcPr>
          <w:p w14:paraId="1196B804">
            <w:pPr>
              <w:rPr>
                <w:b w:val="0"/>
                <w:color w:val="000000"/>
              </w:rPr>
            </w:pPr>
            <w:r>
              <w:rPr>
                <w:rFonts w:ascii="宋体" w:hAnsi="宋体" w:eastAsia="宋体"/>
                <w:b w:val="0"/>
                <w:color w:val="000000"/>
                <w:sz w:val="20"/>
              </w:rPr>
              <w:t>镇里都没正式开会,我们凭什么能推动</w:t>
            </w:r>
          </w:p>
        </w:tc>
        <w:tc>
          <w:tcPr>
            <w:tcW w:w="5953" w:type="dxa"/>
            <w:tcBorders>
              <w:top w:val="single" w:color="000000" w:sz="4" w:space="0"/>
              <w:left w:val="nil"/>
              <w:bottom w:val="nil"/>
              <w:right w:val="nil"/>
            </w:tcBorders>
            <w:shd w:val="clear" w:color="auto" w:fill="FFFFFF"/>
          </w:tcPr>
          <w:p w14:paraId="53B6C5D3">
            <w:pPr>
              <w:rPr>
                <w:b w:val="0"/>
                <w:color w:val="000000"/>
              </w:rPr>
            </w:pPr>
            <w:r>
              <w:rPr>
                <w:rFonts w:ascii="宋体" w:hAnsi="宋体" w:eastAsia="宋体"/>
                <w:b w:val="0"/>
                <w:color w:val="000000"/>
                <w:sz w:val="20"/>
              </w:rPr>
              <w:t>不等镇里开会,先把工具(小程序)与内容(路线+品牌)做出来,各村是否加入由其自主决定,事实先于协议</w:t>
            </w:r>
          </w:p>
        </w:tc>
      </w:tr>
      <w:tr w14:paraId="33808E57">
        <w:tblPrEx>
          <w:tblCellMar>
            <w:top w:w="0" w:type="dxa"/>
            <w:left w:w="108" w:type="dxa"/>
            <w:bottom w:w="0" w:type="dxa"/>
            <w:right w:w="108" w:type="dxa"/>
          </w:tblCellMar>
        </w:tblPrEx>
        <w:tc>
          <w:tcPr>
            <w:tcW w:w="3118" w:type="dxa"/>
            <w:tcBorders>
              <w:top w:val="nil"/>
              <w:left w:val="nil"/>
              <w:bottom w:val="nil"/>
              <w:right w:val="nil"/>
            </w:tcBorders>
            <w:shd w:val="clear" w:color="auto" w:fill="FFFFFF"/>
          </w:tcPr>
          <w:p w14:paraId="0BAED84E">
            <w:pPr>
              <w:rPr>
                <w:b w:val="0"/>
                <w:color w:val="000000"/>
              </w:rPr>
            </w:pPr>
            <w:r>
              <w:rPr>
                <w:rFonts w:ascii="宋体" w:hAnsi="宋体" w:eastAsia="宋体"/>
                <w:b w:val="0"/>
                <w:color w:val="000000"/>
                <w:sz w:val="20"/>
              </w:rPr>
              <w:t>其他村会不会蹭品牌不分钱</w:t>
            </w:r>
          </w:p>
        </w:tc>
        <w:tc>
          <w:tcPr>
            <w:tcW w:w="5953" w:type="dxa"/>
            <w:tcBorders>
              <w:top w:val="nil"/>
              <w:left w:val="nil"/>
              <w:bottom w:val="nil"/>
              <w:right w:val="nil"/>
            </w:tcBorders>
            <w:shd w:val="clear" w:color="auto" w:fill="FFFFFF"/>
          </w:tcPr>
          <w:p w14:paraId="44E098D9">
            <w:pPr>
              <w:rPr>
                <w:b w:val="0"/>
                <w:color w:val="000000"/>
              </w:rPr>
            </w:pPr>
            <w:r>
              <w:rPr>
                <w:rFonts w:ascii="宋体" w:hAnsi="宋体" w:eastAsia="宋体"/>
                <w:b w:val="0"/>
                <w:color w:val="000000"/>
                <w:sz w:val="20"/>
              </w:rPr>
              <w:t>分级加盟:基础加盟仅挂节点免费,参与分成需签协议并履行服务标准</w:t>
            </w:r>
          </w:p>
        </w:tc>
      </w:tr>
      <w:tr w14:paraId="60DC2119">
        <w:tblPrEx>
          <w:tblCellMar>
            <w:top w:w="0" w:type="dxa"/>
            <w:left w:w="108" w:type="dxa"/>
            <w:bottom w:w="0" w:type="dxa"/>
            <w:right w:w="108" w:type="dxa"/>
          </w:tblCellMar>
        </w:tblPrEx>
        <w:tc>
          <w:tcPr>
            <w:tcW w:w="3118" w:type="dxa"/>
            <w:tcBorders>
              <w:top w:val="nil"/>
              <w:left w:val="nil"/>
              <w:bottom w:val="nil"/>
              <w:right w:val="nil"/>
            </w:tcBorders>
            <w:shd w:val="clear" w:color="auto" w:fill="FFFFFF"/>
          </w:tcPr>
          <w:p w14:paraId="499A872F">
            <w:pPr>
              <w:rPr>
                <w:b w:val="0"/>
                <w:color w:val="000000"/>
              </w:rPr>
            </w:pPr>
            <w:r>
              <w:rPr>
                <w:rFonts w:ascii="宋体" w:hAnsi="宋体" w:eastAsia="宋体"/>
                <w:b w:val="0"/>
                <w:color w:val="000000"/>
                <w:sz w:val="20"/>
              </w:rPr>
              <w:t>利益分配谈不拢怎么办</w:t>
            </w:r>
          </w:p>
        </w:tc>
        <w:tc>
          <w:tcPr>
            <w:tcW w:w="5953" w:type="dxa"/>
            <w:tcBorders>
              <w:top w:val="nil"/>
              <w:left w:val="nil"/>
              <w:bottom w:val="nil"/>
              <w:right w:val="nil"/>
            </w:tcBorders>
            <w:shd w:val="clear" w:color="auto" w:fill="FFFFFF"/>
          </w:tcPr>
          <w:p w14:paraId="131A46AE">
            <w:pPr>
              <w:rPr>
                <w:b w:val="0"/>
                <w:color w:val="000000"/>
              </w:rPr>
            </w:pPr>
            <w:r>
              <w:rPr>
                <w:rFonts w:ascii="宋体" w:hAnsi="宋体" w:eastAsia="宋体"/>
                <w:b w:val="0"/>
                <w:color w:val="000000"/>
                <w:sz w:val="20"/>
              </w:rPr>
              <w:t>首年不强求多村,只做双村试点,拿真实数据说话再谈扩展</w:t>
            </w:r>
          </w:p>
        </w:tc>
      </w:tr>
      <w:tr w14:paraId="7ED01505">
        <w:tblPrEx>
          <w:tblCellMar>
            <w:top w:w="0" w:type="dxa"/>
            <w:left w:w="108" w:type="dxa"/>
            <w:bottom w:w="0" w:type="dxa"/>
            <w:right w:w="108" w:type="dxa"/>
          </w:tblCellMar>
        </w:tblPrEx>
        <w:tc>
          <w:tcPr>
            <w:tcW w:w="3118" w:type="dxa"/>
            <w:tcBorders>
              <w:top w:val="nil"/>
              <w:left w:val="nil"/>
              <w:bottom w:val="nil"/>
              <w:right w:val="nil"/>
            </w:tcBorders>
            <w:shd w:val="clear" w:color="auto" w:fill="FFFFFF"/>
          </w:tcPr>
          <w:p w14:paraId="3E8DF3A7">
            <w:pPr>
              <w:rPr>
                <w:b w:val="0"/>
                <w:color w:val="000000"/>
              </w:rPr>
            </w:pPr>
            <w:r>
              <w:rPr>
                <w:rFonts w:ascii="宋体" w:hAnsi="宋体" w:eastAsia="宋体"/>
                <w:b w:val="0"/>
                <w:color w:val="000000"/>
                <w:sz w:val="20"/>
              </w:rPr>
              <w:t>数据为什么给杨家东庄</w:t>
            </w:r>
          </w:p>
        </w:tc>
        <w:tc>
          <w:tcPr>
            <w:tcW w:w="5953" w:type="dxa"/>
            <w:tcBorders>
              <w:top w:val="nil"/>
              <w:left w:val="nil"/>
              <w:bottom w:val="nil"/>
              <w:right w:val="nil"/>
            </w:tcBorders>
            <w:shd w:val="clear" w:color="auto" w:fill="FFFFFF"/>
          </w:tcPr>
          <w:p w14:paraId="400E07DC">
            <w:pPr>
              <w:rPr>
                <w:b w:val="0"/>
                <w:color w:val="000000"/>
              </w:rPr>
            </w:pPr>
            <w:r>
              <w:rPr>
                <w:rFonts w:ascii="宋体" w:hAnsi="宋体" w:eastAsia="宋体"/>
                <w:b w:val="0"/>
                <w:color w:val="000000"/>
                <w:sz w:val="20"/>
              </w:rPr>
              <w:t>小程序后台完全由本项目团队运营,其他村仅是节点接入方,底层数据议价权是杨家东庄不让渡的核心资产</w:t>
            </w:r>
          </w:p>
        </w:tc>
      </w:tr>
      <w:tr w14:paraId="59E201AB">
        <w:tblPrEx>
          <w:tblCellMar>
            <w:top w:w="0" w:type="dxa"/>
            <w:left w:w="108" w:type="dxa"/>
            <w:bottom w:w="0" w:type="dxa"/>
            <w:right w:w="108" w:type="dxa"/>
          </w:tblCellMar>
        </w:tblPrEx>
        <w:tc>
          <w:tcPr>
            <w:tcW w:w="3118" w:type="dxa"/>
            <w:tcBorders>
              <w:top w:val="nil"/>
              <w:left w:val="nil"/>
              <w:bottom w:val="single" w:color="000000" w:sz="12" w:space="0"/>
              <w:right w:val="nil"/>
            </w:tcBorders>
            <w:shd w:val="clear" w:color="auto" w:fill="FFFFFF"/>
          </w:tcPr>
          <w:p w14:paraId="59B3502B">
            <w:pPr>
              <w:rPr>
                <w:b w:val="0"/>
                <w:color w:val="000000"/>
              </w:rPr>
            </w:pPr>
            <w:r>
              <w:rPr>
                <w:rFonts w:ascii="宋体" w:hAnsi="宋体" w:eastAsia="宋体"/>
                <w:b w:val="0"/>
                <w:color w:val="000000"/>
                <w:sz w:val="20"/>
              </w:rPr>
              <w:t>出了安全事故谁负责</w:t>
            </w:r>
          </w:p>
        </w:tc>
        <w:tc>
          <w:tcPr>
            <w:tcW w:w="5953" w:type="dxa"/>
            <w:tcBorders>
              <w:top w:val="nil"/>
              <w:left w:val="nil"/>
              <w:bottom w:val="single" w:color="000000" w:sz="12" w:space="0"/>
              <w:right w:val="nil"/>
            </w:tcBorders>
            <w:shd w:val="clear" w:color="auto" w:fill="FFFFFF"/>
          </w:tcPr>
          <w:p w14:paraId="0B35F096">
            <w:pPr>
              <w:rPr>
                <w:b w:val="0"/>
                <w:color w:val="000000"/>
              </w:rPr>
            </w:pPr>
            <w:r>
              <w:rPr>
                <w:rFonts w:ascii="宋体" w:hAnsi="宋体" w:eastAsia="宋体"/>
                <w:b w:val="0"/>
                <w:color w:val="000000"/>
                <w:sz w:val="20"/>
              </w:rPr>
              <w:t>联盟协议明确写入:骑行者自负风险并强制投保,各村对各自境内安全负责,联盟共同池兜底</w:t>
            </w:r>
          </w:p>
        </w:tc>
      </w:tr>
    </w:tbl>
    <w:p w14:paraId="2270467A">
      <w:pPr>
        <w:spacing w:after="120"/>
      </w:pPr>
    </w:p>
    <w:p w14:paraId="37DDCEFE">
      <w:pPr>
        <w:pStyle w:val="4"/>
        <w:bidi w:val="0"/>
      </w:pPr>
      <w:bookmarkStart w:id="130" w:name="_Toc18355"/>
      <w:r>
        <w:t>6.9.6 联盟收益测算</w:t>
      </w:r>
      <w:bookmarkEnd w:id="130"/>
    </w:p>
    <w:tbl>
      <w:tblPr>
        <w:tblStyle w:val="14"/>
        <w:tblW w:w="0" w:type="auto"/>
        <w:tblInd w:w="0" w:type="dxa"/>
        <w:tblLayout w:type="autofit"/>
        <w:tblCellMar>
          <w:top w:w="0" w:type="dxa"/>
          <w:left w:w="108" w:type="dxa"/>
          <w:bottom w:w="0" w:type="dxa"/>
          <w:right w:w="108" w:type="dxa"/>
        </w:tblCellMar>
      </w:tblPr>
      <w:tblGrid>
        <w:gridCol w:w="3636"/>
        <w:gridCol w:w="1635"/>
        <w:gridCol w:w="1635"/>
        <w:gridCol w:w="1616"/>
      </w:tblGrid>
      <w:tr w14:paraId="03652A77">
        <w:tblPrEx>
          <w:tblCellMar>
            <w:top w:w="0" w:type="dxa"/>
            <w:left w:w="108" w:type="dxa"/>
            <w:bottom w:w="0" w:type="dxa"/>
            <w:right w:w="108" w:type="dxa"/>
          </w:tblCellMar>
        </w:tblPrEx>
        <w:tc>
          <w:tcPr>
            <w:tcW w:w="3969" w:type="dxa"/>
            <w:tcBorders>
              <w:top w:val="single" w:color="000000" w:sz="12" w:space="0"/>
              <w:left w:val="nil"/>
              <w:bottom w:val="single" w:color="000000" w:sz="4" w:space="0"/>
              <w:right w:val="nil"/>
              <w:tl2br w:val="nil"/>
            </w:tcBorders>
            <w:shd w:val="clear" w:color="auto" w:fill="FFFFFF"/>
          </w:tcPr>
          <w:p w14:paraId="1F6BB2DE">
            <w:pPr>
              <w:jc w:val="center"/>
              <w:rPr>
                <w:b w:val="0"/>
                <w:color w:val="000000"/>
              </w:rPr>
            </w:pPr>
            <w:r>
              <w:rPr>
                <w:rFonts w:ascii="黑体" w:hAnsi="黑体" w:eastAsia="黑体"/>
                <w:b w:val="0"/>
                <w:color w:val="000000"/>
                <w:sz w:val="20"/>
              </w:rPr>
              <w:t>收入项</w:t>
            </w:r>
          </w:p>
        </w:tc>
        <w:tc>
          <w:tcPr>
            <w:tcW w:w="1701" w:type="dxa"/>
            <w:tcBorders>
              <w:top w:val="single" w:color="000000" w:sz="12" w:space="0"/>
              <w:left w:val="nil"/>
              <w:bottom w:val="single" w:color="000000" w:sz="4" w:space="0"/>
              <w:right w:val="nil"/>
            </w:tcBorders>
            <w:shd w:val="clear" w:color="auto" w:fill="FFFFFF"/>
          </w:tcPr>
          <w:p w14:paraId="32AA64A9">
            <w:pPr>
              <w:jc w:val="center"/>
              <w:rPr>
                <w:b w:val="0"/>
                <w:color w:val="000000"/>
              </w:rPr>
            </w:pPr>
            <w:r>
              <w:rPr>
                <w:rFonts w:ascii="黑体" w:hAnsi="黑体" w:eastAsia="黑体"/>
                <w:b w:val="0"/>
                <w:color w:val="000000"/>
                <w:sz w:val="20"/>
              </w:rPr>
              <w:t>Y1(万元)</w:t>
            </w:r>
          </w:p>
        </w:tc>
        <w:tc>
          <w:tcPr>
            <w:tcW w:w="1701" w:type="dxa"/>
            <w:tcBorders>
              <w:top w:val="single" w:color="000000" w:sz="12" w:space="0"/>
              <w:left w:val="nil"/>
              <w:bottom w:val="single" w:color="000000" w:sz="4" w:space="0"/>
              <w:right w:val="nil"/>
            </w:tcBorders>
            <w:shd w:val="clear" w:color="auto" w:fill="FFFFFF"/>
          </w:tcPr>
          <w:p w14:paraId="73243F35">
            <w:pPr>
              <w:jc w:val="center"/>
              <w:rPr>
                <w:b w:val="0"/>
                <w:color w:val="000000"/>
              </w:rPr>
            </w:pPr>
            <w:r>
              <w:rPr>
                <w:rFonts w:ascii="黑体" w:hAnsi="黑体" w:eastAsia="黑体"/>
                <w:b w:val="0"/>
                <w:color w:val="000000"/>
                <w:sz w:val="20"/>
              </w:rPr>
              <w:t>Y2(万元)</w:t>
            </w:r>
          </w:p>
        </w:tc>
        <w:tc>
          <w:tcPr>
            <w:tcW w:w="1701" w:type="dxa"/>
            <w:tcBorders>
              <w:top w:val="single" w:color="000000" w:sz="12" w:space="0"/>
              <w:left w:val="nil"/>
              <w:bottom w:val="single" w:color="000000" w:sz="4" w:space="0"/>
              <w:right w:val="nil"/>
            </w:tcBorders>
            <w:shd w:val="clear" w:color="auto" w:fill="FFFFFF"/>
          </w:tcPr>
          <w:p w14:paraId="321B7C65">
            <w:pPr>
              <w:jc w:val="center"/>
              <w:rPr>
                <w:b w:val="0"/>
                <w:color w:val="000000"/>
              </w:rPr>
            </w:pPr>
            <w:r>
              <w:rPr>
                <w:rFonts w:ascii="黑体" w:hAnsi="黑体" w:eastAsia="黑体"/>
                <w:b w:val="0"/>
                <w:color w:val="000000"/>
                <w:sz w:val="20"/>
              </w:rPr>
              <w:t>Y3(万元)</w:t>
            </w:r>
          </w:p>
        </w:tc>
      </w:tr>
      <w:tr w14:paraId="0434361B">
        <w:tblPrEx>
          <w:tblCellMar>
            <w:top w:w="0" w:type="dxa"/>
            <w:left w:w="108" w:type="dxa"/>
            <w:bottom w:w="0" w:type="dxa"/>
            <w:right w:w="108" w:type="dxa"/>
          </w:tblCellMar>
        </w:tblPrEx>
        <w:tc>
          <w:tcPr>
            <w:tcW w:w="3969" w:type="dxa"/>
            <w:tcBorders>
              <w:top w:val="single" w:color="000000" w:sz="4" w:space="0"/>
              <w:left w:val="nil"/>
              <w:bottom w:val="nil"/>
              <w:right w:val="nil"/>
            </w:tcBorders>
            <w:shd w:val="clear" w:color="auto" w:fill="FFFFFF"/>
          </w:tcPr>
          <w:p w14:paraId="5D627F1B">
            <w:pPr>
              <w:rPr>
                <w:b w:val="0"/>
                <w:color w:val="000000"/>
              </w:rPr>
            </w:pPr>
            <w:r>
              <w:rPr>
                <w:rFonts w:ascii="宋体" w:hAnsi="宋体" w:eastAsia="宋体"/>
                <w:b w:val="0"/>
                <w:color w:val="000000"/>
                <w:sz w:val="20"/>
              </w:rPr>
              <w:t>联盟赛事分成(杨家东庄)</w:t>
            </w:r>
          </w:p>
        </w:tc>
        <w:tc>
          <w:tcPr>
            <w:tcW w:w="1701" w:type="dxa"/>
            <w:tcBorders>
              <w:top w:val="single" w:color="000000" w:sz="4" w:space="0"/>
              <w:left w:val="nil"/>
              <w:bottom w:val="nil"/>
              <w:right w:val="nil"/>
            </w:tcBorders>
            <w:shd w:val="clear" w:color="auto" w:fill="FFFFFF"/>
          </w:tcPr>
          <w:p w14:paraId="7369029B">
            <w:pPr>
              <w:rPr>
                <w:b w:val="0"/>
                <w:color w:val="000000"/>
              </w:rPr>
            </w:pPr>
            <w:r>
              <w:rPr>
                <w:rFonts w:ascii="宋体" w:hAnsi="宋体" w:eastAsia="宋体"/>
                <w:b w:val="0"/>
                <w:color w:val="000000"/>
                <w:sz w:val="20"/>
              </w:rPr>
              <w:t>0.3—0.5</w:t>
            </w:r>
          </w:p>
        </w:tc>
        <w:tc>
          <w:tcPr>
            <w:tcW w:w="1701" w:type="dxa"/>
            <w:tcBorders>
              <w:top w:val="single" w:color="000000" w:sz="4" w:space="0"/>
              <w:left w:val="nil"/>
              <w:bottom w:val="nil"/>
              <w:right w:val="nil"/>
            </w:tcBorders>
            <w:shd w:val="clear" w:color="auto" w:fill="FFFFFF"/>
          </w:tcPr>
          <w:p w14:paraId="176ED8E1">
            <w:pPr>
              <w:rPr>
                <w:b w:val="0"/>
                <w:color w:val="000000"/>
              </w:rPr>
            </w:pPr>
            <w:r>
              <w:rPr>
                <w:rFonts w:ascii="宋体" w:hAnsi="宋体" w:eastAsia="宋体"/>
                <w:b w:val="0"/>
                <w:color w:val="000000"/>
                <w:sz w:val="20"/>
              </w:rPr>
              <w:t>1.5—2.5</w:t>
            </w:r>
          </w:p>
        </w:tc>
        <w:tc>
          <w:tcPr>
            <w:tcW w:w="1701" w:type="dxa"/>
            <w:tcBorders>
              <w:top w:val="single" w:color="000000" w:sz="4" w:space="0"/>
              <w:left w:val="nil"/>
              <w:bottom w:val="nil"/>
              <w:right w:val="nil"/>
            </w:tcBorders>
            <w:shd w:val="clear" w:color="auto" w:fill="FFFFFF"/>
          </w:tcPr>
          <w:p w14:paraId="48823346">
            <w:pPr>
              <w:rPr>
                <w:b w:val="0"/>
                <w:color w:val="000000"/>
              </w:rPr>
            </w:pPr>
            <w:r>
              <w:rPr>
                <w:rFonts w:ascii="宋体" w:hAnsi="宋体" w:eastAsia="宋体"/>
                <w:b w:val="0"/>
                <w:color w:val="000000"/>
                <w:sz w:val="20"/>
              </w:rPr>
              <w:t>3—5</w:t>
            </w:r>
          </w:p>
        </w:tc>
      </w:tr>
      <w:tr w14:paraId="3633E32A">
        <w:tblPrEx>
          <w:tblCellMar>
            <w:top w:w="0" w:type="dxa"/>
            <w:left w:w="108" w:type="dxa"/>
            <w:bottom w:w="0" w:type="dxa"/>
            <w:right w:w="108" w:type="dxa"/>
          </w:tblCellMar>
        </w:tblPrEx>
        <w:tc>
          <w:tcPr>
            <w:tcW w:w="3969" w:type="dxa"/>
            <w:tcBorders>
              <w:top w:val="nil"/>
              <w:left w:val="nil"/>
              <w:bottom w:val="nil"/>
              <w:right w:val="nil"/>
            </w:tcBorders>
            <w:shd w:val="clear" w:color="auto" w:fill="FFFFFF"/>
          </w:tcPr>
          <w:p w14:paraId="5FF776B8">
            <w:pPr>
              <w:rPr>
                <w:b w:val="0"/>
                <w:color w:val="000000"/>
              </w:rPr>
            </w:pPr>
            <w:r>
              <w:rPr>
                <w:rFonts w:ascii="宋体" w:hAnsi="宋体" w:eastAsia="宋体"/>
                <w:b w:val="0"/>
                <w:color w:val="000000"/>
                <w:sz w:val="20"/>
              </w:rPr>
              <w:t>B端联盟订单分成</w:t>
            </w:r>
          </w:p>
        </w:tc>
        <w:tc>
          <w:tcPr>
            <w:tcW w:w="1701" w:type="dxa"/>
            <w:tcBorders>
              <w:top w:val="nil"/>
              <w:left w:val="nil"/>
              <w:bottom w:val="nil"/>
              <w:right w:val="nil"/>
            </w:tcBorders>
            <w:shd w:val="clear" w:color="auto" w:fill="FFFFFF"/>
          </w:tcPr>
          <w:p w14:paraId="7634896E">
            <w:pPr>
              <w:rPr>
                <w:b w:val="0"/>
                <w:color w:val="000000"/>
              </w:rPr>
            </w:pPr>
            <w:r>
              <w:rPr>
                <w:rFonts w:ascii="宋体" w:hAnsi="宋体" w:eastAsia="宋体"/>
                <w:b w:val="0"/>
                <w:color w:val="000000"/>
                <w:sz w:val="20"/>
              </w:rPr>
              <w:t>1—2</w:t>
            </w:r>
          </w:p>
        </w:tc>
        <w:tc>
          <w:tcPr>
            <w:tcW w:w="1701" w:type="dxa"/>
            <w:tcBorders>
              <w:top w:val="nil"/>
              <w:left w:val="nil"/>
              <w:bottom w:val="nil"/>
              <w:right w:val="nil"/>
            </w:tcBorders>
            <w:shd w:val="clear" w:color="auto" w:fill="FFFFFF"/>
          </w:tcPr>
          <w:p w14:paraId="37701099">
            <w:pPr>
              <w:rPr>
                <w:b w:val="0"/>
                <w:color w:val="000000"/>
              </w:rPr>
            </w:pPr>
            <w:r>
              <w:rPr>
                <w:rFonts w:ascii="宋体" w:hAnsi="宋体" w:eastAsia="宋体"/>
                <w:b w:val="0"/>
                <w:color w:val="000000"/>
                <w:sz w:val="20"/>
              </w:rPr>
              <w:t>3—5</w:t>
            </w:r>
          </w:p>
        </w:tc>
        <w:tc>
          <w:tcPr>
            <w:tcW w:w="1701" w:type="dxa"/>
            <w:tcBorders>
              <w:top w:val="nil"/>
              <w:left w:val="nil"/>
              <w:bottom w:val="nil"/>
              <w:right w:val="nil"/>
            </w:tcBorders>
            <w:shd w:val="clear" w:color="auto" w:fill="FFFFFF"/>
          </w:tcPr>
          <w:p w14:paraId="21628FFF">
            <w:pPr>
              <w:rPr>
                <w:b w:val="0"/>
                <w:color w:val="000000"/>
              </w:rPr>
            </w:pPr>
            <w:r>
              <w:rPr>
                <w:rFonts w:ascii="宋体" w:hAnsi="宋体" w:eastAsia="宋体"/>
                <w:b w:val="0"/>
                <w:color w:val="000000"/>
                <w:sz w:val="20"/>
              </w:rPr>
              <w:t>6—10</w:t>
            </w:r>
          </w:p>
        </w:tc>
      </w:tr>
      <w:tr w14:paraId="65E86CDC">
        <w:tblPrEx>
          <w:tblCellMar>
            <w:top w:w="0" w:type="dxa"/>
            <w:left w:w="108" w:type="dxa"/>
            <w:bottom w:w="0" w:type="dxa"/>
            <w:right w:w="108" w:type="dxa"/>
          </w:tblCellMar>
        </w:tblPrEx>
        <w:tc>
          <w:tcPr>
            <w:tcW w:w="3969" w:type="dxa"/>
            <w:tcBorders>
              <w:top w:val="nil"/>
              <w:left w:val="nil"/>
              <w:bottom w:val="nil"/>
              <w:right w:val="nil"/>
            </w:tcBorders>
            <w:shd w:val="clear" w:color="auto" w:fill="FFFFFF"/>
          </w:tcPr>
          <w:p w14:paraId="012BF1A0">
            <w:pPr>
              <w:rPr>
                <w:b w:val="0"/>
                <w:color w:val="000000"/>
              </w:rPr>
            </w:pPr>
            <w:r>
              <w:rPr>
                <w:rFonts w:ascii="宋体" w:hAnsi="宋体" w:eastAsia="宋体"/>
                <w:b w:val="0"/>
                <w:color w:val="000000"/>
                <w:sz w:val="20"/>
              </w:rPr>
              <w:t>小程序导流技术服务费</w:t>
            </w:r>
          </w:p>
        </w:tc>
        <w:tc>
          <w:tcPr>
            <w:tcW w:w="1701" w:type="dxa"/>
            <w:tcBorders>
              <w:top w:val="nil"/>
              <w:left w:val="nil"/>
              <w:bottom w:val="nil"/>
              <w:right w:val="nil"/>
            </w:tcBorders>
            <w:shd w:val="clear" w:color="auto" w:fill="FFFFFF"/>
          </w:tcPr>
          <w:p w14:paraId="0580E84A">
            <w:pPr>
              <w:rPr>
                <w:b w:val="0"/>
                <w:color w:val="000000"/>
              </w:rPr>
            </w:pPr>
            <w:r>
              <w:rPr>
                <w:rFonts w:ascii="宋体" w:hAnsi="宋体" w:eastAsia="宋体"/>
                <w:b w:val="0"/>
                <w:color w:val="000000"/>
                <w:sz w:val="20"/>
              </w:rPr>
              <w:t>0.2—0.5</w:t>
            </w:r>
          </w:p>
        </w:tc>
        <w:tc>
          <w:tcPr>
            <w:tcW w:w="1701" w:type="dxa"/>
            <w:tcBorders>
              <w:top w:val="nil"/>
              <w:left w:val="nil"/>
              <w:bottom w:val="nil"/>
              <w:right w:val="nil"/>
            </w:tcBorders>
            <w:shd w:val="clear" w:color="auto" w:fill="FFFFFF"/>
          </w:tcPr>
          <w:p w14:paraId="4708D10C">
            <w:pPr>
              <w:rPr>
                <w:b w:val="0"/>
                <w:color w:val="000000"/>
              </w:rPr>
            </w:pPr>
            <w:r>
              <w:rPr>
                <w:rFonts w:ascii="宋体" w:hAnsi="宋体" w:eastAsia="宋体"/>
                <w:b w:val="0"/>
                <w:color w:val="000000"/>
                <w:sz w:val="20"/>
              </w:rPr>
              <w:t>1—2</w:t>
            </w:r>
          </w:p>
        </w:tc>
        <w:tc>
          <w:tcPr>
            <w:tcW w:w="1701" w:type="dxa"/>
            <w:tcBorders>
              <w:top w:val="nil"/>
              <w:left w:val="nil"/>
              <w:bottom w:val="nil"/>
              <w:right w:val="nil"/>
            </w:tcBorders>
            <w:shd w:val="clear" w:color="auto" w:fill="FFFFFF"/>
          </w:tcPr>
          <w:p w14:paraId="445982FF">
            <w:pPr>
              <w:rPr>
                <w:b w:val="0"/>
                <w:color w:val="000000"/>
              </w:rPr>
            </w:pPr>
            <w:r>
              <w:rPr>
                <w:rFonts w:ascii="宋体" w:hAnsi="宋体" w:eastAsia="宋体"/>
                <w:b w:val="0"/>
                <w:color w:val="000000"/>
                <w:sz w:val="20"/>
              </w:rPr>
              <w:t>2—4</w:t>
            </w:r>
          </w:p>
        </w:tc>
      </w:tr>
      <w:tr w14:paraId="7EACF53D">
        <w:tblPrEx>
          <w:tblCellMar>
            <w:top w:w="0" w:type="dxa"/>
            <w:left w:w="108" w:type="dxa"/>
            <w:bottom w:w="0" w:type="dxa"/>
            <w:right w:w="108" w:type="dxa"/>
          </w:tblCellMar>
        </w:tblPrEx>
        <w:tc>
          <w:tcPr>
            <w:tcW w:w="3969" w:type="dxa"/>
            <w:tcBorders>
              <w:top w:val="nil"/>
              <w:left w:val="nil"/>
              <w:bottom w:val="single" w:color="000000" w:sz="12" w:space="0"/>
              <w:right w:val="nil"/>
            </w:tcBorders>
            <w:shd w:val="clear" w:color="auto" w:fill="FFFFFF"/>
          </w:tcPr>
          <w:p w14:paraId="0C551AA7">
            <w:pPr>
              <w:rPr>
                <w:b w:val="0"/>
                <w:color w:val="000000"/>
              </w:rPr>
            </w:pPr>
            <w:r>
              <w:rPr>
                <w:rFonts w:ascii="宋体" w:hAnsi="宋体" w:eastAsia="宋体"/>
                <w:b w:val="0"/>
                <w:color w:val="000000"/>
                <w:sz w:val="20"/>
              </w:rPr>
              <w:t>合计</w:t>
            </w:r>
          </w:p>
        </w:tc>
        <w:tc>
          <w:tcPr>
            <w:tcW w:w="1701" w:type="dxa"/>
            <w:tcBorders>
              <w:top w:val="nil"/>
              <w:left w:val="nil"/>
              <w:bottom w:val="single" w:color="000000" w:sz="12" w:space="0"/>
              <w:right w:val="nil"/>
            </w:tcBorders>
            <w:shd w:val="clear" w:color="auto" w:fill="FFFFFF"/>
          </w:tcPr>
          <w:p w14:paraId="064A99E8">
            <w:pPr>
              <w:rPr>
                <w:b w:val="0"/>
                <w:color w:val="000000"/>
              </w:rPr>
            </w:pPr>
            <w:r>
              <w:rPr>
                <w:rFonts w:ascii="宋体" w:hAnsi="宋体" w:eastAsia="宋体"/>
                <w:b w:val="0"/>
                <w:color w:val="000000"/>
                <w:sz w:val="20"/>
              </w:rPr>
              <w:t>1.5—3.0</w:t>
            </w:r>
          </w:p>
        </w:tc>
        <w:tc>
          <w:tcPr>
            <w:tcW w:w="1701" w:type="dxa"/>
            <w:tcBorders>
              <w:top w:val="nil"/>
              <w:left w:val="nil"/>
              <w:bottom w:val="single" w:color="000000" w:sz="12" w:space="0"/>
              <w:right w:val="nil"/>
            </w:tcBorders>
            <w:shd w:val="clear" w:color="auto" w:fill="FFFFFF"/>
          </w:tcPr>
          <w:p w14:paraId="75FE0C82">
            <w:pPr>
              <w:rPr>
                <w:b w:val="0"/>
                <w:color w:val="000000"/>
              </w:rPr>
            </w:pPr>
            <w:r>
              <w:rPr>
                <w:rFonts w:ascii="宋体" w:hAnsi="宋体" w:eastAsia="宋体"/>
                <w:b w:val="0"/>
                <w:color w:val="000000"/>
                <w:sz w:val="20"/>
              </w:rPr>
              <w:t>5.5—9.5</w:t>
            </w:r>
          </w:p>
        </w:tc>
        <w:tc>
          <w:tcPr>
            <w:tcW w:w="1701" w:type="dxa"/>
            <w:tcBorders>
              <w:top w:val="nil"/>
              <w:left w:val="nil"/>
              <w:bottom w:val="single" w:color="000000" w:sz="12" w:space="0"/>
              <w:right w:val="nil"/>
            </w:tcBorders>
            <w:shd w:val="clear" w:color="auto" w:fill="FFFFFF"/>
          </w:tcPr>
          <w:p w14:paraId="371A6E82">
            <w:pPr>
              <w:rPr>
                <w:b w:val="0"/>
                <w:color w:val="000000"/>
              </w:rPr>
            </w:pPr>
            <w:r>
              <w:rPr>
                <w:rFonts w:ascii="宋体" w:hAnsi="宋体" w:eastAsia="宋体"/>
                <w:b w:val="0"/>
                <w:color w:val="000000"/>
                <w:sz w:val="20"/>
              </w:rPr>
              <w:t>11—19</w:t>
            </w:r>
          </w:p>
        </w:tc>
      </w:tr>
    </w:tbl>
    <w:p w14:paraId="08583516">
      <w:pPr>
        <w:spacing w:after="80" w:line="360" w:lineRule="auto"/>
        <w:ind w:firstLine="440" w:firstLineChars="200"/>
        <w:rPr>
          <w:rFonts w:hint="eastAsia" w:eastAsia="宋体"/>
          <w:lang w:eastAsia="zh-CN"/>
        </w:rPr>
      </w:pPr>
      <w:r>
        <w:rPr>
          <w:rFonts w:ascii="宋体" w:hAnsi="宋体" w:eastAsia="宋体"/>
          <w:b w:val="0"/>
          <w:sz w:val="22"/>
        </w:rPr>
        <w:t>联盟板块的直接财务贡献Y3约为11—19万元。数字本身不大,但联盟机制的真正价值不在年度分成金额,而在于它把杨家东庄从单一樱桃村升级为北片区域的组织者和品牌输出方,这一角色所携带的政策资源、媒体关注和乡村示范村评定机会,是难以用金额度量的无形资产</w:t>
      </w:r>
      <w:r>
        <w:rPr>
          <w:rFonts w:hint="eastAsia" w:ascii="宋体" w:hAnsi="宋体" w:eastAsia="宋体"/>
          <w:b w:val="0"/>
          <w:sz w:val="22"/>
          <w:lang w:eastAsia="zh-CN"/>
        </w:rPr>
        <w:t>。</w:t>
      </w:r>
    </w:p>
    <w:p w14:paraId="54AF7602">
      <w:pPr>
        <w:rPr>
          <w:rFonts w:hint="eastAsia" w:ascii="宋体" w:hAnsi="宋体" w:eastAsia="宋体" w:cs="宋体"/>
          <w:sz w:val="24"/>
          <w:szCs w:val="24"/>
        </w:rPr>
      </w:pPr>
    </w:p>
    <w:p w14:paraId="0CB3EFE2">
      <w:pPr>
        <w:pStyle w:val="2"/>
        <w:bidi w:val="0"/>
        <w:rPr>
          <w:rFonts w:hint="eastAsia"/>
          <w:lang w:val="en-US" w:eastAsia="zh-CN"/>
        </w:rPr>
      </w:pPr>
      <w:bookmarkStart w:id="131" w:name="_Toc9402"/>
      <w:r>
        <w:rPr>
          <w:rFonts w:hint="eastAsia"/>
          <w:lang w:val="en-US" w:eastAsia="zh-CN"/>
        </w:rPr>
        <w:t>第七章 场景体验体系建设</w:t>
      </w:r>
      <w:bookmarkEnd w:id="131"/>
    </w:p>
    <w:p w14:paraId="4AB68D81">
      <w:pPr>
        <w:pStyle w:val="3"/>
        <w:bidi w:val="0"/>
        <w:rPr>
          <w:rFonts w:hint="eastAsia"/>
          <w:lang w:val="en-US" w:eastAsia="zh-CN"/>
        </w:rPr>
      </w:pPr>
      <w:bookmarkStart w:id="132" w:name="_Toc1311"/>
      <w:r>
        <w:rPr>
          <w:rFonts w:hint="eastAsia"/>
          <w:lang w:val="en-US" w:eastAsia="zh-CN"/>
        </w:rPr>
        <w:t>7.1 场景设计逻辑</w:t>
      </w:r>
      <w:bookmarkEnd w:id="132"/>
    </w:p>
    <w:p w14:paraId="20BA52B7">
      <w:pPr>
        <w:spacing w:after="160" w:line="278" w:lineRule="auto"/>
        <w:ind w:firstLine="440" w:firstLineChars="200"/>
        <w:jc w:val="left"/>
        <w:rPr>
          <w:rFonts w:hint="eastAsia"/>
        </w:rPr>
      </w:pPr>
      <w:r>
        <w:rPr>
          <w:rFonts w:hint="eastAsia"/>
        </w:rPr>
        <w:t>本项目场景体验体系以</w:t>
      </w:r>
      <w:r>
        <w:rPr>
          <w:rFonts w:hint="eastAsia"/>
          <w:b/>
          <w:bCs/>
        </w:rPr>
        <w:t>客群需求为核心、资源禀赋为基础、价值增值</w:t>
      </w:r>
      <w:r>
        <w:rPr>
          <w:rFonts w:hint="eastAsia"/>
        </w:rPr>
        <w:t>为目标，突破传统乡村旅游“资源导向型”开发模式，构建“需求牵引—资源匹配—场景落地—流量转化—数据反哺”的闭环式场景设计逻辑。通过精准匹配目标客群的消费偏好、出行特征与体验诉求，将樱桃种植、水源生态、骑行运动、乡村度假等分散资源，整合为</w:t>
      </w:r>
      <w:r>
        <w:rPr>
          <w:rFonts w:hint="eastAsia"/>
          <w:highlight w:val="yellow"/>
        </w:rPr>
        <w:t>沉浸式、主题化、高附加值</w:t>
      </w:r>
      <w:r>
        <w:rPr>
          <w:rFonts w:hint="eastAsia"/>
        </w:rPr>
        <w:t>的体验场景，实现游客停留时长显著延长、客单价稳步提升、复购意愿持续增强的核心目标。场景设计严格遵循一级水源保护区生态保护底线，采用</w:t>
      </w:r>
      <w:r>
        <w:rPr>
          <w:rFonts w:hint="eastAsia"/>
          <w:b/>
          <w:bCs/>
        </w:rPr>
        <w:t>轻改造、低扰动、可循环</w:t>
      </w:r>
      <w:r>
        <w:rPr>
          <w:rFonts w:hint="eastAsia"/>
        </w:rPr>
        <w:t>的建设原则，所有场景均依托现有建筑、道路与空间载体优化升级，不新增永久性建设项目、不突破环境承载容量，在严守生态红线的前提下最大化释放资源价值，形成“</w:t>
      </w:r>
      <w:r>
        <w:rPr>
          <w:rFonts w:hint="eastAsia"/>
          <w:highlight w:val="yellow"/>
        </w:rPr>
        <w:t>生态保护与体验增值</w:t>
      </w:r>
      <w:r>
        <w:rPr>
          <w:rFonts w:hint="eastAsia"/>
        </w:rPr>
        <w:t>”协同发展的良性格局。</w:t>
      </w:r>
    </w:p>
    <w:p w14:paraId="451D2023">
      <w:pPr>
        <w:spacing w:before="120" w:after="120" w:line="288" w:lineRule="auto"/>
        <w:ind w:left="0"/>
        <w:jc w:val="left"/>
        <w:rPr>
          <w:rFonts w:hint="eastAsia"/>
        </w:rPr>
      </w:pPr>
    </w:p>
    <w:p w14:paraId="2996337A">
      <w:pPr>
        <w:pStyle w:val="3"/>
        <w:bidi w:val="0"/>
        <w:rPr>
          <w:rFonts w:hint="eastAsia"/>
          <w:lang w:val="en-US" w:eastAsia="zh-CN"/>
        </w:rPr>
      </w:pPr>
      <w:bookmarkStart w:id="133" w:name="_Toc18612"/>
      <w:r>
        <w:rPr>
          <w:rFonts w:hint="eastAsia"/>
          <w:lang w:val="en-US" w:eastAsia="zh-CN"/>
        </w:rPr>
        <w:t>7.2 客群画像与产品匹配矩阵</w:t>
      </w:r>
      <w:bookmarkEnd w:id="133"/>
    </w:p>
    <w:p w14:paraId="432D01E9">
      <w:pPr>
        <w:spacing w:after="160" w:line="278" w:lineRule="auto"/>
        <w:ind w:firstLine="440" w:firstLineChars="200"/>
        <w:jc w:val="left"/>
        <w:rPr>
          <w:rFonts w:hint="eastAsia"/>
        </w:rPr>
      </w:pPr>
      <w:r>
        <w:rPr>
          <w:rFonts w:hint="eastAsia"/>
        </w:rPr>
        <w:t>基于项目STP定位与市场调研数据，将核心客群划分为</w:t>
      </w:r>
      <w:r>
        <w:rPr>
          <w:rFonts w:hint="eastAsia"/>
          <w:b/>
          <w:bCs/>
          <w:highlight w:val="yellow"/>
        </w:rPr>
        <w:t>城市白领休闲客群、家庭亲子客群、高端商务/企业客群、内容创作博主客群、研学教育团体客群</w:t>
      </w:r>
      <w:r>
        <w:rPr>
          <w:rFonts w:hint="eastAsia"/>
        </w:rPr>
        <w:t>五大类型，结合不同客群的核心诉求、消费能力、停留时长，构建精准化产品匹配矩阵，实现“一类客群、一套方案、多元体验、分层定价”。通过</w:t>
      </w:r>
      <w:r>
        <w:rPr>
          <w:rFonts w:hint="eastAsia"/>
          <w:b/>
          <w:bCs/>
        </w:rPr>
        <w:t>精准匹配</w:t>
      </w:r>
      <w:r>
        <w:rPr>
          <w:rFonts w:hint="eastAsia"/>
        </w:rPr>
        <w:t>，实现客群分层运营与体验价值最大化，避免同质化体验供给。</w:t>
      </w:r>
    </w:p>
    <w:p w14:paraId="27EA9BC9">
      <w:pPr>
        <w:spacing w:after="160" w:line="278" w:lineRule="auto"/>
        <w:ind w:firstLine="442" w:firstLineChars="200"/>
        <w:jc w:val="center"/>
        <w:rPr>
          <w:rFonts w:hint="default" w:eastAsia="宋体"/>
          <w:b/>
          <w:bCs/>
          <w:lang w:val="en-US" w:eastAsia="zh-CN"/>
        </w:rPr>
      </w:pPr>
      <w:r>
        <w:rPr>
          <w:rFonts w:hint="eastAsia"/>
          <w:b/>
          <w:bCs/>
          <w:lang w:val="en-US" w:eastAsia="zh-CN"/>
        </w:rPr>
        <w:t>表7-2 产品匹配矩阵</w:t>
      </w:r>
    </w:p>
    <w:tbl>
      <w:tblPr>
        <w:tblStyle w:val="14"/>
        <w:tblW w:w="9231" w:type="dxa"/>
        <w:tblInd w:w="-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505"/>
        <w:gridCol w:w="3288"/>
        <w:gridCol w:w="4438"/>
      </w:tblGrid>
      <w:tr w14:paraId="7E018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1505" w:type="dxa"/>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0C0319AD">
            <w:pPr>
              <w:spacing w:after="160" w:line="278" w:lineRule="auto"/>
              <w:jc w:val="left"/>
              <w:rPr>
                <w:rFonts w:hint="eastAsia"/>
              </w:rPr>
            </w:pPr>
            <w:r>
              <w:rPr>
                <w:rFonts w:hint="default"/>
                <w:lang w:val="en-US" w:eastAsia="zh-CN"/>
              </w:rPr>
              <w:t>客群</w:t>
            </w:r>
          </w:p>
        </w:tc>
        <w:tc>
          <w:tcPr>
            <w:tcW w:w="3288"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787A113D">
            <w:pPr>
              <w:spacing w:after="160" w:line="278" w:lineRule="auto"/>
              <w:ind w:firstLine="440" w:firstLineChars="200"/>
              <w:jc w:val="left"/>
              <w:rPr>
                <w:rFonts w:hint="default"/>
              </w:rPr>
            </w:pPr>
            <w:r>
              <w:rPr>
                <w:rFonts w:hint="default"/>
                <w:lang w:val="en-US" w:eastAsia="zh-CN"/>
              </w:rPr>
              <w:t>核心需求</w:t>
            </w:r>
          </w:p>
        </w:tc>
        <w:tc>
          <w:tcPr>
            <w:tcW w:w="4438"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3BC27F2C">
            <w:pPr>
              <w:spacing w:after="160" w:line="278" w:lineRule="auto"/>
              <w:ind w:firstLine="440" w:firstLineChars="200"/>
              <w:jc w:val="left"/>
              <w:rPr>
                <w:rFonts w:hint="default"/>
              </w:rPr>
            </w:pPr>
            <w:r>
              <w:rPr>
                <w:rFonts w:hint="default"/>
                <w:lang w:val="en-US" w:eastAsia="zh-CN"/>
              </w:rPr>
              <w:t>匹配产品/内容</w:t>
            </w:r>
          </w:p>
        </w:tc>
      </w:tr>
      <w:tr w14:paraId="7FD70A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05" w:type="dxa"/>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0AF7EE47">
            <w:pPr>
              <w:spacing w:after="160" w:line="278" w:lineRule="auto"/>
              <w:jc w:val="left"/>
              <w:rPr>
                <w:rFonts w:hint="default"/>
              </w:rPr>
            </w:pPr>
            <w:r>
              <w:rPr>
                <w:rFonts w:hint="default"/>
                <w:lang w:val="en-US" w:eastAsia="zh-CN"/>
              </w:rPr>
              <w:t>城市白领</w:t>
            </w:r>
          </w:p>
        </w:tc>
        <w:tc>
          <w:tcPr>
            <w:tcW w:w="3288" w:type="dxa"/>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4794E7B2">
            <w:pPr>
              <w:spacing w:after="160" w:line="278" w:lineRule="auto"/>
              <w:jc w:val="left"/>
              <w:rPr>
                <w:rFonts w:hint="default"/>
              </w:rPr>
            </w:pPr>
            <w:r>
              <w:rPr>
                <w:rFonts w:hint="default"/>
                <w:lang w:val="en-US" w:eastAsia="zh-CN"/>
              </w:rPr>
              <w:t>轻度假、社交打卡、运动放松</w:t>
            </w:r>
          </w:p>
        </w:tc>
        <w:tc>
          <w:tcPr>
            <w:tcW w:w="4438"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1206FC52">
            <w:pPr>
              <w:spacing w:after="160" w:line="278" w:lineRule="auto"/>
              <w:jc w:val="left"/>
              <w:rPr>
                <w:rFonts w:hint="default"/>
              </w:rPr>
            </w:pPr>
            <w:r>
              <w:rPr>
                <w:rFonts w:hint="default"/>
                <w:lang w:val="en-US" w:eastAsia="zh-CN"/>
              </w:rPr>
              <w:t>骑行采摘、星空露营、精品餐饮等中高端体验产品</w:t>
            </w:r>
          </w:p>
        </w:tc>
      </w:tr>
      <w:tr w14:paraId="3420F0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05" w:type="dxa"/>
            <w:tcBorders>
              <w:top w:val="nil"/>
              <w:left w:val="nil"/>
              <w:bottom w:val="nil"/>
              <w:right w:val="nil"/>
            </w:tcBorders>
            <w:shd w:val="clear" w:color="auto" w:fill="FFFFFF"/>
            <w:noWrap w:val="0"/>
            <w:tcMar>
              <w:top w:w="100" w:type="dxa"/>
              <w:left w:w="-1" w:type="dxa"/>
              <w:bottom w:w="100" w:type="dxa"/>
              <w:right w:w="160" w:type="dxa"/>
            </w:tcMar>
            <w:vAlign w:val="center"/>
          </w:tcPr>
          <w:p w14:paraId="2191EBFD">
            <w:pPr>
              <w:spacing w:after="160" w:line="278" w:lineRule="auto"/>
              <w:jc w:val="left"/>
              <w:rPr>
                <w:rFonts w:hint="default"/>
              </w:rPr>
            </w:pPr>
            <w:r>
              <w:rPr>
                <w:rFonts w:hint="default"/>
                <w:lang w:val="en-US" w:eastAsia="zh-CN"/>
              </w:rPr>
              <w:t>家庭亲子</w:t>
            </w:r>
          </w:p>
        </w:tc>
        <w:tc>
          <w:tcPr>
            <w:tcW w:w="3288" w:type="dxa"/>
            <w:tcBorders>
              <w:top w:val="nil"/>
              <w:left w:val="nil"/>
              <w:bottom w:val="nil"/>
              <w:right w:val="nil"/>
            </w:tcBorders>
            <w:shd w:val="clear" w:color="auto" w:fill="FFFFFF"/>
            <w:noWrap w:val="0"/>
            <w:tcMar>
              <w:top w:w="100" w:type="dxa"/>
              <w:left w:w="160" w:type="dxa"/>
              <w:bottom w:w="100" w:type="dxa"/>
              <w:right w:w="160" w:type="dxa"/>
            </w:tcMar>
            <w:vAlign w:val="center"/>
          </w:tcPr>
          <w:p w14:paraId="1817A07D">
            <w:pPr>
              <w:spacing w:after="160" w:line="278" w:lineRule="auto"/>
              <w:jc w:val="left"/>
              <w:rPr>
                <w:rFonts w:hint="default"/>
              </w:rPr>
            </w:pPr>
            <w:r>
              <w:rPr>
                <w:rFonts w:hint="default"/>
                <w:lang w:val="en-US" w:eastAsia="zh-CN"/>
              </w:rPr>
              <w:t>自然教育、亲子互动、动手实践</w:t>
            </w:r>
          </w:p>
        </w:tc>
        <w:tc>
          <w:tcPr>
            <w:tcW w:w="4438" w:type="dxa"/>
            <w:tcBorders>
              <w:top w:val="nil"/>
              <w:left w:val="nil"/>
              <w:bottom w:val="nil"/>
              <w:right w:val="nil"/>
            </w:tcBorders>
            <w:shd w:val="clear" w:color="auto" w:fill="FFFFFF"/>
            <w:noWrap w:val="0"/>
            <w:tcMar>
              <w:top w:w="100" w:type="dxa"/>
              <w:left w:w="160" w:type="dxa"/>
              <w:bottom w:w="100" w:type="dxa"/>
              <w:right w:w="-1" w:type="dxa"/>
            </w:tcMar>
            <w:vAlign w:val="center"/>
          </w:tcPr>
          <w:p w14:paraId="03D40CFE">
            <w:pPr>
              <w:spacing w:after="160" w:line="278" w:lineRule="auto"/>
              <w:jc w:val="left"/>
              <w:rPr>
                <w:rFonts w:hint="default"/>
              </w:rPr>
            </w:pPr>
            <w:r>
              <w:rPr>
                <w:rFonts w:hint="default"/>
                <w:lang w:val="en-US" w:eastAsia="zh-CN"/>
              </w:rPr>
              <w:t>农事研学、水源科普、非遗手作等亲子友好型产品</w:t>
            </w:r>
          </w:p>
        </w:tc>
      </w:tr>
      <w:tr w14:paraId="31A4F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05" w:type="dxa"/>
            <w:tcBorders>
              <w:top w:val="nil"/>
              <w:left w:val="nil"/>
              <w:bottom w:val="nil"/>
              <w:right w:val="nil"/>
            </w:tcBorders>
            <w:shd w:val="clear" w:color="auto" w:fill="FFFFFF"/>
            <w:noWrap w:val="0"/>
            <w:tcMar>
              <w:top w:w="100" w:type="dxa"/>
              <w:left w:w="-1" w:type="dxa"/>
              <w:bottom w:w="100" w:type="dxa"/>
              <w:right w:w="160" w:type="dxa"/>
            </w:tcMar>
            <w:vAlign w:val="center"/>
          </w:tcPr>
          <w:p w14:paraId="27164C12">
            <w:pPr>
              <w:spacing w:after="160" w:line="278" w:lineRule="auto"/>
              <w:jc w:val="left"/>
              <w:rPr>
                <w:rFonts w:hint="default"/>
              </w:rPr>
            </w:pPr>
            <w:r>
              <w:rPr>
                <w:rFonts w:hint="default"/>
                <w:lang w:val="en-US" w:eastAsia="zh-CN"/>
              </w:rPr>
              <w:t>高端商务</w:t>
            </w:r>
          </w:p>
        </w:tc>
        <w:tc>
          <w:tcPr>
            <w:tcW w:w="3288" w:type="dxa"/>
            <w:tcBorders>
              <w:top w:val="nil"/>
              <w:left w:val="nil"/>
              <w:bottom w:val="nil"/>
              <w:right w:val="nil"/>
            </w:tcBorders>
            <w:shd w:val="clear" w:color="auto" w:fill="FFFFFF"/>
            <w:noWrap w:val="0"/>
            <w:tcMar>
              <w:top w:w="100" w:type="dxa"/>
              <w:left w:w="160" w:type="dxa"/>
              <w:bottom w:w="100" w:type="dxa"/>
              <w:right w:w="160" w:type="dxa"/>
            </w:tcMar>
            <w:vAlign w:val="center"/>
          </w:tcPr>
          <w:p w14:paraId="7D9EB3F4">
            <w:pPr>
              <w:spacing w:after="160" w:line="278" w:lineRule="auto"/>
              <w:jc w:val="left"/>
              <w:rPr>
                <w:rFonts w:hint="default"/>
              </w:rPr>
            </w:pPr>
            <w:r>
              <w:rPr>
                <w:rFonts w:hint="default"/>
                <w:lang w:val="en-US" w:eastAsia="zh-CN"/>
              </w:rPr>
              <w:t>品质保障、礼赠价值、团队凝聚力</w:t>
            </w:r>
          </w:p>
        </w:tc>
        <w:tc>
          <w:tcPr>
            <w:tcW w:w="4438" w:type="dxa"/>
            <w:tcBorders>
              <w:top w:val="nil"/>
              <w:left w:val="nil"/>
              <w:bottom w:val="nil"/>
              <w:right w:val="nil"/>
            </w:tcBorders>
            <w:shd w:val="clear" w:color="auto" w:fill="FFFFFF"/>
            <w:noWrap w:val="0"/>
            <w:tcMar>
              <w:top w:w="100" w:type="dxa"/>
              <w:left w:w="160" w:type="dxa"/>
              <w:bottom w:w="100" w:type="dxa"/>
              <w:right w:w="-1" w:type="dxa"/>
            </w:tcMar>
            <w:vAlign w:val="center"/>
          </w:tcPr>
          <w:p w14:paraId="2E91E95A">
            <w:pPr>
              <w:spacing w:after="160" w:line="278" w:lineRule="auto"/>
              <w:jc w:val="left"/>
              <w:rPr>
                <w:rFonts w:hint="default"/>
              </w:rPr>
            </w:pPr>
            <w:r>
              <w:rPr>
                <w:rFonts w:hint="default"/>
                <w:lang w:val="en-US" w:eastAsia="zh-CN"/>
              </w:rPr>
              <w:t>樱桃认养、定制团建、专属品鉴等高端定制产品</w:t>
            </w:r>
          </w:p>
        </w:tc>
      </w:tr>
      <w:tr w14:paraId="50BD0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3" w:hRule="atLeast"/>
        </w:trPr>
        <w:tc>
          <w:tcPr>
            <w:tcW w:w="1505" w:type="dxa"/>
            <w:tcBorders>
              <w:top w:val="nil"/>
              <w:left w:val="nil"/>
              <w:bottom w:val="nil"/>
              <w:right w:val="nil"/>
            </w:tcBorders>
            <w:shd w:val="clear" w:color="auto" w:fill="FFFFFF"/>
            <w:noWrap w:val="0"/>
            <w:tcMar>
              <w:top w:w="100" w:type="dxa"/>
              <w:left w:w="-1" w:type="dxa"/>
              <w:bottom w:w="100" w:type="dxa"/>
              <w:right w:w="160" w:type="dxa"/>
            </w:tcMar>
            <w:vAlign w:val="center"/>
          </w:tcPr>
          <w:p w14:paraId="5CCF9544">
            <w:pPr>
              <w:spacing w:after="160" w:line="278" w:lineRule="auto"/>
              <w:jc w:val="left"/>
              <w:rPr>
                <w:rFonts w:hint="default"/>
              </w:rPr>
            </w:pPr>
            <w:r>
              <w:rPr>
                <w:rFonts w:hint="default"/>
                <w:lang w:val="en-US" w:eastAsia="zh-CN"/>
              </w:rPr>
              <w:t>内容创作博主</w:t>
            </w:r>
          </w:p>
        </w:tc>
        <w:tc>
          <w:tcPr>
            <w:tcW w:w="3288" w:type="dxa"/>
            <w:tcBorders>
              <w:top w:val="nil"/>
              <w:left w:val="nil"/>
              <w:bottom w:val="nil"/>
              <w:right w:val="nil"/>
            </w:tcBorders>
            <w:shd w:val="clear" w:color="auto" w:fill="FFFFFF"/>
            <w:noWrap w:val="0"/>
            <w:tcMar>
              <w:top w:w="100" w:type="dxa"/>
              <w:left w:w="160" w:type="dxa"/>
              <w:bottom w:w="100" w:type="dxa"/>
              <w:right w:w="160" w:type="dxa"/>
            </w:tcMar>
            <w:vAlign w:val="center"/>
          </w:tcPr>
          <w:p w14:paraId="675440CC">
            <w:pPr>
              <w:spacing w:after="160" w:line="278" w:lineRule="auto"/>
              <w:jc w:val="left"/>
              <w:rPr>
                <w:rFonts w:hint="default"/>
              </w:rPr>
            </w:pPr>
            <w:r>
              <w:rPr>
                <w:rFonts w:hint="default"/>
                <w:lang w:val="en-US" w:eastAsia="zh-CN"/>
              </w:rPr>
              <w:t>获取传播素材、打造流量话题</w:t>
            </w:r>
          </w:p>
        </w:tc>
        <w:tc>
          <w:tcPr>
            <w:tcW w:w="4438" w:type="dxa"/>
            <w:tcBorders>
              <w:top w:val="nil"/>
              <w:left w:val="nil"/>
              <w:bottom w:val="nil"/>
              <w:right w:val="nil"/>
            </w:tcBorders>
            <w:shd w:val="clear" w:color="auto" w:fill="FFFFFF"/>
            <w:noWrap w:val="0"/>
            <w:tcMar>
              <w:top w:w="100" w:type="dxa"/>
              <w:left w:w="160" w:type="dxa"/>
              <w:bottom w:w="100" w:type="dxa"/>
              <w:right w:w="-1" w:type="dxa"/>
            </w:tcMar>
            <w:vAlign w:val="center"/>
          </w:tcPr>
          <w:p w14:paraId="22F4FDC4">
            <w:pPr>
              <w:spacing w:after="160" w:line="278" w:lineRule="auto"/>
              <w:jc w:val="left"/>
              <w:rPr>
                <w:rFonts w:hint="default"/>
              </w:rPr>
            </w:pPr>
            <w:r>
              <w:rPr>
                <w:rFonts w:hint="default"/>
                <w:lang w:val="en-US" w:eastAsia="zh-CN"/>
              </w:rPr>
              <w:t>全场景免费体验置换合作</w:t>
            </w:r>
          </w:p>
        </w:tc>
      </w:tr>
      <w:tr w14:paraId="6527DA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61" w:hRule="atLeast"/>
        </w:trPr>
        <w:tc>
          <w:tcPr>
            <w:tcW w:w="1505"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19227C52">
            <w:pPr>
              <w:spacing w:after="160" w:line="278" w:lineRule="auto"/>
              <w:jc w:val="left"/>
              <w:rPr>
                <w:rFonts w:hint="default"/>
              </w:rPr>
            </w:pPr>
            <w:r>
              <w:rPr>
                <w:rFonts w:hint="default"/>
                <w:lang w:val="en-US" w:eastAsia="zh-CN"/>
              </w:rPr>
              <w:t>研学教育团体</w:t>
            </w:r>
          </w:p>
        </w:tc>
        <w:tc>
          <w:tcPr>
            <w:tcW w:w="3288"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042284B6">
            <w:pPr>
              <w:spacing w:after="160" w:line="278" w:lineRule="auto"/>
              <w:jc w:val="left"/>
              <w:rPr>
                <w:rFonts w:hint="default"/>
              </w:rPr>
            </w:pPr>
            <w:r>
              <w:rPr>
                <w:rFonts w:hint="default"/>
                <w:lang w:val="en-US" w:eastAsia="zh-CN"/>
              </w:rPr>
              <w:t>课程化、体系化、科普性教育内容</w:t>
            </w:r>
          </w:p>
        </w:tc>
        <w:tc>
          <w:tcPr>
            <w:tcW w:w="4438"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5BB6ACF1">
            <w:pPr>
              <w:spacing w:after="160" w:line="278" w:lineRule="auto"/>
              <w:jc w:val="left"/>
              <w:rPr>
                <w:rFonts w:hint="default"/>
              </w:rPr>
            </w:pPr>
            <w:r>
              <w:rPr>
                <w:rFonts w:hint="default"/>
                <w:lang w:val="en-US" w:eastAsia="zh-CN"/>
              </w:rPr>
              <w:t>闯关式研学、生态科普、农事实践等标准化课程产品</w:t>
            </w:r>
          </w:p>
        </w:tc>
      </w:tr>
    </w:tbl>
    <w:p w14:paraId="155DDB4B">
      <w:pPr>
        <w:spacing w:after="160" w:line="278" w:lineRule="auto"/>
        <w:jc w:val="left"/>
        <w:rPr>
          <w:rFonts w:hint="eastAsia"/>
        </w:rPr>
      </w:pPr>
    </w:p>
    <w:p w14:paraId="36789F83">
      <w:pPr>
        <w:spacing w:before="120" w:after="120" w:line="288" w:lineRule="auto"/>
        <w:ind w:left="0"/>
        <w:jc w:val="left"/>
        <w:rPr>
          <w:rFonts w:hint="eastAsia"/>
        </w:rPr>
      </w:pPr>
    </w:p>
    <w:p w14:paraId="1CC8385C">
      <w:pPr>
        <w:pStyle w:val="3"/>
        <w:bidi w:val="0"/>
        <w:rPr>
          <w:rFonts w:hint="eastAsia"/>
          <w:lang w:val="en-US" w:eastAsia="zh-CN"/>
        </w:rPr>
      </w:pPr>
      <w:bookmarkStart w:id="134" w:name="_Toc11799"/>
      <w:r>
        <w:rPr>
          <w:rFonts w:hint="eastAsia"/>
          <w:lang w:val="en-US" w:eastAsia="zh-CN"/>
        </w:rPr>
        <w:t>7.3 四大体验场景详细设计</w:t>
      </w:r>
      <w:bookmarkEnd w:id="134"/>
    </w:p>
    <w:p w14:paraId="7C02B899">
      <w:pPr>
        <w:pStyle w:val="4"/>
        <w:bidi w:val="0"/>
        <w:rPr>
          <w:rFonts w:hint="eastAsia"/>
          <w:lang w:val="en-US" w:eastAsia="zh-CN"/>
        </w:rPr>
      </w:pPr>
      <w:bookmarkStart w:id="135" w:name="_Toc4666"/>
      <w:r>
        <w:rPr>
          <w:rFonts w:hint="eastAsia"/>
          <w:lang w:val="en-US" w:eastAsia="zh-CN"/>
        </w:rPr>
        <w:t>7.3.1 樱桃全链体验场景</w:t>
      </w:r>
      <w:bookmarkEnd w:id="135"/>
    </w:p>
    <w:p w14:paraId="6946FD02">
      <w:pPr>
        <w:spacing w:after="160" w:line="278" w:lineRule="auto"/>
        <w:ind w:firstLine="440" w:firstLineChars="200"/>
        <w:jc w:val="left"/>
        <w:rPr>
          <w:rFonts w:hint="eastAsia"/>
        </w:rPr>
      </w:pPr>
      <w:r>
        <w:rPr>
          <w:rFonts w:hint="eastAsia"/>
        </w:rPr>
        <w:t>樱桃全链体验场景以</w:t>
      </w:r>
      <w:r>
        <w:rPr>
          <w:rFonts w:hint="eastAsia"/>
          <w:b/>
          <w:bCs/>
          <w:highlight w:val="yellow"/>
        </w:rPr>
        <w:t>“从田间到餐桌”的全生命周期体验</w:t>
      </w:r>
      <w:r>
        <w:rPr>
          <w:rFonts w:hint="eastAsia"/>
          <w:b/>
          <w:bCs/>
        </w:rPr>
        <w:t>为核心</w:t>
      </w:r>
      <w:r>
        <w:rPr>
          <w:rFonts w:hint="eastAsia"/>
        </w:rPr>
        <w:t>，打破传统单一采摘模式，构建“认知—采摘—品鉴—加工—消费”的一体化体验闭环，强化游客与产品的情感连接，提升品牌认知与消费转化。认知环节由本土果农担任讲师，系统</w:t>
      </w:r>
      <w:r>
        <w:rPr>
          <w:rFonts w:hint="eastAsia"/>
          <w:b/>
          <w:bCs/>
        </w:rPr>
        <w:t>讲解</w:t>
      </w:r>
      <w:r>
        <w:rPr>
          <w:rFonts w:hint="eastAsia"/>
        </w:rPr>
        <w:t>村内10余个樱桃品种的生长特性、口感差异、品鉴标准，通过实地辨识让游客掌握品种区分方法；采摘环节优化园区动线，设置</w:t>
      </w:r>
      <w:r>
        <w:rPr>
          <w:rFonts w:hint="eastAsia"/>
          <w:b/>
          <w:bCs/>
        </w:rPr>
        <w:t>分级采摘区域、休息节点与品鉴点位</w:t>
      </w:r>
      <w:r>
        <w:rPr>
          <w:rFonts w:hint="eastAsia"/>
        </w:rPr>
        <w:t>，保障采摘过程的安全性与舒适性，同步开展“樱桃盲评”互动活动，提升体验趣味性；加工环节依托樱桃</w:t>
      </w:r>
      <w:r>
        <w:rPr>
          <w:rFonts w:hint="eastAsia"/>
          <w:b/>
          <w:bCs/>
        </w:rPr>
        <w:t>DIY工坊</w:t>
      </w:r>
      <w:r>
        <w:rPr>
          <w:rFonts w:hint="eastAsia"/>
        </w:rPr>
        <w:t>，提供樱桃果酱、果干、冻干脆片等手作体验，配备专业指导人员与标准化工具耗材，游客可将自制产品个性化包装后带走留存；消费环节依托品牌产品分级体系，引导游客完成从体验到购买的转化，同步推广</w:t>
      </w:r>
      <w:r>
        <w:rPr>
          <w:rFonts w:hint="eastAsia"/>
          <w:b/>
          <w:bCs/>
        </w:rPr>
        <w:t>樱桃认养计划</w:t>
      </w:r>
      <w:r>
        <w:rPr>
          <w:rFonts w:hint="eastAsia"/>
        </w:rPr>
        <w:t>，实现短期体验向长期用户绑定。本场景单日最大接待量120人，分四批次循环运营，每批次时长90分钟，通过标准化流程管控，保障体验质量与运营效率。</w:t>
      </w:r>
    </w:p>
    <w:p w14:paraId="7E0BDD1C">
      <w:pPr>
        <w:spacing w:before="120" w:after="120" w:line="288" w:lineRule="auto"/>
        <w:ind w:left="0"/>
        <w:jc w:val="left"/>
        <w:rPr>
          <w:rFonts w:hint="eastAsia"/>
        </w:rPr>
      </w:pPr>
    </w:p>
    <w:p w14:paraId="74CAF474">
      <w:pPr>
        <w:pStyle w:val="4"/>
        <w:bidi w:val="0"/>
        <w:rPr>
          <w:rFonts w:hint="eastAsia"/>
          <w:lang w:val="en-US" w:eastAsia="zh-CN"/>
        </w:rPr>
      </w:pPr>
      <w:bookmarkStart w:id="136" w:name="_Toc31453"/>
      <w:r>
        <w:rPr>
          <w:rFonts w:hint="eastAsia"/>
          <w:lang w:val="en-US" w:eastAsia="zh-CN"/>
        </w:rPr>
        <w:t>7.3.2 水源生态科普场景</w:t>
      </w:r>
      <w:bookmarkEnd w:id="136"/>
    </w:p>
    <w:p w14:paraId="445ACAE5">
      <w:pPr>
        <w:spacing w:after="160" w:line="278" w:lineRule="auto"/>
        <w:ind w:firstLine="440" w:firstLineChars="200"/>
        <w:jc w:val="left"/>
        <w:rPr>
          <w:rFonts w:hint="eastAsia" w:ascii="宋体" w:hAnsi="宋体" w:eastAsia="宋体" w:cstheme="minorBidi"/>
          <w:b/>
          <w:bCs/>
          <w:kern w:val="2"/>
          <w:sz w:val="21"/>
          <w:szCs w:val="21"/>
          <w:lang w:val="en-US" w:eastAsia="zh-CN" w:bidi="ar-SA"/>
          <w14:ligatures w14:val="standardContextual"/>
        </w:rPr>
      </w:pPr>
      <w:r>
        <w:rPr>
          <w:rFonts w:hint="eastAsia"/>
        </w:rPr>
        <w:t>水源生态科普场景立足</w:t>
      </w:r>
      <w:r>
        <w:rPr>
          <w:rFonts w:hint="eastAsia"/>
          <w:b/>
          <w:bCs/>
        </w:rPr>
        <w:t>一级水源保护区核心资源优势</w:t>
      </w:r>
      <w:r>
        <w:rPr>
          <w:rFonts w:hint="eastAsia"/>
        </w:rPr>
        <w:t>，将政策约束转化为体验壁垒，打造集科普教育、互动体验、生态认知于一体的特色场景，强化“</w:t>
      </w:r>
      <w:r>
        <w:rPr>
          <w:rFonts w:hint="eastAsia"/>
          <w:b/>
          <w:bCs/>
          <w:highlight w:val="yellow"/>
        </w:rPr>
        <w:t>水源地孕育高品质樱桃</w:t>
      </w:r>
      <w:r>
        <w:rPr>
          <w:rFonts w:hint="eastAsia"/>
        </w:rPr>
        <w:t>”的品牌认知。场景依托村内闲置农房轻量化改造为水源科普展馆，设置三大核心展区：</w:t>
      </w:r>
      <w:r>
        <w:rPr>
          <w:rFonts w:hint="eastAsia"/>
          <w:highlight w:val="yellow"/>
        </w:rPr>
        <w:t>“</w:t>
      </w:r>
      <w:r>
        <w:rPr>
          <w:rFonts w:hint="eastAsia"/>
          <w:b/>
          <w:bCs/>
          <w:highlight w:val="yellow"/>
        </w:rPr>
        <w:t>一滴水的旅程</w:t>
      </w:r>
      <w:r>
        <w:rPr>
          <w:rFonts w:hint="eastAsia"/>
        </w:rPr>
        <w:t>”互动沙盘展区，通过动态沙盘直观展示水源汇流、净化、供给全过程，实现沉浸式科普；“</w:t>
      </w:r>
      <w:r>
        <w:rPr>
          <w:rFonts w:hint="eastAsia"/>
          <w:b/>
          <w:bCs/>
          <w:highlight w:val="yellow"/>
        </w:rPr>
        <w:t>水源地守护者</w:t>
      </w:r>
      <w:r>
        <w:rPr>
          <w:rFonts w:hint="eastAsia"/>
        </w:rPr>
        <w:t>”文化展区，以图文、实物、影像资料呈现村庄水源保护历史与村民贡献，传递生态保护价值；“</w:t>
      </w:r>
      <w:r>
        <w:rPr>
          <w:rFonts w:hint="eastAsia"/>
          <w:b/>
          <w:bCs/>
          <w:highlight w:val="yellow"/>
        </w:rPr>
        <w:t>樱桃与水的共生</w:t>
      </w:r>
      <w:r>
        <w:rPr>
          <w:rFonts w:hint="eastAsia"/>
        </w:rPr>
        <w:t>”实证展区，通过水质对比、土壤检测数据展示，直观印证优质水源对樱桃品质的提升作用。同步配套AR水源探索体验，游客通过小程序扫描触发AR动画，可视化呈现水源循环与果树养分吸收过程；设置水质检测实操环节，让游客亲手检测水质指标，强化生态认知；搭建水源生态实时数据看板，实时展示水质、土壤、空气等生态数据，实现生态价值可视化。本场景散客免费开放引流，团体研学提供标准化课程，单日最大接待量200人，兼顾公益性与商业价值。</w:t>
      </w:r>
    </w:p>
    <w:p w14:paraId="2B0B80B6">
      <w:pPr>
        <w:pStyle w:val="4"/>
        <w:bidi w:val="0"/>
        <w:rPr>
          <w:rFonts w:hint="eastAsia"/>
          <w:lang w:val="en-US" w:eastAsia="zh-CN"/>
        </w:rPr>
      </w:pPr>
      <w:bookmarkStart w:id="137" w:name="_Toc19455"/>
      <w:r>
        <w:rPr>
          <w:rFonts w:hint="eastAsia"/>
          <w:lang w:val="en-US" w:eastAsia="zh-CN"/>
        </w:rPr>
        <w:t>7.3.3 东庄骑行+采摘一日套餐场景</w:t>
      </w:r>
      <w:bookmarkEnd w:id="137"/>
    </w:p>
    <w:p w14:paraId="2DEC83BB">
      <w:pPr>
        <w:spacing w:after="160" w:line="278" w:lineRule="auto"/>
        <w:ind w:firstLine="440" w:firstLineChars="200"/>
        <w:jc w:val="left"/>
        <w:rPr>
          <w:rFonts w:hint="eastAsia"/>
        </w:rPr>
      </w:pPr>
      <w:r>
        <w:rPr>
          <w:rFonts w:hint="eastAsia"/>
        </w:rPr>
        <w:t>本场景是</w:t>
      </w:r>
      <w:r>
        <w:rPr>
          <w:rFonts w:hint="eastAsia"/>
          <w:b/>
          <w:bCs/>
        </w:rPr>
        <w:t>品牌与骑行深度融合</w:t>
      </w:r>
      <w:r>
        <w:rPr>
          <w:rFonts w:hint="eastAsia"/>
        </w:rPr>
        <w:t>的核心载体，将骑行运动、樱桃采摘、餐饮休闲、特色体验打包为一体化一日套餐，打造“一站式”京郊轻度假产品。套餐采用标准化流程设计：上午完成</w:t>
      </w:r>
      <w:r>
        <w:rPr>
          <w:rFonts w:hint="eastAsia"/>
          <w:highlight w:val="yellow"/>
        </w:rPr>
        <w:t>骑行打卡与采摘体验</w:t>
      </w:r>
      <w:r>
        <w:rPr>
          <w:rFonts w:hint="eastAsia"/>
        </w:rPr>
        <w:t>，中午提供</w:t>
      </w:r>
      <w:r>
        <w:rPr>
          <w:rFonts w:hint="eastAsia"/>
          <w:highlight w:val="yellow"/>
        </w:rPr>
        <w:t>水库鱼宴、农家菜</w:t>
      </w:r>
      <w:r>
        <w:rPr>
          <w:rFonts w:hint="eastAsia"/>
        </w:rPr>
        <w:t>等特色餐饮，下午提供</w:t>
      </w:r>
      <w:r>
        <w:rPr>
          <w:rFonts w:hint="eastAsia"/>
          <w:highlight w:val="yellow"/>
        </w:rPr>
        <w:t>果酱DIY、水源科普</w:t>
      </w:r>
      <w:r>
        <w:rPr>
          <w:rFonts w:hint="eastAsia"/>
          <w:lang w:val="en-US" w:eastAsia="zh-CN"/>
        </w:rPr>
        <w:t>二</w:t>
      </w:r>
      <w:r>
        <w:rPr>
          <w:rFonts w:hint="eastAsia"/>
        </w:rPr>
        <w:t>选一体验，离场前完成</w:t>
      </w:r>
      <w:r>
        <w:rPr>
          <w:rFonts w:hint="eastAsia"/>
          <w:highlight w:val="yellow"/>
        </w:rPr>
        <w:t>集章兑换、伴手礼采购与骑行海报分享</w:t>
      </w:r>
      <w:r>
        <w:rPr>
          <w:rFonts w:hint="eastAsia"/>
        </w:rPr>
        <w:t>。场景配套</w:t>
      </w:r>
      <w:r>
        <w:rPr>
          <w:rFonts w:hint="eastAsia"/>
          <w:b/>
          <w:bCs/>
          <w:highlight w:val="yellow"/>
        </w:rPr>
        <w:t>AR骑行导览功能</w:t>
      </w:r>
      <w:r>
        <w:rPr>
          <w:rFonts w:hint="eastAsia"/>
        </w:rPr>
        <w:t>，在打卡节点触发四季景观、星座指引等AR特效，提升体验科技感；搭载AI个性化行程推荐系统，根据游客人数、时长、偏好自动生成定制化行程，实现智能化服务。套餐采用统一定价、线上预约、线下核销的标准化运营模式，打通引流、体验、消费、传播全链路，有效延长游客停留时长、提升综合消费额度，成为项目中期核心营收场景之一。</w:t>
      </w:r>
    </w:p>
    <w:p w14:paraId="438E2EF4">
      <w:pPr>
        <w:spacing w:after="160" w:line="278" w:lineRule="auto"/>
        <w:ind w:firstLine="440" w:firstLineChars="200"/>
        <w:jc w:val="center"/>
      </w:pPr>
      <w:r>
        <w:drawing>
          <wp:inline distT="0" distB="0" distL="114300" distR="114300">
            <wp:extent cx="3079750" cy="1731645"/>
            <wp:effectExtent l="0" t="0" r="13970"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44"/>
                    <a:stretch>
                      <a:fillRect/>
                    </a:stretch>
                  </pic:blipFill>
                  <pic:spPr>
                    <a:xfrm>
                      <a:off x="0" y="0"/>
                      <a:ext cx="3079750" cy="1731645"/>
                    </a:xfrm>
                    <a:prstGeom prst="rect">
                      <a:avLst/>
                    </a:prstGeom>
                    <a:noFill/>
                    <a:ln>
                      <a:noFill/>
                    </a:ln>
                  </pic:spPr>
                </pic:pic>
              </a:graphicData>
            </a:graphic>
          </wp:inline>
        </w:drawing>
      </w:r>
    </w:p>
    <w:p w14:paraId="149B0E9E">
      <w:pPr>
        <w:spacing w:after="160" w:line="278" w:lineRule="auto"/>
        <w:ind w:firstLine="442" w:firstLineChars="200"/>
        <w:jc w:val="center"/>
        <w:rPr>
          <w:rFonts w:hint="default" w:eastAsia="宋体"/>
          <w:b/>
          <w:bCs/>
          <w:lang w:val="en-US" w:eastAsia="zh-CN"/>
        </w:rPr>
      </w:pPr>
      <w:r>
        <w:rPr>
          <w:rFonts w:hint="eastAsia"/>
          <w:b/>
          <w:bCs/>
          <w:lang w:val="en-US" w:eastAsia="zh-CN"/>
        </w:rPr>
        <w:t>图7-1 一日行程</w:t>
      </w:r>
    </w:p>
    <w:p w14:paraId="19C6C00F">
      <w:pPr>
        <w:pStyle w:val="4"/>
        <w:bidi w:val="0"/>
        <w:rPr>
          <w:rFonts w:hint="eastAsia"/>
          <w:lang w:val="en-US" w:eastAsia="zh-CN"/>
        </w:rPr>
      </w:pPr>
      <w:bookmarkStart w:id="138" w:name="_Toc6380"/>
      <w:r>
        <w:rPr>
          <w:rFonts w:hint="eastAsia"/>
          <w:lang w:val="en-US" w:eastAsia="zh-CN"/>
        </w:rPr>
        <w:t>7.3.4 樱桃骑行研学闯关场景</w:t>
      </w:r>
      <w:bookmarkEnd w:id="138"/>
    </w:p>
    <w:p w14:paraId="5581BD26">
      <w:pPr>
        <w:spacing w:after="160" w:line="278" w:lineRule="auto"/>
        <w:ind w:firstLine="440" w:firstLineChars="200"/>
        <w:jc w:val="left"/>
        <w:rPr>
          <w:rFonts w:hint="eastAsia"/>
        </w:rPr>
      </w:pPr>
      <w:r>
        <w:rPr>
          <w:rFonts w:hint="eastAsia"/>
        </w:rPr>
        <w:t>樱桃骑行研学闯关场景是</w:t>
      </w:r>
      <w:r>
        <w:rPr>
          <w:rFonts w:hint="eastAsia"/>
          <w:b/>
          <w:bCs/>
        </w:rPr>
        <w:t>三产融合创新</w:t>
      </w:r>
      <w:r>
        <w:rPr>
          <w:rFonts w:hint="eastAsia"/>
        </w:rPr>
        <w:t>的标志性产品，将骑行路线、樱桃知识、水源科普、天文探索整合为</w:t>
      </w:r>
      <w:r>
        <w:rPr>
          <w:rFonts w:hint="eastAsia"/>
          <w:b/>
          <w:bCs/>
          <w:highlight w:val="yellow"/>
        </w:rPr>
        <w:t>闯关式研学课程</w:t>
      </w:r>
      <w:r>
        <w:rPr>
          <w:rFonts w:hint="eastAsia"/>
        </w:rPr>
        <w:t>，面向中小学研学团体打造体系化、课程化、标准化体验产品。课程设置</w:t>
      </w:r>
      <w:r>
        <w:rPr>
          <w:rFonts w:hint="eastAsia"/>
          <w:lang w:val="en-US" w:eastAsia="zh-CN"/>
        </w:rPr>
        <w:t>三</w:t>
      </w:r>
      <w:r>
        <w:rPr>
          <w:rFonts w:hint="eastAsia"/>
        </w:rPr>
        <w:t>大核心关卡，游客沿骑行路线依次完成</w:t>
      </w:r>
      <w:r>
        <w:rPr>
          <w:rFonts w:hint="eastAsia"/>
          <w:b/>
          <w:bCs/>
          <w:highlight w:val="yellow"/>
        </w:rPr>
        <w:t>樱桃品种辨识、采摘实践、水源知识问答挑战</w:t>
      </w:r>
      <w:r>
        <w:rPr>
          <w:rFonts w:hint="eastAsia"/>
        </w:rPr>
        <w:t>，集齐全部关卡印章后可获得</w:t>
      </w:r>
      <w:r>
        <w:rPr>
          <w:rFonts w:hint="eastAsia"/>
          <w:b/>
          <w:bCs/>
          <w:highlight w:val="yellow"/>
        </w:rPr>
        <w:t>研学结业证书与樱桃伴手礼</w:t>
      </w:r>
      <w:r>
        <w:rPr>
          <w:rFonts w:hint="eastAsia"/>
        </w:rPr>
        <w:t>。课程配备专业研学导师、标准化任务卡、安全保障体系，符合中小学研学教育规范，可批量对接学校、教育机构等B端客户。本场景将运动、科普、农业、文化多元融合，既满足教育需求，又实现流量导入与消费转化，成为项目高增长潜力场景。</w:t>
      </w:r>
    </w:p>
    <w:p w14:paraId="32B6F2DF">
      <w:pPr>
        <w:spacing w:after="160" w:line="278" w:lineRule="auto"/>
        <w:ind w:firstLine="440" w:firstLineChars="200"/>
        <w:jc w:val="center"/>
      </w:pPr>
      <w:r>
        <w:drawing>
          <wp:inline distT="0" distB="0" distL="114300" distR="114300">
            <wp:extent cx="3247390" cy="1825625"/>
            <wp:effectExtent l="0" t="0" r="13970" b="317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45"/>
                    <a:stretch>
                      <a:fillRect/>
                    </a:stretch>
                  </pic:blipFill>
                  <pic:spPr>
                    <a:xfrm>
                      <a:off x="0" y="0"/>
                      <a:ext cx="3247390" cy="1825625"/>
                    </a:xfrm>
                    <a:prstGeom prst="rect">
                      <a:avLst/>
                    </a:prstGeom>
                    <a:noFill/>
                    <a:ln>
                      <a:noFill/>
                    </a:ln>
                  </pic:spPr>
                </pic:pic>
              </a:graphicData>
            </a:graphic>
          </wp:inline>
        </w:drawing>
      </w:r>
    </w:p>
    <w:p w14:paraId="469FC56F">
      <w:pPr>
        <w:spacing w:after="160" w:line="278" w:lineRule="auto"/>
        <w:ind w:firstLine="442" w:firstLineChars="200"/>
        <w:jc w:val="center"/>
        <w:rPr>
          <w:rFonts w:hint="eastAsia"/>
        </w:rPr>
      </w:pPr>
      <w:r>
        <w:rPr>
          <w:rFonts w:hint="eastAsia"/>
          <w:b/>
          <w:bCs/>
          <w:lang w:val="en-US" w:eastAsia="zh-CN"/>
        </w:rPr>
        <w:t>图7-2 樱桃研学课程路线</w:t>
      </w:r>
    </w:p>
    <w:p w14:paraId="0E044833">
      <w:pPr>
        <w:pStyle w:val="3"/>
        <w:bidi w:val="0"/>
        <w:rPr>
          <w:rFonts w:hint="eastAsia"/>
          <w:lang w:val="en-US" w:eastAsia="zh-CN"/>
        </w:rPr>
      </w:pPr>
      <w:bookmarkStart w:id="139" w:name="_Toc3289"/>
      <w:r>
        <w:rPr>
          <w:rFonts w:hint="eastAsia"/>
          <w:lang w:val="en-US" w:eastAsia="zh-CN"/>
        </w:rPr>
        <w:t>7.4 用户旅程地图</w:t>
      </w:r>
      <w:bookmarkEnd w:id="139"/>
    </w:p>
    <w:p w14:paraId="67710D0E">
      <w:pPr>
        <w:spacing w:after="160" w:line="278" w:lineRule="auto"/>
        <w:ind w:firstLine="440" w:firstLineChars="200"/>
        <w:jc w:val="left"/>
        <w:rPr>
          <w:rFonts w:hint="eastAsia"/>
        </w:rPr>
      </w:pPr>
      <w:r>
        <w:rPr>
          <w:rFonts w:hint="eastAsia"/>
        </w:rPr>
        <w:t>以核心客群周末骑行白领为样本，构建从</w:t>
      </w:r>
      <w:r>
        <w:rPr>
          <w:rFonts w:hint="eastAsia"/>
          <w:b/>
          <w:bCs/>
        </w:rPr>
        <w:t>线上种草到线下复购的全流程用户旅程地图</w:t>
      </w:r>
      <w:r>
        <w:rPr>
          <w:rFonts w:hint="eastAsia"/>
        </w:rPr>
        <w:t>，精准覆盖决策、到达、体验、消费、传播、复购六大核心阶段。种草阶段，用户通过小红书、朋友圈、抖音等渠道接触骑行海报、体验笔记等内容，产生出行兴趣；决策阶段，通过小程序、社交平台查询攻略、套餐与评价，借助AI行程推荐完成决策与预约；到达阶段，抵达村口迎宾站，完成签到、护照领取、路线讲解，进入体验状态；体验阶段，沿骑行路线完成打卡、采摘、科普、餐饮等全流程体验，享受沉浸式服务；消费阶段，根据需求选购鲜果、深加工产品、文创产品，参与认养计划；传播阶段，自动生成骑行海报并分享至社交平台，完成品牌裂变；复购阶段，通过小程序推送、社群运营接收季节性活动、认养动态等信息，产生复购意愿。通过全旅程触点优化与情绪管理，提升用户体验感与忠诚度，实现“一次到访、长期绑定”的运营目标。</w:t>
      </w:r>
    </w:p>
    <w:p w14:paraId="4DE4C9E0">
      <w:pPr>
        <w:spacing w:after="160" w:line="278" w:lineRule="auto"/>
        <w:ind w:firstLine="440" w:firstLineChars="200"/>
        <w:jc w:val="center"/>
      </w:pPr>
      <w:r>
        <w:drawing>
          <wp:inline distT="0" distB="0" distL="114300" distR="114300">
            <wp:extent cx="3787775" cy="1708785"/>
            <wp:effectExtent l="0" t="0" r="6985" b="133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46"/>
                    <a:srcRect t="15951" b="3816"/>
                    <a:stretch>
                      <a:fillRect/>
                    </a:stretch>
                  </pic:blipFill>
                  <pic:spPr>
                    <a:xfrm>
                      <a:off x="0" y="0"/>
                      <a:ext cx="3787775" cy="1708785"/>
                    </a:xfrm>
                    <a:prstGeom prst="rect">
                      <a:avLst/>
                    </a:prstGeom>
                    <a:noFill/>
                    <a:ln>
                      <a:noFill/>
                    </a:ln>
                  </pic:spPr>
                </pic:pic>
              </a:graphicData>
            </a:graphic>
          </wp:inline>
        </w:drawing>
      </w:r>
    </w:p>
    <w:p w14:paraId="5578F6E3">
      <w:pPr>
        <w:spacing w:after="160" w:line="278" w:lineRule="auto"/>
        <w:ind w:firstLine="442" w:firstLineChars="200"/>
        <w:jc w:val="center"/>
        <w:rPr>
          <w:rFonts w:hint="default" w:eastAsia="宋体"/>
          <w:b/>
          <w:bCs/>
          <w:lang w:val="en-US" w:eastAsia="zh-CN"/>
        </w:rPr>
      </w:pPr>
      <w:r>
        <w:rPr>
          <w:rFonts w:hint="eastAsia"/>
          <w:b/>
          <w:bCs/>
          <w:lang w:val="en-US" w:eastAsia="zh-CN"/>
        </w:rPr>
        <w:t>图7-3 用户旅程地图</w:t>
      </w:r>
    </w:p>
    <w:p w14:paraId="6E108893">
      <w:pPr>
        <w:pStyle w:val="3"/>
        <w:bidi w:val="0"/>
        <w:rPr>
          <w:rFonts w:hint="eastAsia"/>
          <w:lang w:val="en-US" w:eastAsia="zh-CN"/>
        </w:rPr>
      </w:pPr>
      <w:bookmarkStart w:id="140" w:name="_Toc3551"/>
      <w:r>
        <w:rPr>
          <w:rFonts w:hint="eastAsia"/>
          <w:lang w:val="en-US" w:eastAsia="zh-CN"/>
        </w:rPr>
        <w:t>7.5 四季产品矩阵</w:t>
      </w:r>
      <w:bookmarkEnd w:id="140"/>
    </w:p>
    <w:p w14:paraId="6A90183C">
      <w:pPr>
        <w:spacing w:after="160" w:line="278" w:lineRule="auto"/>
        <w:ind w:firstLine="440" w:firstLineChars="200"/>
        <w:jc w:val="left"/>
        <w:rPr>
          <w:rFonts w:hint="eastAsia"/>
        </w:rPr>
      </w:pPr>
      <w:r>
        <w:rPr>
          <w:rFonts w:hint="eastAsia"/>
        </w:rPr>
        <w:t>为破解樱桃产业季节依赖难题，构建“</w:t>
      </w:r>
      <w:r>
        <w:rPr>
          <w:rFonts w:hint="eastAsia"/>
          <w:b/>
          <w:bCs/>
          <w:highlight w:val="yellow"/>
        </w:rPr>
        <w:t>四季有主题、月月有活动、全龄可参与</w:t>
      </w:r>
      <w:r>
        <w:rPr>
          <w:rFonts w:hint="eastAsia"/>
          <w:b/>
          <w:bCs/>
        </w:rPr>
        <w:t>”</w:t>
      </w:r>
      <w:r>
        <w:rPr>
          <w:rFonts w:hint="eastAsia"/>
        </w:rPr>
        <w:t>的四季产品矩阵，实现全年常态化运营。春季（3—4月）以“樱花预见”为主题，推出樱花观赏、樱桃认养启动、骑行开季、春日野餐套餐，锁定春季周末客流；夏季（5—7月）以“樱桃盛宴”为主题，打造采摘季核心营收产品，同步推出骑行旺季、星空露营、乡村音乐节、直播带货等活动，承接全年45%客流；秋季（8—10月）以“丰收东庄”为主题，开展丰收感恩节、秋季骑行赛、研学团建、农事体验等活动，挖掘秋季研学与团建市场；冬季（11—2月）以“暖冬东庄”为主题，推出火炕民宿、科普冬令营、年货礼盒、围炉煮茶、天文观测等产品，破解冬季客流空白。四季产品相互衔接、梯度发力，实现从“一季旺”到“全年火”的转变，保障项目稳定运营与持续收益。</w:t>
      </w:r>
    </w:p>
    <w:p w14:paraId="33399F3B">
      <w:pPr>
        <w:spacing w:after="160" w:line="278" w:lineRule="auto"/>
        <w:ind w:firstLine="440" w:firstLineChars="200"/>
        <w:jc w:val="center"/>
      </w:pPr>
      <w:r>
        <w:drawing>
          <wp:inline distT="0" distB="0" distL="114300" distR="114300">
            <wp:extent cx="2995930" cy="1685290"/>
            <wp:effectExtent l="0" t="0" r="6350" b="635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47"/>
                    <a:stretch>
                      <a:fillRect/>
                    </a:stretch>
                  </pic:blipFill>
                  <pic:spPr>
                    <a:xfrm>
                      <a:off x="0" y="0"/>
                      <a:ext cx="2995930" cy="1685290"/>
                    </a:xfrm>
                    <a:prstGeom prst="rect">
                      <a:avLst/>
                    </a:prstGeom>
                    <a:noFill/>
                    <a:ln>
                      <a:noFill/>
                    </a:ln>
                  </pic:spPr>
                </pic:pic>
              </a:graphicData>
            </a:graphic>
          </wp:inline>
        </w:drawing>
      </w:r>
    </w:p>
    <w:p w14:paraId="32417902">
      <w:pPr>
        <w:spacing w:after="160" w:line="278" w:lineRule="auto"/>
        <w:ind w:firstLine="442" w:firstLineChars="200"/>
        <w:jc w:val="center"/>
        <w:rPr>
          <w:rFonts w:hint="default" w:eastAsia="宋体"/>
          <w:b/>
          <w:bCs/>
          <w:lang w:val="en-US" w:eastAsia="zh-CN"/>
        </w:rPr>
      </w:pPr>
      <w:r>
        <w:rPr>
          <w:rFonts w:hint="eastAsia"/>
          <w:b/>
          <w:bCs/>
          <w:lang w:val="en-US" w:eastAsia="zh-CN"/>
        </w:rPr>
        <w:t>图7-4 东庄四季产品矩阵</w:t>
      </w:r>
    </w:p>
    <w:p w14:paraId="3EE28A67">
      <w:pPr>
        <w:spacing w:before="120" w:after="120" w:line="288" w:lineRule="auto"/>
        <w:ind w:left="0"/>
        <w:jc w:val="left"/>
        <w:rPr>
          <w:rFonts w:hint="eastAsia"/>
        </w:rPr>
      </w:pPr>
    </w:p>
    <w:p w14:paraId="02C294B4">
      <w:pPr>
        <w:pStyle w:val="3"/>
        <w:bidi w:val="0"/>
        <w:rPr>
          <w:rFonts w:hint="eastAsia"/>
          <w:lang w:val="en-US" w:eastAsia="zh-CN"/>
        </w:rPr>
      </w:pPr>
      <w:bookmarkStart w:id="141" w:name="_Toc28055"/>
      <w:r>
        <w:rPr>
          <w:rFonts w:hint="eastAsia"/>
          <w:lang w:val="en-US" w:eastAsia="zh-CN"/>
        </w:rPr>
        <w:t>7.6 三产融合路径</w:t>
      </w:r>
      <w:bookmarkEnd w:id="141"/>
    </w:p>
    <w:p w14:paraId="712C3C7E">
      <w:pPr>
        <w:spacing w:after="160" w:line="278" w:lineRule="auto"/>
        <w:ind w:firstLine="440" w:firstLineChars="200"/>
        <w:jc w:val="left"/>
        <w:rPr>
          <w:rFonts w:hint="eastAsia" w:ascii="宋体" w:hAnsi="宋体" w:eastAsia="宋体" w:cstheme="minorBidi"/>
          <w:b/>
          <w:bCs/>
          <w:kern w:val="2"/>
          <w:sz w:val="28"/>
          <w:szCs w:val="28"/>
          <w:lang w:val="en-US" w:eastAsia="zh-CN" w:bidi="ar-SA"/>
          <w14:ligatures w14:val="standardContextual"/>
        </w:rPr>
      </w:pPr>
      <w:r>
        <w:rPr>
          <w:rFonts w:hint="eastAsia"/>
        </w:rPr>
        <w:t>本项目以</w:t>
      </w:r>
      <w:r>
        <w:rPr>
          <w:rFonts w:hint="eastAsia"/>
          <w:b/>
          <w:bCs/>
        </w:rPr>
        <w:t>数字化平台为纽带、品牌价值为核心、体验场景为载体</w:t>
      </w:r>
      <w:r>
        <w:rPr>
          <w:rFonts w:hint="eastAsia"/>
        </w:rPr>
        <w:t>，构建“一产筑基、二产增值、三产变现”的深度三产融合路径。第一产业聚焦</w:t>
      </w:r>
      <w:r>
        <w:rPr>
          <w:rFonts w:hint="eastAsia"/>
          <w:b/>
          <w:bCs/>
          <w:highlight w:val="yellow"/>
        </w:rPr>
        <w:t>樱桃标准化种植</w:t>
      </w:r>
      <w:r>
        <w:rPr>
          <w:rFonts w:hint="eastAsia"/>
        </w:rPr>
        <w:t>，依托土壤改良、科学管护提升产量与品质，为二产、三产提供</w:t>
      </w:r>
      <w:r>
        <w:rPr>
          <w:rFonts w:hint="eastAsia"/>
          <w:b/>
          <w:bCs/>
        </w:rPr>
        <w:t>优质原料支撑</w:t>
      </w:r>
      <w:r>
        <w:rPr>
          <w:rFonts w:hint="eastAsia"/>
        </w:rPr>
        <w:t>，同步开展采摘体验、农事教学，实现一产直接变现；第二产业聚焦</w:t>
      </w:r>
      <w:r>
        <w:rPr>
          <w:rFonts w:hint="eastAsia"/>
          <w:b/>
          <w:bCs/>
          <w:highlight w:val="yellow"/>
        </w:rPr>
        <w:t>樱桃深加工与品牌文创开发</w:t>
      </w:r>
      <w:r>
        <w:rPr>
          <w:rFonts w:hint="eastAsia"/>
        </w:rPr>
        <w:t>，打造果酱、果干、酵素、花茶、冻干食品等深加工产品线，将初级农产品转化为高附加值商品，配套文创产品设计生产，延伸产业链、提升溢价空间；第三产业聚焦</w:t>
      </w:r>
      <w:r>
        <w:rPr>
          <w:rFonts w:hint="eastAsia"/>
          <w:b/>
          <w:bCs/>
          <w:highlight w:val="yellow"/>
        </w:rPr>
        <w:t>骑行服务、场景体验、科普研学、餐饮住宿、电商运营、数字服务等业态</w:t>
      </w:r>
      <w:r>
        <w:rPr>
          <w:rFonts w:hint="eastAsia"/>
        </w:rPr>
        <w:t>，将消费行为升级为生活方式体验，实现流量变现与品牌增值。数字化平台贯穿三产全流程，同步承载产品销售、溯源查询、体验预约、数据采集、运营优化功能，实现三产无缝衔接、协同增效，形成“</w:t>
      </w:r>
      <w:r>
        <w:rPr>
          <w:rFonts w:hint="eastAsia"/>
          <w:highlight w:val="yellow"/>
        </w:rPr>
        <w:t>农业为基、加工为翼、服务为核</w:t>
      </w:r>
      <w:r>
        <w:rPr>
          <w:rFonts w:hint="eastAsia"/>
        </w:rPr>
        <w:t>”的乡村产业融合发展新模式。</w:t>
      </w:r>
    </w:p>
    <w:p w14:paraId="0ABE7BFF">
      <w:pPr>
        <w:pStyle w:val="3"/>
        <w:bidi w:val="0"/>
        <w:rPr>
          <w:rFonts w:hint="eastAsia"/>
        </w:rPr>
      </w:pPr>
      <w:bookmarkStart w:id="142" w:name="_Toc31360"/>
      <w:r>
        <w:rPr>
          <w:rFonts w:hint="eastAsia"/>
          <w:lang w:val="en-US" w:eastAsia="zh-CN"/>
        </w:rPr>
        <w:t>7.7 场景收益模型</w:t>
      </w:r>
      <w:bookmarkEnd w:id="142"/>
    </w:p>
    <w:p w14:paraId="36DEF612">
      <w:pPr>
        <w:spacing w:before="120" w:after="120" w:line="288" w:lineRule="auto"/>
        <w:ind w:left="0" w:firstLine="420" w:firstLineChars="200"/>
        <w:jc w:val="left"/>
      </w:pPr>
      <w:r>
        <w:rPr>
          <w:rFonts w:hint="eastAsia"/>
          <w:sz w:val="21"/>
          <w:szCs w:val="21"/>
        </w:rPr>
        <w:t>本项目场景收益模型以客群流量、客单价、接待能力、转化率为核心测算依据，覆盖七大核心体验场景，形成多元稳定、季节均衡、风险对冲的收益结构。所有测算均贴合怀柔区乡村旅游市场均价、项目实际承载上限与运营周期。</w:t>
      </w:r>
    </w:p>
    <w:p w14:paraId="413FDC3E">
      <w:pPr>
        <w:spacing w:after="160" w:line="278" w:lineRule="auto"/>
        <w:ind w:firstLine="442" w:firstLineChars="200"/>
        <w:jc w:val="center"/>
        <w:rPr>
          <w:rFonts w:hint="eastAsia"/>
          <w:b/>
          <w:bCs/>
          <w:lang w:val="en-US" w:eastAsia="zh-CN"/>
        </w:rPr>
      </w:pPr>
      <w:r>
        <w:rPr>
          <w:rFonts w:hint="eastAsia"/>
          <w:b/>
          <w:bCs/>
          <w:lang w:val="en-US" w:eastAsia="zh-CN"/>
        </w:rPr>
        <w:t>表7-3 核心场景收益测算模型（年度）</w:t>
      </w:r>
    </w:p>
    <w:tbl>
      <w:tblPr>
        <w:tblStyle w:val="14"/>
        <w:tblW w:w="0" w:type="auto"/>
        <w:tblInd w:w="-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1643"/>
        <w:gridCol w:w="1110"/>
        <w:gridCol w:w="1343"/>
        <w:gridCol w:w="1683"/>
        <w:gridCol w:w="2550"/>
      </w:tblGrid>
      <w:tr w14:paraId="177305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1126" w:hRule="atLeast"/>
          <w:tblHeader/>
        </w:trPr>
        <w:tc>
          <w:tcPr>
            <w:tcW w:w="1643" w:type="dxa"/>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7BA1130F">
            <w:pPr>
              <w:spacing w:before="120" w:after="120" w:line="288" w:lineRule="auto"/>
              <w:jc w:val="left"/>
              <w:rPr>
                <w:rFonts w:hint="eastAsia"/>
                <w:sz w:val="21"/>
                <w:szCs w:val="21"/>
              </w:rPr>
            </w:pPr>
            <w:r>
              <w:rPr>
                <w:rFonts w:hint="default"/>
                <w:sz w:val="21"/>
                <w:szCs w:val="21"/>
                <w:lang w:val="en-US" w:eastAsia="zh-CN"/>
              </w:rPr>
              <w:t>场景类别</w:t>
            </w:r>
          </w:p>
        </w:tc>
        <w:tc>
          <w:tcPr>
            <w:tcW w:w="1110"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683C6395">
            <w:pPr>
              <w:spacing w:before="120" w:after="120" w:line="288" w:lineRule="auto"/>
              <w:jc w:val="left"/>
              <w:rPr>
                <w:rFonts w:hint="default"/>
                <w:sz w:val="21"/>
                <w:szCs w:val="21"/>
              </w:rPr>
            </w:pPr>
            <w:r>
              <w:rPr>
                <w:rFonts w:hint="default"/>
                <w:sz w:val="21"/>
                <w:szCs w:val="21"/>
                <w:lang w:val="en-US" w:eastAsia="zh-CN"/>
              </w:rPr>
              <w:t>客单价（元/人）</w:t>
            </w:r>
          </w:p>
        </w:tc>
        <w:tc>
          <w:tcPr>
            <w:tcW w:w="1343"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33B850E7">
            <w:pPr>
              <w:spacing w:before="120" w:after="120" w:line="288" w:lineRule="auto"/>
              <w:jc w:val="left"/>
              <w:rPr>
                <w:rFonts w:hint="default"/>
                <w:sz w:val="21"/>
                <w:szCs w:val="21"/>
              </w:rPr>
            </w:pPr>
            <w:r>
              <w:rPr>
                <w:rFonts w:hint="default"/>
                <w:sz w:val="21"/>
                <w:szCs w:val="21"/>
                <w:lang w:val="en-US" w:eastAsia="zh-CN"/>
              </w:rPr>
              <w:t>年接待目标（人次）</w:t>
            </w:r>
          </w:p>
        </w:tc>
        <w:tc>
          <w:tcPr>
            <w:tcW w:w="1683"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77A7704F">
            <w:pPr>
              <w:spacing w:before="120" w:after="120" w:line="288" w:lineRule="auto"/>
              <w:jc w:val="left"/>
              <w:rPr>
                <w:rFonts w:hint="default"/>
                <w:sz w:val="21"/>
                <w:szCs w:val="21"/>
              </w:rPr>
            </w:pPr>
            <w:r>
              <w:rPr>
                <w:rFonts w:hint="default"/>
                <w:sz w:val="21"/>
                <w:szCs w:val="21"/>
                <w:lang w:val="en-US" w:eastAsia="zh-CN"/>
              </w:rPr>
              <w:t>年收入区间（万元）</w:t>
            </w:r>
          </w:p>
        </w:tc>
        <w:tc>
          <w:tcPr>
            <w:tcW w:w="2550"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10CA02E4">
            <w:pPr>
              <w:spacing w:before="120" w:after="120" w:line="288" w:lineRule="auto"/>
              <w:jc w:val="left"/>
              <w:rPr>
                <w:rFonts w:hint="default"/>
                <w:sz w:val="21"/>
                <w:szCs w:val="21"/>
              </w:rPr>
            </w:pPr>
            <w:r>
              <w:rPr>
                <w:rFonts w:hint="default"/>
                <w:sz w:val="21"/>
                <w:szCs w:val="21"/>
                <w:lang w:val="en-US" w:eastAsia="zh-CN"/>
              </w:rPr>
              <w:t>收益说明与运营依据</w:t>
            </w:r>
          </w:p>
        </w:tc>
      </w:tr>
      <w:tr w14:paraId="36FE2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6" w:hRule="atLeast"/>
        </w:trPr>
        <w:tc>
          <w:tcPr>
            <w:tcW w:w="1643" w:type="dxa"/>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732DE17C">
            <w:pPr>
              <w:spacing w:before="120" w:after="120" w:line="288" w:lineRule="auto"/>
              <w:jc w:val="left"/>
              <w:rPr>
                <w:rFonts w:hint="default"/>
                <w:sz w:val="21"/>
                <w:szCs w:val="21"/>
              </w:rPr>
            </w:pPr>
            <w:r>
              <w:rPr>
                <w:rFonts w:hint="default"/>
                <w:sz w:val="21"/>
                <w:szCs w:val="21"/>
                <w:lang w:val="en-US" w:eastAsia="zh-CN"/>
              </w:rPr>
              <w:t>樱桃全链体验</w:t>
            </w:r>
          </w:p>
        </w:tc>
        <w:tc>
          <w:tcPr>
            <w:tcW w:w="1110" w:type="dxa"/>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00436645">
            <w:pPr>
              <w:spacing w:before="120" w:after="120" w:line="288" w:lineRule="auto"/>
              <w:jc w:val="left"/>
              <w:rPr>
                <w:rFonts w:hint="default"/>
                <w:sz w:val="21"/>
                <w:szCs w:val="21"/>
              </w:rPr>
            </w:pPr>
            <w:r>
              <w:rPr>
                <w:rFonts w:hint="default"/>
                <w:sz w:val="21"/>
                <w:szCs w:val="21"/>
                <w:lang w:val="en-US" w:eastAsia="zh-CN"/>
              </w:rPr>
              <w:t>80–150</w:t>
            </w:r>
          </w:p>
        </w:tc>
        <w:tc>
          <w:tcPr>
            <w:tcW w:w="1343" w:type="dxa"/>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5E317716">
            <w:pPr>
              <w:tabs>
                <w:tab w:val="center" w:pos="511"/>
              </w:tabs>
              <w:spacing w:before="120" w:after="120" w:line="288" w:lineRule="auto"/>
              <w:jc w:val="left"/>
              <w:rPr>
                <w:rFonts w:hint="default"/>
                <w:sz w:val="21"/>
                <w:szCs w:val="21"/>
              </w:rPr>
            </w:pPr>
            <w:r>
              <w:rPr>
                <w:rFonts w:hint="default"/>
                <w:sz w:val="21"/>
                <w:szCs w:val="21"/>
                <w:lang w:val="en-US" w:eastAsia="zh-CN"/>
              </w:rPr>
              <w:t>8000</w:t>
            </w:r>
          </w:p>
        </w:tc>
        <w:tc>
          <w:tcPr>
            <w:tcW w:w="1683" w:type="dxa"/>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6D805C54">
            <w:pPr>
              <w:spacing w:before="120" w:after="120" w:line="288" w:lineRule="auto"/>
              <w:jc w:val="left"/>
              <w:rPr>
                <w:rFonts w:hint="default"/>
                <w:sz w:val="21"/>
                <w:szCs w:val="21"/>
              </w:rPr>
            </w:pPr>
            <w:r>
              <w:rPr>
                <w:rFonts w:hint="default"/>
                <w:sz w:val="21"/>
                <w:szCs w:val="21"/>
                <w:lang w:val="en-US" w:eastAsia="zh-CN"/>
              </w:rPr>
              <w:t>80–120</w:t>
            </w:r>
          </w:p>
        </w:tc>
        <w:tc>
          <w:tcPr>
            <w:tcW w:w="2550"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4DD6335E">
            <w:pPr>
              <w:spacing w:before="120" w:after="120" w:line="288" w:lineRule="auto"/>
              <w:jc w:val="left"/>
              <w:rPr>
                <w:rFonts w:hint="default"/>
                <w:sz w:val="21"/>
                <w:szCs w:val="21"/>
              </w:rPr>
            </w:pPr>
            <w:r>
              <w:rPr>
                <w:rFonts w:hint="default"/>
                <w:sz w:val="21"/>
                <w:szCs w:val="21"/>
                <w:lang w:val="en-US" w:eastAsia="zh-CN"/>
              </w:rPr>
              <w:t>以采摘+品鉴+DIY工坊为主，樱桃季集中接待，分批次限流运营，客单价随产品组合提升</w:t>
            </w:r>
          </w:p>
        </w:tc>
      </w:tr>
      <w:tr w14:paraId="5BA2D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43" w:type="dxa"/>
            <w:tcBorders>
              <w:top w:val="nil"/>
              <w:left w:val="nil"/>
              <w:bottom w:val="nil"/>
              <w:right w:val="nil"/>
            </w:tcBorders>
            <w:shd w:val="clear" w:color="auto" w:fill="FFFFFF"/>
            <w:noWrap w:val="0"/>
            <w:tcMar>
              <w:top w:w="100" w:type="dxa"/>
              <w:left w:w="-1" w:type="dxa"/>
              <w:bottom w:w="100" w:type="dxa"/>
              <w:right w:w="160" w:type="dxa"/>
            </w:tcMar>
            <w:vAlign w:val="center"/>
          </w:tcPr>
          <w:p w14:paraId="69ADDEAE">
            <w:pPr>
              <w:spacing w:before="120" w:after="120" w:line="288" w:lineRule="auto"/>
              <w:jc w:val="left"/>
              <w:rPr>
                <w:rFonts w:hint="default"/>
                <w:sz w:val="21"/>
                <w:szCs w:val="21"/>
              </w:rPr>
            </w:pPr>
            <w:r>
              <w:rPr>
                <w:rFonts w:hint="default"/>
                <w:sz w:val="21"/>
                <w:szCs w:val="21"/>
                <w:lang w:val="en-US" w:eastAsia="zh-CN"/>
              </w:rPr>
              <w:t>骑行+采摘一日套餐</w:t>
            </w:r>
          </w:p>
        </w:tc>
        <w:tc>
          <w:tcPr>
            <w:tcW w:w="1110" w:type="dxa"/>
            <w:tcBorders>
              <w:top w:val="nil"/>
              <w:left w:val="nil"/>
              <w:bottom w:val="nil"/>
              <w:right w:val="nil"/>
            </w:tcBorders>
            <w:shd w:val="clear" w:color="auto" w:fill="FFFFFF"/>
            <w:noWrap w:val="0"/>
            <w:tcMar>
              <w:top w:w="100" w:type="dxa"/>
              <w:left w:w="160" w:type="dxa"/>
              <w:bottom w:w="100" w:type="dxa"/>
              <w:right w:w="160" w:type="dxa"/>
            </w:tcMar>
            <w:vAlign w:val="center"/>
          </w:tcPr>
          <w:p w14:paraId="647F2EF7">
            <w:pPr>
              <w:spacing w:before="120" w:after="120" w:line="288" w:lineRule="auto"/>
              <w:jc w:val="left"/>
              <w:rPr>
                <w:rFonts w:hint="default"/>
                <w:sz w:val="21"/>
                <w:szCs w:val="21"/>
              </w:rPr>
            </w:pPr>
            <w:r>
              <w:rPr>
                <w:rFonts w:hint="default"/>
                <w:sz w:val="21"/>
                <w:szCs w:val="21"/>
                <w:lang w:val="en-US" w:eastAsia="zh-CN"/>
              </w:rPr>
              <w:t>300–500</w:t>
            </w:r>
          </w:p>
        </w:tc>
        <w:tc>
          <w:tcPr>
            <w:tcW w:w="1343" w:type="dxa"/>
            <w:tcBorders>
              <w:top w:val="nil"/>
              <w:left w:val="nil"/>
              <w:bottom w:val="nil"/>
              <w:right w:val="nil"/>
            </w:tcBorders>
            <w:shd w:val="clear" w:color="auto" w:fill="FFFFFF"/>
            <w:noWrap w:val="0"/>
            <w:tcMar>
              <w:top w:w="100" w:type="dxa"/>
              <w:left w:w="160" w:type="dxa"/>
              <w:bottom w:w="100" w:type="dxa"/>
              <w:right w:w="160" w:type="dxa"/>
            </w:tcMar>
            <w:vAlign w:val="center"/>
          </w:tcPr>
          <w:p w14:paraId="0D609278">
            <w:pPr>
              <w:spacing w:before="120" w:after="120" w:line="288" w:lineRule="auto"/>
              <w:jc w:val="left"/>
              <w:rPr>
                <w:rFonts w:hint="default"/>
                <w:sz w:val="21"/>
                <w:szCs w:val="21"/>
              </w:rPr>
            </w:pPr>
            <w:r>
              <w:rPr>
                <w:rFonts w:hint="default"/>
                <w:sz w:val="21"/>
                <w:szCs w:val="21"/>
                <w:lang w:val="en-US" w:eastAsia="zh-CN"/>
              </w:rPr>
              <w:t>5000</w:t>
            </w:r>
          </w:p>
        </w:tc>
        <w:tc>
          <w:tcPr>
            <w:tcW w:w="1683" w:type="dxa"/>
            <w:tcBorders>
              <w:top w:val="nil"/>
              <w:left w:val="nil"/>
              <w:bottom w:val="nil"/>
              <w:right w:val="nil"/>
            </w:tcBorders>
            <w:shd w:val="clear" w:color="auto" w:fill="FFFFFF"/>
            <w:noWrap w:val="0"/>
            <w:tcMar>
              <w:top w:w="100" w:type="dxa"/>
              <w:left w:w="160" w:type="dxa"/>
              <w:bottom w:w="100" w:type="dxa"/>
              <w:right w:w="160" w:type="dxa"/>
            </w:tcMar>
            <w:vAlign w:val="center"/>
          </w:tcPr>
          <w:p w14:paraId="2BEED5A2">
            <w:pPr>
              <w:spacing w:before="120" w:after="120" w:line="288" w:lineRule="auto"/>
              <w:jc w:val="left"/>
              <w:rPr>
                <w:rFonts w:hint="default"/>
                <w:sz w:val="21"/>
                <w:szCs w:val="21"/>
              </w:rPr>
            </w:pPr>
            <w:r>
              <w:rPr>
                <w:rFonts w:hint="default"/>
                <w:sz w:val="21"/>
                <w:szCs w:val="21"/>
                <w:lang w:val="en-US" w:eastAsia="zh-CN"/>
              </w:rPr>
              <w:t>150–250</w:t>
            </w:r>
          </w:p>
        </w:tc>
        <w:tc>
          <w:tcPr>
            <w:tcW w:w="2550" w:type="dxa"/>
            <w:tcBorders>
              <w:top w:val="nil"/>
              <w:left w:val="nil"/>
              <w:bottom w:val="nil"/>
              <w:right w:val="nil"/>
            </w:tcBorders>
            <w:shd w:val="clear" w:color="auto" w:fill="FFFFFF"/>
            <w:noWrap w:val="0"/>
            <w:tcMar>
              <w:top w:w="100" w:type="dxa"/>
              <w:left w:w="160" w:type="dxa"/>
              <w:bottom w:w="100" w:type="dxa"/>
              <w:right w:w="-1" w:type="dxa"/>
            </w:tcMar>
            <w:vAlign w:val="center"/>
          </w:tcPr>
          <w:p w14:paraId="48F9BFFA">
            <w:pPr>
              <w:spacing w:before="120" w:after="120" w:line="288" w:lineRule="auto"/>
              <w:jc w:val="left"/>
              <w:rPr>
                <w:rFonts w:hint="default"/>
                <w:sz w:val="21"/>
                <w:szCs w:val="21"/>
              </w:rPr>
            </w:pPr>
            <w:r>
              <w:rPr>
                <w:rFonts w:hint="default"/>
                <w:sz w:val="21"/>
                <w:szCs w:val="21"/>
                <w:lang w:val="en-US" w:eastAsia="zh-CN"/>
              </w:rPr>
              <w:t>骑行租赁+采摘+午餐+体验打包产品，核心引流型套餐，全年周末与节假日常态化发售</w:t>
            </w:r>
          </w:p>
        </w:tc>
      </w:tr>
      <w:tr w14:paraId="3E483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43" w:type="dxa"/>
            <w:tcBorders>
              <w:top w:val="nil"/>
              <w:left w:val="nil"/>
              <w:bottom w:val="nil"/>
              <w:right w:val="nil"/>
            </w:tcBorders>
            <w:shd w:val="clear" w:color="auto" w:fill="FFFFFF"/>
            <w:noWrap w:val="0"/>
            <w:tcMar>
              <w:top w:w="100" w:type="dxa"/>
              <w:left w:w="-1" w:type="dxa"/>
              <w:bottom w:w="100" w:type="dxa"/>
              <w:right w:w="160" w:type="dxa"/>
            </w:tcMar>
            <w:vAlign w:val="center"/>
          </w:tcPr>
          <w:p w14:paraId="21C8B3A4">
            <w:pPr>
              <w:spacing w:before="120" w:after="120" w:line="288" w:lineRule="auto"/>
              <w:jc w:val="left"/>
              <w:rPr>
                <w:rFonts w:hint="default"/>
                <w:sz w:val="21"/>
                <w:szCs w:val="21"/>
              </w:rPr>
            </w:pPr>
            <w:r>
              <w:rPr>
                <w:rFonts w:hint="default"/>
                <w:sz w:val="21"/>
                <w:szCs w:val="21"/>
                <w:lang w:val="en-US" w:eastAsia="zh-CN"/>
              </w:rPr>
              <w:t>研学课程/研学闯关</w:t>
            </w:r>
          </w:p>
        </w:tc>
        <w:tc>
          <w:tcPr>
            <w:tcW w:w="1110" w:type="dxa"/>
            <w:tcBorders>
              <w:top w:val="nil"/>
              <w:left w:val="nil"/>
              <w:bottom w:val="nil"/>
              <w:right w:val="nil"/>
            </w:tcBorders>
            <w:shd w:val="clear" w:color="auto" w:fill="FFFFFF"/>
            <w:noWrap w:val="0"/>
            <w:tcMar>
              <w:top w:w="100" w:type="dxa"/>
              <w:left w:w="160" w:type="dxa"/>
              <w:bottom w:w="100" w:type="dxa"/>
              <w:right w:w="160" w:type="dxa"/>
            </w:tcMar>
            <w:vAlign w:val="center"/>
          </w:tcPr>
          <w:p w14:paraId="4976E631">
            <w:pPr>
              <w:spacing w:before="120" w:after="120" w:line="288" w:lineRule="auto"/>
              <w:jc w:val="left"/>
              <w:rPr>
                <w:rFonts w:hint="default"/>
                <w:sz w:val="21"/>
                <w:szCs w:val="21"/>
              </w:rPr>
            </w:pPr>
            <w:r>
              <w:rPr>
                <w:rFonts w:hint="default"/>
                <w:sz w:val="21"/>
                <w:szCs w:val="21"/>
                <w:lang w:val="en-US" w:eastAsia="zh-CN"/>
              </w:rPr>
              <w:t>100–250</w:t>
            </w:r>
          </w:p>
        </w:tc>
        <w:tc>
          <w:tcPr>
            <w:tcW w:w="1343" w:type="dxa"/>
            <w:tcBorders>
              <w:top w:val="nil"/>
              <w:left w:val="nil"/>
              <w:bottom w:val="nil"/>
              <w:right w:val="nil"/>
            </w:tcBorders>
            <w:shd w:val="clear" w:color="auto" w:fill="FFFFFF"/>
            <w:noWrap w:val="0"/>
            <w:tcMar>
              <w:top w:w="100" w:type="dxa"/>
              <w:left w:w="160" w:type="dxa"/>
              <w:bottom w:w="100" w:type="dxa"/>
              <w:right w:w="160" w:type="dxa"/>
            </w:tcMar>
            <w:vAlign w:val="center"/>
          </w:tcPr>
          <w:p w14:paraId="26C3C568">
            <w:pPr>
              <w:spacing w:before="120" w:after="120" w:line="288" w:lineRule="auto"/>
              <w:jc w:val="left"/>
              <w:rPr>
                <w:rFonts w:hint="default"/>
                <w:sz w:val="21"/>
                <w:szCs w:val="21"/>
              </w:rPr>
            </w:pPr>
            <w:r>
              <w:rPr>
                <w:rFonts w:hint="default"/>
                <w:sz w:val="21"/>
                <w:szCs w:val="21"/>
                <w:lang w:val="en-US" w:eastAsia="zh-CN"/>
              </w:rPr>
              <w:t>3000</w:t>
            </w:r>
          </w:p>
        </w:tc>
        <w:tc>
          <w:tcPr>
            <w:tcW w:w="1683" w:type="dxa"/>
            <w:tcBorders>
              <w:top w:val="nil"/>
              <w:left w:val="nil"/>
              <w:bottom w:val="nil"/>
              <w:right w:val="nil"/>
            </w:tcBorders>
            <w:shd w:val="clear" w:color="auto" w:fill="FFFFFF"/>
            <w:noWrap w:val="0"/>
            <w:tcMar>
              <w:top w:w="100" w:type="dxa"/>
              <w:left w:w="160" w:type="dxa"/>
              <w:bottom w:w="100" w:type="dxa"/>
              <w:right w:w="160" w:type="dxa"/>
            </w:tcMar>
            <w:vAlign w:val="center"/>
          </w:tcPr>
          <w:p w14:paraId="7976DFA8">
            <w:pPr>
              <w:spacing w:before="120" w:after="120" w:line="288" w:lineRule="auto"/>
              <w:jc w:val="left"/>
              <w:rPr>
                <w:rFonts w:hint="default"/>
                <w:sz w:val="21"/>
                <w:szCs w:val="21"/>
              </w:rPr>
            </w:pPr>
            <w:r>
              <w:rPr>
                <w:rFonts w:hint="default"/>
                <w:sz w:val="21"/>
                <w:szCs w:val="21"/>
                <w:lang w:val="en-US" w:eastAsia="zh-CN"/>
              </w:rPr>
              <w:t>30–75</w:t>
            </w:r>
          </w:p>
        </w:tc>
        <w:tc>
          <w:tcPr>
            <w:tcW w:w="2550" w:type="dxa"/>
            <w:tcBorders>
              <w:top w:val="nil"/>
              <w:left w:val="nil"/>
              <w:bottom w:val="nil"/>
              <w:right w:val="nil"/>
            </w:tcBorders>
            <w:shd w:val="clear" w:color="auto" w:fill="FFFFFF"/>
            <w:noWrap w:val="0"/>
            <w:tcMar>
              <w:top w:w="100" w:type="dxa"/>
              <w:left w:w="160" w:type="dxa"/>
              <w:bottom w:w="100" w:type="dxa"/>
              <w:right w:w="-1" w:type="dxa"/>
            </w:tcMar>
            <w:vAlign w:val="center"/>
          </w:tcPr>
          <w:p w14:paraId="688CEC06">
            <w:pPr>
              <w:spacing w:before="120" w:after="120" w:line="288" w:lineRule="auto"/>
              <w:jc w:val="left"/>
              <w:rPr>
                <w:rFonts w:hint="default"/>
                <w:sz w:val="21"/>
                <w:szCs w:val="21"/>
              </w:rPr>
            </w:pPr>
            <w:r>
              <w:rPr>
                <w:rFonts w:hint="default"/>
                <w:sz w:val="21"/>
                <w:szCs w:val="21"/>
                <w:lang w:val="en-US" w:eastAsia="zh-CN"/>
              </w:rPr>
              <w:t>学校团体、培训机构批量采购，课程化、标准化交付，春秋两季为接待高峰</w:t>
            </w:r>
          </w:p>
        </w:tc>
      </w:tr>
      <w:tr w14:paraId="45C5E8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43" w:type="dxa"/>
            <w:tcBorders>
              <w:top w:val="nil"/>
              <w:left w:val="nil"/>
              <w:bottom w:val="nil"/>
              <w:right w:val="nil"/>
            </w:tcBorders>
            <w:shd w:val="clear" w:color="auto" w:fill="FFFFFF"/>
            <w:noWrap w:val="0"/>
            <w:tcMar>
              <w:top w:w="100" w:type="dxa"/>
              <w:left w:w="-1" w:type="dxa"/>
              <w:bottom w:w="100" w:type="dxa"/>
              <w:right w:w="160" w:type="dxa"/>
            </w:tcMar>
            <w:vAlign w:val="center"/>
          </w:tcPr>
          <w:p w14:paraId="185DFA62">
            <w:pPr>
              <w:spacing w:before="120" w:after="120" w:line="288" w:lineRule="auto"/>
              <w:jc w:val="left"/>
              <w:rPr>
                <w:rFonts w:hint="default"/>
                <w:sz w:val="21"/>
                <w:szCs w:val="21"/>
              </w:rPr>
            </w:pPr>
            <w:r>
              <w:rPr>
                <w:rFonts w:hint="default"/>
                <w:sz w:val="21"/>
                <w:szCs w:val="21"/>
                <w:lang w:val="en-US" w:eastAsia="zh-CN"/>
              </w:rPr>
              <w:t>团建定制（樱桃保卫战）</w:t>
            </w:r>
          </w:p>
        </w:tc>
        <w:tc>
          <w:tcPr>
            <w:tcW w:w="1110" w:type="dxa"/>
            <w:tcBorders>
              <w:top w:val="nil"/>
              <w:left w:val="nil"/>
              <w:bottom w:val="nil"/>
              <w:right w:val="nil"/>
            </w:tcBorders>
            <w:shd w:val="clear" w:color="auto" w:fill="FFFFFF"/>
            <w:noWrap w:val="0"/>
            <w:tcMar>
              <w:top w:w="100" w:type="dxa"/>
              <w:left w:w="160" w:type="dxa"/>
              <w:bottom w:w="100" w:type="dxa"/>
              <w:right w:w="160" w:type="dxa"/>
            </w:tcMar>
            <w:vAlign w:val="center"/>
          </w:tcPr>
          <w:p w14:paraId="75F5CC5E">
            <w:pPr>
              <w:spacing w:before="120" w:after="120" w:line="288" w:lineRule="auto"/>
              <w:jc w:val="left"/>
              <w:rPr>
                <w:rFonts w:hint="default"/>
                <w:sz w:val="21"/>
                <w:szCs w:val="21"/>
              </w:rPr>
            </w:pPr>
            <w:r>
              <w:rPr>
                <w:rFonts w:hint="default"/>
                <w:sz w:val="21"/>
                <w:szCs w:val="21"/>
                <w:lang w:val="en-US" w:eastAsia="zh-CN"/>
              </w:rPr>
              <w:t>150–300</w:t>
            </w:r>
          </w:p>
        </w:tc>
        <w:tc>
          <w:tcPr>
            <w:tcW w:w="1343" w:type="dxa"/>
            <w:tcBorders>
              <w:top w:val="nil"/>
              <w:left w:val="nil"/>
              <w:bottom w:val="nil"/>
              <w:right w:val="nil"/>
            </w:tcBorders>
            <w:shd w:val="clear" w:color="auto" w:fill="FFFFFF"/>
            <w:noWrap w:val="0"/>
            <w:tcMar>
              <w:top w:w="100" w:type="dxa"/>
              <w:left w:w="160" w:type="dxa"/>
              <w:bottom w:w="100" w:type="dxa"/>
              <w:right w:w="160" w:type="dxa"/>
            </w:tcMar>
            <w:vAlign w:val="center"/>
          </w:tcPr>
          <w:p w14:paraId="7C22A41B">
            <w:pPr>
              <w:spacing w:before="120" w:after="120" w:line="288" w:lineRule="auto"/>
              <w:jc w:val="left"/>
              <w:rPr>
                <w:rFonts w:hint="default"/>
                <w:sz w:val="21"/>
                <w:szCs w:val="21"/>
              </w:rPr>
            </w:pPr>
            <w:r>
              <w:rPr>
                <w:rFonts w:hint="default"/>
                <w:sz w:val="21"/>
                <w:szCs w:val="21"/>
                <w:lang w:val="en-US" w:eastAsia="zh-CN"/>
              </w:rPr>
              <w:t>2000</w:t>
            </w:r>
          </w:p>
        </w:tc>
        <w:tc>
          <w:tcPr>
            <w:tcW w:w="1683" w:type="dxa"/>
            <w:tcBorders>
              <w:top w:val="nil"/>
              <w:left w:val="nil"/>
              <w:bottom w:val="nil"/>
              <w:right w:val="nil"/>
            </w:tcBorders>
            <w:shd w:val="clear" w:color="auto" w:fill="FFFFFF"/>
            <w:noWrap w:val="0"/>
            <w:tcMar>
              <w:top w:w="100" w:type="dxa"/>
              <w:left w:w="160" w:type="dxa"/>
              <w:bottom w:w="100" w:type="dxa"/>
              <w:right w:w="160" w:type="dxa"/>
            </w:tcMar>
            <w:vAlign w:val="center"/>
          </w:tcPr>
          <w:p w14:paraId="5CCBA0A1">
            <w:pPr>
              <w:spacing w:before="120" w:after="120" w:line="288" w:lineRule="auto"/>
              <w:jc w:val="left"/>
              <w:rPr>
                <w:rFonts w:hint="default"/>
                <w:sz w:val="21"/>
                <w:szCs w:val="21"/>
              </w:rPr>
            </w:pPr>
            <w:r>
              <w:rPr>
                <w:rFonts w:hint="default"/>
                <w:sz w:val="21"/>
                <w:szCs w:val="21"/>
                <w:lang w:val="en-US" w:eastAsia="zh-CN"/>
              </w:rPr>
              <w:t>30–60</w:t>
            </w:r>
          </w:p>
        </w:tc>
        <w:tc>
          <w:tcPr>
            <w:tcW w:w="2550" w:type="dxa"/>
            <w:tcBorders>
              <w:top w:val="nil"/>
              <w:left w:val="nil"/>
              <w:bottom w:val="nil"/>
              <w:right w:val="nil"/>
            </w:tcBorders>
            <w:shd w:val="clear" w:color="auto" w:fill="FFFFFF"/>
            <w:noWrap w:val="0"/>
            <w:tcMar>
              <w:top w:w="100" w:type="dxa"/>
              <w:left w:w="160" w:type="dxa"/>
              <w:bottom w:w="100" w:type="dxa"/>
              <w:right w:w="-1" w:type="dxa"/>
            </w:tcMar>
            <w:vAlign w:val="center"/>
          </w:tcPr>
          <w:p w14:paraId="2F0D011A">
            <w:pPr>
              <w:spacing w:before="120" w:after="120" w:line="288" w:lineRule="auto"/>
              <w:jc w:val="left"/>
              <w:rPr>
                <w:rFonts w:hint="default"/>
                <w:sz w:val="21"/>
                <w:szCs w:val="21"/>
              </w:rPr>
            </w:pPr>
            <w:r>
              <w:rPr>
                <w:rFonts w:hint="default"/>
                <w:sz w:val="21"/>
                <w:szCs w:val="21"/>
                <w:lang w:val="en-US" w:eastAsia="zh-CN"/>
              </w:rPr>
              <w:t>企业团队包场，CS+餐饮+拓展一体化产品，工作日与秋季订单占比高</w:t>
            </w:r>
          </w:p>
        </w:tc>
      </w:tr>
      <w:tr w14:paraId="4EF7C7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43"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09CFD4F4">
            <w:pPr>
              <w:spacing w:before="120" w:after="120" w:line="288" w:lineRule="auto"/>
              <w:jc w:val="left"/>
              <w:rPr>
                <w:rFonts w:hint="default"/>
                <w:sz w:val="21"/>
                <w:szCs w:val="21"/>
              </w:rPr>
            </w:pPr>
            <w:r>
              <w:rPr>
                <w:rFonts w:hint="default"/>
                <w:sz w:val="21"/>
                <w:szCs w:val="21"/>
                <w:lang w:val="en-US" w:eastAsia="zh-CN"/>
              </w:rPr>
              <w:t>合计</w:t>
            </w:r>
          </w:p>
        </w:tc>
        <w:tc>
          <w:tcPr>
            <w:tcW w:w="1110"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7B913192">
            <w:pPr>
              <w:spacing w:before="120" w:after="120" w:line="288" w:lineRule="auto"/>
              <w:ind w:left="0" w:firstLine="420" w:firstLineChars="200"/>
              <w:jc w:val="left"/>
              <w:rPr>
                <w:rFonts w:hint="default"/>
                <w:sz w:val="21"/>
                <w:szCs w:val="21"/>
              </w:rPr>
            </w:pPr>
            <w:r>
              <w:rPr>
                <w:rFonts w:hint="default"/>
                <w:sz w:val="21"/>
                <w:szCs w:val="21"/>
                <w:lang w:val="en-US" w:eastAsia="zh-CN"/>
              </w:rPr>
              <w:t>——</w:t>
            </w:r>
          </w:p>
        </w:tc>
        <w:tc>
          <w:tcPr>
            <w:tcW w:w="1343"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76361003">
            <w:pPr>
              <w:spacing w:before="120" w:after="120" w:line="288" w:lineRule="auto"/>
              <w:jc w:val="left"/>
              <w:rPr>
                <w:rFonts w:hint="default"/>
                <w:sz w:val="21"/>
                <w:szCs w:val="21"/>
              </w:rPr>
            </w:pPr>
            <w:r>
              <w:rPr>
                <w:rFonts w:hint="default"/>
                <w:sz w:val="21"/>
                <w:szCs w:val="21"/>
                <w:lang w:val="en-US" w:eastAsia="zh-CN"/>
              </w:rPr>
              <w:t>18000</w:t>
            </w:r>
          </w:p>
        </w:tc>
        <w:tc>
          <w:tcPr>
            <w:tcW w:w="1683"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280C4944">
            <w:pPr>
              <w:spacing w:before="120" w:after="120" w:line="288" w:lineRule="auto"/>
              <w:jc w:val="left"/>
              <w:rPr>
                <w:rFonts w:hint="default"/>
                <w:sz w:val="21"/>
                <w:szCs w:val="21"/>
              </w:rPr>
            </w:pPr>
            <w:r>
              <w:rPr>
                <w:rFonts w:hint="default"/>
                <w:sz w:val="21"/>
                <w:szCs w:val="21"/>
                <w:lang w:val="en-US" w:eastAsia="zh-CN"/>
              </w:rPr>
              <w:t>290–505</w:t>
            </w:r>
          </w:p>
        </w:tc>
        <w:tc>
          <w:tcPr>
            <w:tcW w:w="2550"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13430688">
            <w:pPr>
              <w:spacing w:before="120" w:after="120" w:line="288" w:lineRule="auto"/>
              <w:jc w:val="left"/>
              <w:rPr>
                <w:rFonts w:hint="default"/>
                <w:sz w:val="21"/>
                <w:szCs w:val="21"/>
              </w:rPr>
            </w:pPr>
            <w:r>
              <w:rPr>
                <w:rFonts w:hint="default"/>
                <w:sz w:val="21"/>
                <w:szCs w:val="21"/>
                <w:lang w:val="en-US" w:eastAsia="zh-CN"/>
              </w:rPr>
              <w:t>覆盖白领、亲子、商务、研学等多客群，四季均有主力产品，服务类收益占比高，抗周期风险能力强</w:t>
            </w:r>
          </w:p>
        </w:tc>
      </w:tr>
    </w:tbl>
    <w:p w14:paraId="55027ACE">
      <w:pPr>
        <w:spacing w:before="120" w:after="120" w:line="288" w:lineRule="auto"/>
        <w:ind w:left="0"/>
        <w:jc w:val="left"/>
        <w:rPr>
          <w:rFonts w:hint="eastAsia"/>
          <w:sz w:val="18"/>
          <w:szCs w:val="18"/>
        </w:rPr>
      </w:pPr>
      <w:r>
        <w:rPr>
          <w:rFonts w:hint="eastAsia"/>
          <w:b/>
          <w:bCs/>
          <w:sz w:val="18"/>
          <w:szCs w:val="18"/>
        </w:rPr>
        <w:t>模型说明</w:t>
      </w:r>
      <w:r>
        <w:rPr>
          <w:rFonts w:hint="eastAsia"/>
          <w:sz w:val="18"/>
          <w:szCs w:val="18"/>
          <w:lang w:eastAsia="zh-CN"/>
        </w:rPr>
        <w:t>：</w:t>
      </w:r>
    </w:p>
    <w:p w14:paraId="6FEB7294">
      <w:pPr>
        <w:spacing w:before="120" w:after="120" w:line="288" w:lineRule="auto"/>
        <w:ind w:left="0"/>
        <w:jc w:val="left"/>
        <w:rPr>
          <w:rFonts w:hint="eastAsia"/>
          <w:sz w:val="18"/>
          <w:szCs w:val="18"/>
          <w:lang w:eastAsia="zh-CN"/>
        </w:rPr>
      </w:pPr>
      <w:r>
        <w:rPr>
          <w:rFonts w:hint="eastAsia"/>
          <w:sz w:val="18"/>
          <w:szCs w:val="18"/>
        </w:rPr>
        <w:t>1. 接待规模依据：按项目中期年游客量2.5万人次测算，场景体验转化率约65%，符合京郊乡村旅游真实转化水平。</w:t>
      </w:r>
    </w:p>
    <w:p w14:paraId="57B2F322">
      <w:pPr>
        <w:spacing w:before="120" w:after="120" w:line="288" w:lineRule="auto"/>
        <w:ind w:left="0"/>
        <w:jc w:val="left"/>
        <w:rPr>
          <w:rFonts w:hint="eastAsia"/>
          <w:sz w:val="18"/>
          <w:szCs w:val="18"/>
        </w:rPr>
      </w:pPr>
      <w:r>
        <w:rPr>
          <w:rFonts w:hint="eastAsia"/>
          <w:sz w:val="18"/>
          <w:szCs w:val="18"/>
        </w:rPr>
        <w:t>2. 客单价依据：参照怀柔区同类农文旅项目定价，并结合水源地品质背书、骑行IP、研学课程进行适度溢价。</w:t>
      </w:r>
    </w:p>
    <w:p w14:paraId="56168D74">
      <w:pPr>
        <w:spacing w:before="120" w:after="120" w:line="288" w:lineRule="auto"/>
        <w:ind w:left="0"/>
        <w:jc w:val="left"/>
        <w:rPr>
          <w:rFonts w:hint="eastAsia"/>
          <w:sz w:val="18"/>
          <w:szCs w:val="18"/>
        </w:rPr>
      </w:pPr>
      <w:r>
        <w:rPr>
          <w:rFonts w:hint="eastAsia"/>
          <w:sz w:val="18"/>
          <w:szCs w:val="18"/>
        </w:rPr>
        <w:t>3. 季节均衡性：樱桃季（5–6月）贡献约45%场景收益，非樱桃季通过研学、团建、露营、冬季产品实现55%收益，有效平抑季节波动。</w:t>
      </w:r>
    </w:p>
    <w:p w14:paraId="7646A767">
      <w:pPr>
        <w:spacing w:before="120" w:after="120" w:line="288" w:lineRule="auto"/>
        <w:ind w:left="0"/>
        <w:jc w:val="left"/>
        <w:rPr>
          <w:rFonts w:hint="eastAsia"/>
          <w:sz w:val="18"/>
          <w:szCs w:val="18"/>
        </w:rPr>
      </w:pPr>
      <w:r>
        <w:rPr>
          <w:rFonts w:hint="eastAsia"/>
          <w:sz w:val="18"/>
          <w:szCs w:val="18"/>
        </w:rPr>
        <w:t>4. 盈利结构：场景服务类毛利率普遍高于75%，显著高于鲜果销售，是项目高毛利、可持续的核心支撑。</w:t>
      </w:r>
    </w:p>
    <w:p w14:paraId="19B73B35">
      <w:pPr>
        <w:spacing w:before="120" w:after="120" w:line="288" w:lineRule="auto"/>
        <w:ind w:left="0"/>
        <w:jc w:val="left"/>
        <w:rPr>
          <w:rFonts w:hint="eastAsia"/>
          <w:sz w:val="18"/>
          <w:szCs w:val="18"/>
        </w:rPr>
      </w:pPr>
    </w:p>
    <w:p w14:paraId="71DCAF3D">
      <w:pPr>
        <w:keepNext/>
        <w:keepLines/>
        <w:spacing w:before="480" w:after="0" w:line="360" w:lineRule="auto"/>
        <w:outlineLvl w:val="0"/>
        <w:rPr>
          <w:rFonts w:hint="eastAsia" w:ascii="宋体" w:hAnsi="宋体" w:eastAsia="宋体" w:cs="宋体"/>
          <w:b/>
          <w:bCs/>
          <w:color w:val="366091"/>
          <w:sz w:val="30"/>
          <w:szCs w:val="30"/>
          <w:lang w:val="en-US" w:eastAsia="zh-CN" w:bidi="ar-SA"/>
        </w:rPr>
      </w:pPr>
      <w:bookmarkStart w:id="143" w:name="_Toc4675"/>
      <w:r>
        <w:rPr>
          <w:rFonts w:hint="eastAsia" w:ascii="宋体" w:hAnsi="宋体" w:eastAsia="宋体" w:cs="宋体"/>
          <w:b/>
          <w:bCs/>
          <w:color w:val="000000"/>
          <w:sz w:val="30"/>
          <w:szCs w:val="30"/>
          <w:lang w:val="en-US" w:eastAsia="zh-CN" w:bidi="ar-SA"/>
        </w:rPr>
        <w:t>第八章  数字化平台建设方案</w:t>
      </w:r>
      <w:bookmarkEnd w:id="143"/>
    </w:p>
    <w:p w14:paraId="10000DC1">
      <w:pPr>
        <w:widowControl/>
        <w:spacing w:after="120" w:line="360" w:lineRule="auto"/>
        <w:ind w:firstLine="425"/>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数字化平台是“樱动东庄”运营体系的技术底座。本章阐述平台定位、功能架构、核心功能设计、开发实现与运营策略。</w:t>
      </w:r>
    </w:p>
    <w:p w14:paraId="25F05D24">
      <w:pPr>
        <w:keepNext/>
        <w:keepLines/>
        <w:spacing w:before="200" w:after="0" w:line="360" w:lineRule="auto"/>
        <w:outlineLvl w:val="1"/>
        <w:rPr>
          <w:rFonts w:hint="eastAsia" w:ascii="宋体" w:hAnsi="宋体" w:eastAsia="宋体" w:cs="宋体"/>
          <w:b/>
          <w:bCs/>
          <w:color w:val="4F81BD"/>
          <w:sz w:val="21"/>
          <w:szCs w:val="21"/>
          <w:lang w:val="en-US" w:eastAsia="zh-CN" w:bidi="ar-SA"/>
        </w:rPr>
      </w:pPr>
      <w:bookmarkStart w:id="144" w:name="_Toc1906"/>
      <w:r>
        <w:rPr>
          <w:rFonts w:hint="eastAsia" w:ascii="宋体" w:hAnsi="宋体" w:eastAsia="宋体" w:cs="宋体"/>
          <w:b/>
          <w:bCs/>
          <w:color w:val="000000"/>
          <w:sz w:val="21"/>
          <w:szCs w:val="21"/>
          <w:lang w:val="en-US" w:eastAsia="zh-CN" w:bidi="ar-SA"/>
        </w:rPr>
        <w:t>8.1  平台定位</w:t>
      </w:r>
      <w:bookmarkEnd w:id="144"/>
    </w:p>
    <w:p w14:paraId="7D408802">
      <w:pPr>
        <w:widowControl/>
        <w:spacing w:after="120" w:line="360" w:lineRule="auto"/>
        <w:ind w:firstLine="425"/>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樱动东庄"微信小程序定位为杨家东庄村的一站式数字服务平台，集品牌展示、电商销售、骑行导览、打卡互动、果树认养、数字孪生、智能行程推荐、生态数据看板于一体。平台面向三类核心用户：骑行爱好者（流量入口）、樱桃消费者（商业转化）、果树认养人（深度绑定）。选择微信小程序作为载体：覆盖面广、扫码即用、云开发免服务器运维</w:t>
      </w:r>
    </w:p>
    <w:p w14:paraId="08960928">
      <w:pPr>
        <w:widowControl/>
        <w:spacing w:after="120" w:line="360" w:lineRule="auto"/>
        <w:ind w:firstLine="425"/>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drawing>
          <wp:inline distT="0" distB="0" distL="0" distR="0">
            <wp:extent cx="1613535" cy="2686050"/>
            <wp:effectExtent l="0" t="0" r="12065" b="635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48">
                      <a:extLst>
                        <a:ext uri="{28A0092B-C50C-407E-A947-70E740481C1C}">
                          <a14:useLocalDpi xmlns:a14="http://schemas.microsoft.com/office/drawing/2010/main" val="0"/>
                        </a:ext>
                      </a:extLst>
                    </a:blip>
                    <a:srcRect t="3164" b="45802"/>
                    <a:stretch>
                      <a:fillRect/>
                    </a:stretch>
                  </pic:blipFill>
                  <pic:spPr>
                    <a:xfrm>
                      <a:off x="0" y="0"/>
                      <a:ext cx="1613535" cy="2686050"/>
                    </a:xfrm>
                    <a:prstGeom prst="rect">
                      <a:avLst/>
                    </a:prstGeom>
                    <a:noFill/>
                    <a:ln>
                      <a:noFill/>
                    </a:ln>
                  </pic:spPr>
                </pic:pic>
              </a:graphicData>
            </a:graphic>
          </wp:inline>
        </w:drawing>
      </w:r>
      <w:r>
        <w:rPr>
          <w:rFonts w:hint="eastAsia" w:ascii="宋体" w:hAnsi="宋体" w:eastAsia="宋体" w:cs="宋体"/>
          <w:kern w:val="0"/>
          <w:sz w:val="21"/>
          <w:szCs w:val="21"/>
          <w:lang w:val="en-US" w:eastAsia="zh-CN"/>
          <w14:ligatures w14:val="none"/>
        </w:rPr>
        <w:t xml:space="preserve">             </w:t>
      </w:r>
      <w:r>
        <w:rPr>
          <w:rFonts w:hint="eastAsia" w:ascii="宋体" w:hAnsi="宋体" w:eastAsia="宋体" w:cs="宋体"/>
          <w:kern w:val="0"/>
          <w:sz w:val="21"/>
          <w:szCs w:val="21"/>
          <w:lang w:eastAsia="zh-CN"/>
          <w14:ligatures w14:val="none"/>
        </w:rPr>
        <w:drawing>
          <wp:inline distT="0" distB="0" distL="0" distR="0">
            <wp:extent cx="1666875" cy="2633980"/>
            <wp:effectExtent l="0" t="0" r="9525" b="7620"/>
            <wp:docPr id="1117203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203655" name="图片 1"/>
                    <pic:cNvPicPr>
                      <a:picLocks noChangeAspect="1" noChangeArrowheads="1"/>
                    </pic:cNvPicPr>
                  </pic:nvPicPr>
                  <pic:blipFill>
                    <a:blip r:embed="rId48">
                      <a:extLst>
                        <a:ext uri="{28A0092B-C50C-407E-A947-70E740481C1C}">
                          <a14:useLocalDpi xmlns:a14="http://schemas.microsoft.com/office/drawing/2010/main" val="0"/>
                        </a:ext>
                      </a:extLst>
                    </a:blip>
                    <a:srcRect t="54406" b="154"/>
                    <a:stretch>
                      <a:fillRect/>
                    </a:stretch>
                  </pic:blipFill>
                  <pic:spPr>
                    <a:xfrm>
                      <a:off x="0" y="0"/>
                      <a:ext cx="1666875" cy="2633980"/>
                    </a:xfrm>
                    <a:prstGeom prst="rect">
                      <a:avLst/>
                    </a:prstGeom>
                    <a:noFill/>
                    <a:ln>
                      <a:noFill/>
                    </a:ln>
                  </pic:spPr>
                </pic:pic>
              </a:graphicData>
            </a:graphic>
          </wp:inline>
        </w:drawing>
      </w:r>
      <w:r>
        <w:rPr>
          <w:rFonts w:hint="eastAsia" w:ascii="宋体" w:hAnsi="宋体" w:eastAsia="宋体" w:cs="宋体"/>
          <w:kern w:val="0"/>
          <w:sz w:val="21"/>
          <w:szCs w:val="21"/>
          <w:lang w:eastAsia="zh-CN"/>
          <w14:ligatures w14:val="none"/>
        </w:rPr>
        <w:t>。</w:t>
      </w:r>
    </w:p>
    <w:p w14:paraId="16D18518">
      <w:pPr>
        <w:keepNext/>
        <w:keepLines/>
        <w:spacing w:before="200" w:after="0" w:line="360" w:lineRule="auto"/>
        <w:outlineLvl w:val="1"/>
        <w:rPr>
          <w:rFonts w:hint="eastAsia" w:ascii="宋体" w:hAnsi="宋体" w:eastAsia="宋体" w:cs="宋体"/>
          <w:b/>
          <w:bCs/>
          <w:color w:val="4F81BD"/>
          <w:sz w:val="21"/>
          <w:szCs w:val="21"/>
          <w:lang w:val="en-US" w:eastAsia="zh-CN" w:bidi="ar-SA"/>
        </w:rPr>
      </w:pPr>
      <w:bookmarkStart w:id="145" w:name="_Toc19118"/>
      <w:r>
        <w:rPr>
          <w:rFonts w:hint="eastAsia" w:ascii="宋体" w:hAnsi="宋体" w:eastAsia="宋体" w:cs="宋体"/>
          <w:b/>
          <w:bCs/>
          <w:color w:val="000000"/>
          <w:sz w:val="21"/>
          <w:szCs w:val="21"/>
          <w:lang w:val="en-US" w:eastAsia="zh-CN" w:bidi="ar-SA"/>
        </w:rPr>
        <w:t>8.2  功能架构</w:t>
      </w:r>
      <w:bookmarkEnd w:id="145"/>
    </w:p>
    <w:p w14:paraId="7EAECA6C">
      <w:pPr>
        <w:widowControl/>
        <w:spacing w:after="120" w:line="360" w:lineRule="auto"/>
        <w:ind w:firstLine="425"/>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小程序共包含17个页面，按功能划分为5个主Tab页和12个子页面，形成"五核+延伸"的功能矩阵。</w:t>
      </w:r>
    </w:p>
    <w:p w14:paraId="28590242">
      <w:pPr>
        <w:keepNext/>
        <w:keepLines/>
        <w:spacing w:before="200" w:after="0" w:line="360" w:lineRule="auto"/>
        <w:outlineLvl w:val="2"/>
        <w:rPr>
          <w:rFonts w:hint="eastAsia" w:ascii="宋体" w:hAnsi="宋体" w:eastAsia="宋体" w:cs="宋体"/>
          <w:b/>
          <w:bCs/>
          <w:color w:val="4F81BD"/>
          <w:sz w:val="21"/>
          <w:szCs w:val="21"/>
          <w:lang w:val="en-US" w:eastAsia="en-US" w:bidi="ar-SA"/>
        </w:rPr>
      </w:pPr>
      <w:bookmarkStart w:id="146" w:name="_Toc20501"/>
      <w:r>
        <w:rPr>
          <w:rFonts w:hint="eastAsia" w:ascii="宋体" w:hAnsi="宋体" w:eastAsia="宋体" w:cs="宋体"/>
          <w:b/>
          <w:bCs/>
          <w:color w:val="000000"/>
          <w:sz w:val="21"/>
          <w:szCs w:val="21"/>
          <w:lang w:val="en-US" w:eastAsia="en-US" w:bidi="ar-SA"/>
        </w:rPr>
        <w:t>8.2.1  功能模块总览</w:t>
      </w:r>
      <w:bookmarkEnd w:id="146"/>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2140"/>
        <w:gridCol w:w="2131"/>
        <w:gridCol w:w="2129"/>
      </w:tblGrid>
      <w:tr w14:paraId="60BD1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26BCC73">
            <w:pPr>
              <w:widowControl/>
              <w:spacing w:after="120" w:line="360" w:lineRule="auto"/>
              <w:jc w:val="center"/>
              <w:rPr>
                <w:rFonts w:hint="eastAsia" w:ascii="宋体" w:hAnsi="宋体" w:eastAsia="宋体" w:cs="宋体"/>
                <w:kern w:val="0"/>
                <w:sz w:val="21"/>
                <w:szCs w:val="21"/>
                <w:lang w:eastAsia="en-US"/>
                <w14:ligatures w14:val="none"/>
              </w:rPr>
            </w:pPr>
            <w:r>
              <w:rPr>
                <w:rFonts w:hint="eastAsia" w:ascii="宋体" w:hAnsi="宋体" w:eastAsia="宋体" w:cs="宋体"/>
                <w:b/>
                <w:kern w:val="0"/>
                <w:sz w:val="21"/>
                <w:szCs w:val="21"/>
                <w:lang w:eastAsia="en-US"/>
                <w14:ligatures w14:val="none"/>
              </w:rPr>
              <w:t>模块</w:t>
            </w:r>
          </w:p>
        </w:tc>
        <w:tc>
          <w:tcPr>
            <w:tcW w:w="2160" w:type="dxa"/>
          </w:tcPr>
          <w:p w14:paraId="031C0F72">
            <w:pPr>
              <w:widowControl/>
              <w:spacing w:after="120" w:line="360" w:lineRule="auto"/>
              <w:jc w:val="center"/>
              <w:rPr>
                <w:rFonts w:hint="eastAsia" w:ascii="宋体" w:hAnsi="宋体" w:eastAsia="宋体" w:cs="宋体"/>
                <w:kern w:val="0"/>
                <w:sz w:val="21"/>
                <w:szCs w:val="21"/>
                <w:lang w:eastAsia="en-US"/>
                <w14:ligatures w14:val="none"/>
              </w:rPr>
            </w:pPr>
            <w:r>
              <w:rPr>
                <w:rFonts w:hint="eastAsia" w:ascii="宋体" w:hAnsi="宋体" w:eastAsia="宋体" w:cs="宋体"/>
                <w:b/>
                <w:kern w:val="0"/>
                <w:sz w:val="21"/>
                <w:szCs w:val="21"/>
                <w:lang w:eastAsia="en-US"/>
                <w14:ligatures w14:val="none"/>
              </w:rPr>
              <w:t>页面</w:t>
            </w:r>
          </w:p>
        </w:tc>
        <w:tc>
          <w:tcPr>
            <w:tcW w:w="2160" w:type="dxa"/>
          </w:tcPr>
          <w:p w14:paraId="329B5489">
            <w:pPr>
              <w:widowControl/>
              <w:spacing w:after="120" w:line="360" w:lineRule="auto"/>
              <w:jc w:val="center"/>
              <w:rPr>
                <w:rFonts w:hint="eastAsia" w:ascii="宋体" w:hAnsi="宋体" w:eastAsia="宋体" w:cs="宋体"/>
                <w:kern w:val="0"/>
                <w:sz w:val="21"/>
                <w:szCs w:val="21"/>
                <w:lang w:eastAsia="en-US"/>
                <w14:ligatures w14:val="none"/>
              </w:rPr>
            </w:pPr>
            <w:r>
              <w:rPr>
                <w:rFonts w:hint="eastAsia" w:ascii="宋体" w:hAnsi="宋体" w:eastAsia="宋体" w:cs="宋体"/>
                <w:b/>
                <w:kern w:val="0"/>
                <w:sz w:val="21"/>
                <w:szCs w:val="21"/>
                <w:lang w:eastAsia="en-US"/>
                <w14:ligatures w14:val="none"/>
              </w:rPr>
              <w:t>核心功能</w:t>
            </w:r>
          </w:p>
        </w:tc>
        <w:tc>
          <w:tcPr>
            <w:tcW w:w="2160" w:type="dxa"/>
          </w:tcPr>
          <w:p w14:paraId="51D60854">
            <w:pPr>
              <w:widowControl/>
              <w:spacing w:after="120" w:line="360" w:lineRule="auto"/>
              <w:jc w:val="center"/>
              <w:rPr>
                <w:rFonts w:hint="eastAsia" w:ascii="宋体" w:hAnsi="宋体" w:eastAsia="宋体" w:cs="宋体"/>
                <w:kern w:val="0"/>
                <w:sz w:val="21"/>
                <w:szCs w:val="21"/>
                <w:lang w:eastAsia="en-US"/>
                <w14:ligatures w14:val="none"/>
              </w:rPr>
            </w:pPr>
            <w:r>
              <w:rPr>
                <w:rFonts w:hint="eastAsia" w:ascii="宋体" w:hAnsi="宋体" w:eastAsia="宋体" w:cs="宋体"/>
                <w:b/>
                <w:kern w:val="0"/>
                <w:sz w:val="21"/>
                <w:szCs w:val="21"/>
                <w:lang w:eastAsia="en-US"/>
                <w14:ligatures w14:val="none"/>
              </w:rPr>
              <w:t>对应章节</w:t>
            </w:r>
          </w:p>
        </w:tc>
      </w:tr>
      <w:tr w14:paraId="45B04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C7C0AEB">
            <w:pPr>
              <w:widowControl/>
              <w:spacing w:after="120" w:line="360" w:lineRule="auto"/>
              <w:rPr>
                <w:rFonts w:hint="eastAsia" w:ascii="宋体" w:hAnsi="宋体" w:eastAsia="宋体" w:cs="宋体"/>
                <w:kern w:val="0"/>
                <w:sz w:val="21"/>
                <w:szCs w:val="21"/>
                <w:lang w:eastAsia="en-US"/>
                <w14:ligatures w14:val="none"/>
              </w:rPr>
            </w:pPr>
            <w:r>
              <w:rPr>
                <w:rFonts w:hint="eastAsia" w:ascii="宋体" w:hAnsi="宋体" w:eastAsia="宋体" w:cs="宋体"/>
                <w:kern w:val="0"/>
                <w:sz w:val="21"/>
                <w:szCs w:val="21"/>
                <w:lang w:eastAsia="en-US"/>
                <w14:ligatures w14:val="none"/>
              </w:rPr>
              <w:t>首页</w:t>
            </w:r>
          </w:p>
        </w:tc>
        <w:tc>
          <w:tcPr>
            <w:tcW w:w="2160" w:type="dxa"/>
          </w:tcPr>
          <w:p w14:paraId="5DB5720F">
            <w:pPr>
              <w:widowControl/>
              <w:spacing w:after="120" w:line="360" w:lineRule="auto"/>
              <w:rPr>
                <w:rFonts w:hint="eastAsia" w:ascii="宋体" w:hAnsi="宋体" w:eastAsia="宋体" w:cs="宋体"/>
                <w:kern w:val="0"/>
                <w:sz w:val="21"/>
                <w:szCs w:val="21"/>
                <w:lang w:eastAsia="en-US"/>
                <w14:ligatures w14:val="none"/>
              </w:rPr>
            </w:pPr>
            <w:r>
              <w:rPr>
                <w:rFonts w:hint="eastAsia" w:ascii="宋体" w:hAnsi="宋体" w:eastAsia="宋体" w:cs="宋体"/>
                <w:kern w:val="0"/>
                <w:sz w:val="21"/>
                <w:szCs w:val="21"/>
                <w:lang w:eastAsia="en-US"/>
                <w14:ligatures w14:val="none"/>
              </w:rPr>
              <w:t>P02 home</w:t>
            </w:r>
          </w:p>
        </w:tc>
        <w:tc>
          <w:tcPr>
            <w:tcW w:w="2160" w:type="dxa"/>
          </w:tcPr>
          <w:p w14:paraId="195FE14C">
            <w:pPr>
              <w:widowControl/>
              <w:spacing w:after="120" w:line="360" w:lineRule="auto"/>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Hero展示、四宫格入口、当季主推轮播、环库地图概览、活动日历、品牌故事、内容推荐</w:t>
            </w:r>
          </w:p>
        </w:tc>
        <w:tc>
          <w:tcPr>
            <w:tcW w:w="2160" w:type="dxa"/>
          </w:tcPr>
          <w:p w14:paraId="7AC88F65">
            <w:pPr>
              <w:widowControl/>
              <w:spacing w:after="120" w:line="360" w:lineRule="auto"/>
              <w:rPr>
                <w:rFonts w:hint="eastAsia" w:ascii="宋体" w:hAnsi="宋体" w:eastAsia="宋体" w:cs="宋体"/>
                <w:kern w:val="0"/>
                <w:sz w:val="21"/>
                <w:szCs w:val="21"/>
                <w:lang w:eastAsia="en-US"/>
                <w14:ligatures w14:val="none"/>
              </w:rPr>
            </w:pPr>
            <w:r>
              <w:rPr>
                <w:rFonts w:hint="eastAsia" w:ascii="宋体" w:hAnsi="宋体" w:eastAsia="宋体" w:cs="宋体"/>
                <w:kern w:val="0"/>
                <w:sz w:val="21"/>
                <w:szCs w:val="21"/>
                <w:lang w:eastAsia="en-US"/>
                <w14:ligatures w14:val="none"/>
              </w:rPr>
              <w:t>§5.1</w:t>
            </w:r>
          </w:p>
        </w:tc>
      </w:tr>
      <w:tr w14:paraId="0EC40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93E6F4E">
            <w:pPr>
              <w:widowControl/>
              <w:spacing w:after="120" w:line="360" w:lineRule="auto"/>
              <w:rPr>
                <w:rFonts w:hint="eastAsia" w:ascii="宋体" w:hAnsi="宋体" w:eastAsia="宋体" w:cs="宋体"/>
                <w:kern w:val="0"/>
                <w:sz w:val="21"/>
                <w:szCs w:val="21"/>
                <w:lang w:eastAsia="en-US"/>
                <w14:ligatures w14:val="none"/>
              </w:rPr>
            </w:pPr>
            <w:r>
              <w:rPr>
                <w:rFonts w:hint="eastAsia" w:ascii="宋体" w:hAnsi="宋体" w:eastAsia="宋体" w:cs="宋体"/>
                <w:kern w:val="0"/>
                <w:sz w:val="21"/>
                <w:szCs w:val="21"/>
                <w:lang w:eastAsia="en-US"/>
                <w14:ligatures w14:val="none"/>
              </w:rPr>
              <w:t>商城</w:t>
            </w:r>
          </w:p>
        </w:tc>
        <w:tc>
          <w:tcPr>
            <w:tcW w:w="2160" w:type="dxa"/>
          </w:tcPr>
          <w:p w14:paraId="4091A638">
            <w:pPr>
              <w:widowControl/>
              <w:spacing w:after="120" w:line="360" w:lineRule="auto"/>
              <w:rPr>
                <w:rFonts w:hint="eastAsia" w:ascii="宋体" w:hAnsi="宋体" w:eastAsia="宋体" w:cs="宋体"/>
                <w:kern w:val="0"/>
                <w:sz w:val="21"/>
                <w:szCs w:val="21"/>
                <w:lang w:eastAsia="en-US"/>
                <w14:ligatures w14:val="none"/>
              </w:rPr>
            </w:pPr>
            <w:r>
              <w:rPr>
                <w:rFonts w:hint="eastAsia" w:ascii="宋体" w:hAnsi="宋体" w:eastAsia="宋体" w:cs="宋体"/>
                <w:kern w:val="0"/>
                <w:sz w:val="21"/>
                <w:szCs w:val="21"/>
                <w:lang w:eastAsia="en-US"/>
                <w14:ligatures w14:val="none"/>
              </w:rPr>
              <w:t>P09 shop / P10 product / P11 order / P12 success</w:t>
            </w:r>
          </w:p>
        </w:tc>
        <w:tc>
          <w:tcPr>
            <w:tcW w:w="2160" w:type="dxa"/>
          </w:tcPr>
          <w:p w14:paraId="7BDD9279">
            <w:pPr>
              <w:widowControl/>
              <w:spacing w:after="120" w:line="360" w:lineRule="auto"/>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分级商品瀑布流、三段叙事详情页、收货/自提下单、积分抵扣</w:t>
            </w:r>
          </w:p>
        </w:tc>
        <w:tc>
          <w:tcPr>
            <w:tcW w:w="2160" w:type="dxa"/>
          </w:tcPr>
          <w:p w14:paraId="45057D55">
            <w:pPr>
              <w:widowControl/>
              <w:spacing w:after="120" w:line="360" w:lineRule="auto"/>
              <w:rPr>
                <w:rFonts w:hint="eastAsia" w:ascii="宋体" w:hAnsi="宋体" w:eastAsia="宋体" w:cs="宋体"/>
                <w:kern w:val="0"/>
                <w:sz w:val="21"/>
                <w:szCs w:val="21"/>
                <w:lang w:eastAsia="en-US"/>
                <w14:ligatures w14:val="none"/>
              </w:rPr>
            </w:pPr>
            <w:r>
              <w:rPr>
                <w:rFonts w:hint="eastAsia" w:ascii="宋体" w:hAnsi="宋体" w:eastAsia="宋体" w:cs="宋体"/>
                <w:kern w:val="0"/>
                <w:sz w:val="21"/>
                <w:szCs w:val="21"/>
                <w:lang w:eastAsia="en-US"/>
                <w14:ligatures w14:val="none"/>
              </w:rPr>
              <w:t>§5.3</w:t>
            </w:r>
          </w:p>
        </w:tc>
      </w:tr>
      <w:tr w14:paraId="34B3B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4B1FAE7">
            <w:pPr>
              <w:widowControl/>
              <w:spacing w:after="120" w:line="360" w:lineRule="auto"/>
              <w:rPr>
                <w:rFonts w:hint="eastAsia" w:ascii="宋体" w:hAnsi="宋体" w:eastAsia="宋体" w:cs="宋体"/>
                <w:kern w:val="0"/>
                <w:sz w:val="21"/>
                <w:szCs w:val="21"/>
                <w:lang w:eastAsia="en-US"/>
                <w14:ligatures w14:val="none"/>
              </w:rPr>
            </w:pPr>
            <w:r>
              <w:rPr>
                <w:rFonts w:hint="eastAsia" w:ascii="宋体" w:hAnsi="宋体" w:eastAsia="宋体" w:cs="宋体"/>
                <w:kern w:val="0"/>
                <w:sz w:val="21"/>
                <w:szCs w:val="21"/>
                <w:lang w:eastAsia="en-US"/>
                <w14:ligatures w14:val="none"/>
              </w:rPr>
              <w:t>骑行</w:t>
            </w:r>
          </w:p>
        </w:tc>
        <w:tc>
          <w:tcPr>
            <w:tcW w:w="2160" w:type="dxa"/>
          </w:tcPr>
          <w:p w14:paraId="638FFE55">
            <w:pPr>
              <w:widowControl/>
              <w:spacing w:after="120" w:line="360" w:lineRule="auto"/>
              <w:rPr>
                <w:rFonts w:hint="eastAsia" w:ascii="宋体" w:hAnsi="宋体" w:eastAsia="宋体" w:cs="宋体"/>
                <w:kern w:val="0"/>
                <w:sz w:val="21"/>
                <w:szCs w:val="21"/>
                <w:lang w:eastAsia="en-US"/>
                <w14:ligatures w14:val="none"/>
              </w:rPr>
            </w:pPr>
            <w:r>
              <w:rPr>
                <w:rFonts w:hint="eastAsia" w:ascii="宋体" w:hAnsi="宋体" w:eastAsia="宋体" w:cs="宋体"/>
                <w:kern w:val="0"/>
                <w:sz w:val="21"/>
                <w:szCs w:val="21"/>
                <w:lang w:eastAsia="en-US"/>
                <w14:ligatures w14:val="none"/>
              </w:rPr>
              <w:t>P05 cycling / P07 active / P15 poster</w:t>
            </w:r>
          </w:p>
        </w:tc>
        <w:tc>
          <w:tcPr>
            <w:tcW w:w="2160" w:type="dxa"/>
          </w:tcPr>
          <w:p w14:paraId="405B910E">
            <w:pPr>
              <w:widowControl/>
              <w:spacing w:after="120" w:line="360" w:lineRule="auto"/>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三路线地图展示、GPS实时定位、地理围栏打卡、骑行数据面板、海报合成分享</w:t>
            </w:r>
          </w:p>
        </w:tc>
        <w:tc>
          <w:tcPr>
            <w:tcW w:w="2160" w:type="dxa"/>
          </w:tcPr>
          <w:p w14:paraId="078C004F">
            <w:pPr>
              <w:widowControl/>
              <w:spacing w:after="120" w:line="360" w:lineRule="auto"/>
              <w:rPr>
                <w:rFonts w:hint="eastAsia" w:ascii="宋体" w:hAnsi="宋体" w:eastAsia="宋体" w:cs="宋体"/>
                <w:kern w:val="0"/>
                <w:sz w:val="21"/>
                <w:szCs w:val="21"/>
                <w:lang w:eastAsia="en-US"/>
                <w14:ligatures w14:val="none"/>
              </w:rPr>
            </w:pPr>
            <w:r>
              <w:rPr>
                <w:rFonts w:hint="eastAsia" w:ascii="宋体" w:hAnsi="宋体" w:eastAsia="宋体" w:cs="宋体"/>
                <w:kern w:val="0"/>
                <w:sz w:val="21"/>
                <w:szCs w:val="21"/>
                <w:lang w:eastAsia="en-US"/>
                <w14:ligatures w14:val="none"/>
              </w:rPr>
              <w:t>§5.2</w:t>
            </w:r>
          </w:p>
        </w:tc>
      </w:tr>
      <w:tr w14:paraId="195E0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B2E844E">
            <w:pPr>
              <w:widowControl/>
              <w:spacing w:after="120" w:line="360" w:lineRule="auto"/>
              <w:rPr>
                <w:rFonts w:hint="eastAsia" w:ascii="宋体" w:hAnsi="宋体" w:eastAsia="宋体" w:cs="宋体"/>
                <w:kern w:val="0"/>
                <w:sz w:val="21"/>
                <w:szCs w:val="21"/>
                <w:lang w:eastAsia="en-US"/>
                <w14:ligatures w14:val="none"/>
              </w:rPr>
            </w:pPr>
            <w:r>
              <w:rPr>
                <w:rFonts w:hint="eastAsia" w:ascii="宋体" w:hAnsi="宋体" w:eastAsia="宋体" w:cs="宋体"/>
                <w:kern w:val="0"/>
                <w:sz w:val="21"/>
                <w:szCs w:val="21"/>
                <w:lang w:eastAsia="en-US"/>
                <w14:ligatures w14:val="none"/>
              </w:rPr>
              <w:t>认养</w:t>
            </w:r>
          </w:p>
        </w:tc>
        <w:tc>
          <w:tcPr>
            <w:tcW w:w="2160" w:type="dxa"/>
          </w:tcPr>
          <w:p w14:paraId="7C0EE748">
            <w:pPr>
              <w:widowControl/>
              <w:spacing w:after="120" w:line="360" w:lineRule="auto"/>
              <w:rPr>
                <w:rFonts w:hint="eastAsia" w:ascii="宋体" w:hAnsi="宋体" w:eastAsia="宋体" w:cs="宋体"/>
                <w:kern w:val="0"/>
                <w:sz w:val="21"/>
                <w:szCs w:val="21"/>
                <w:lang w:eastAsia="en-US"/>
                <w14:ligatures w14:val="none"/>
              </w:rPr>
            </w:pPr>
            <w:r>
              <w:rPr>
                <w:rFonts w:hint="eastAsia" w:ascii="宋体" w:hAnsi="宋体" w:eastAsia="宋体" w:cs="宋体"/>
                <w:kern w:val="0"/>
                <w:sz w:val="21"/>
                <w:szCs w:val="21"/>
                <w:lang w:eastAsia="en-US"/>
                <w14:ligatures w14:val="none"/>
              </w:rPr>
              <w:t>P13 adopt / P14 tree / P14b trace</w:t>
            </w:r>
          </w:p>
        </w:tc>
        <w:tc>
          <w:tcPr>
            <w:tcW w:w="2160" w:type="dxa"/>
          </w:tcPr>
          <w:p w14:paraId="668DF5B1">
            <w:pPr>
              <w:widowControl/>
              <w:spacing w:after="120" w:line="360" w:lineRule="auto"/>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三档认养套餐、Canvas数字孪生果树、六季节自动切换、溯源扫码时间线</w:t>
            </w:r>
          </w:p>
        </w:tc>
        <w:tc>
          <w:tcPr>
            <w:tcW w:w="2160" w:type="dxa"/>
          </w:tcPr>
          <w:p w14:paraId="37B7BDD7">
            <w:pPr>
              <w:widowControl/>
              <w:spacing w:after="120" w:line="360" w:lineRule="auto"/>
              <w:rPr>
                <w:rFonts w:hint="eastAsia" w:ascii="宋体" w:hAnsi="宋体" w:eastAsia="宋体" w:cs="宋体"/>
                <w:kern w:val="0"/>
                <w:sz w:val="21"/>
                <w:szCs w:val="21"/>
                <w:lang w:eastAsia="en-US"/>
                <w14:ligatures w14:val="none"/>
              </w:rPr>
            </w:pPr>
            <w:r>
              <w:rPr>
                <w:rFonts w:hint="eastAsia" w:ascii="宋体" w:hAnsi="宋体" w:eastAsia="宋体" w:cs="宋体"/>
                <w:kern w:val="0"/>
                <w:sz w:val="21"/>
                <w:szCs w:val="21"/>
                <w:lang w:eastAsia="en-US"/>
                <w14:ligatures w14:val="none"/>
              </w:rPr>
              <w:t>§5.4</w:t>
            </w:r>
          </w:p>
        </w:tc>
      </w:tr>
      <w:tr w14:paraId="669FB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9D99B8A">
            <w:pPr>
              <w:widowControl/>
              <w:spacing w:after="120" w:line="360" w:lineRule="auto"/>
              <w:rPr>
                <w:rFonts w:hint="eastAsia" w:ascii="宋体" w:hAnsi="宋体" w:eastAsia="宋体" w:cs="宋体"/>
                <w:kern w:val="0"/>
                <w:sz w:val="21"/>
                <w:szCs w:val="21"/>
                <w:lang w:eastAsia="en-US"/>
                <w14:ligatures w14:val="none"/>
              </w:rPr>
            </w:pPr>
            <w:r>
              <w:rPr>
                <w:rFonts w:hint="eastAsia" w:ascii="宋体" w:hAnsi="宋体" w:eastAsia="宋体" w:cs="宋体"/>
                <w:kern w:val="0"/>
                <w:sz w:val="21"/>
                <w:szCs w:val="21"/>
                <w:lang w:eastAsia="en-US"/>
                <w14:ligatures w14:val="none"/>
              </w:rPr>
              <w:t>我的</w:t>
            </w:r>
          </w:p>
        </w:tc>
        <w:tc>
          <w:tcPr>
            <w:tcW w:w="2160" w:type="dxa"/>
          </w:tcPr>
          <w:p w14:paraId="16E8D79A">
            <w:pPr>
              <w:widowControl/>
              <w:spacing w:after="120" w:line="360" w:lineRule="auto"/>
              <w:rPr>
                <w:rFonts w:hint="eastAsia" w:ascii="宋体" w:hAnsi="宋体" w:eastAsia="宋体" w:cs="宋体"/>
                <w:kern w:val="0"/>
                <w:sz w:val="21"/>
                <w:szCs w:val="21"/>
                <w:lang w:eastAsia="en-US"/>
                <w14:ligatures w14:val="none"/>
              </w:rPr>
            </w:pPr>
            <w:r>
              <w:rPr>
                <w:rFonts w:hint="eastAsia" w:ascii="宋体" w:hAnsi="宋体" w:eastAsia="宋体" w:cs="宋体"/>
                <w:kern w:val="0"/>
                <w:sz w:val="21"/>
                <w:szCs w:val="21"/>
                <w:lang w:eastAsia="en-US"/>
                <w14:ligatures w14:val="none"/>
              </w:rPr>
              <w:t>P17 mine / P18 points / P16 eco</w:t>
            </w:r>
          </w:p>
        </w:tc>
        <w:tc>
          <w:tcPr>
            <w:tcW w:w="2160" w:type="dxa"/>
          </w:tcPr>
          <w:p w14:paraId="24A1B184">
            <w:pPr>
              <w:widowControl/>
              <w:spacing w:after="120" w:line="360" w:lineRule="auto"/>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会员等级、订单管理、积分商城、生态数据看板</w:t>
            </w:r>
          </w:p>
        </w:tc>
        <w:tc>
          <w:tcPr>
            <w:tcW w:w="2160" w:type="dxa"/>
          </w:tcPr>
          <w:p w14:paraId="2547B34C">
            <w:pPr>
              <w:widowControl/>
              <w:spacing w:after="120" w:line="360" w:lineRule="auto"/>
              <w:rPr>
                <w:rFonts w:hint="eastAsia" w:ascii="宋体" w:hAnsi="宋体" w:eastAsia="宋体" w:cs="宋体"/>
                <w:kern w:val="0"/>
                <w:sz w:val="21"/>
                <w:szCs w:val="21"/>
                <w:lang w:eastAsia="en-US"/>
                <w14:ligatures w14:val="none"/>
              </w:rPr>
            </w:pPr>
            <w:r>
              <w:rPr>
                <w:rFonts w:hint="eastAsia" w:ascii="宋体" w:hAnsi="宋体" w:eastAsia="宋体" w:cs="宋体"/>
                <w:kern w:val="0"/>
                <w:sz w:val="21"/>
                <w:szCs w:val="21"/>
                <w:lang w:eastAsia="en-US"/>
                <w14:ligatures w14:val="none"/>
              </w:rPr>
              <w:t>§5.5</w:t>
            </w:r>
          </w:p>
        </w:tc>
      </w:tr>
      <w:tr w14:paraId="739A1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D2FDDA1">
            <w:pPr>
              <w:widowControl/>
              <w:spacing w:after="120" w:line="360" w:lineRule="auto"/>
              <w:rPr>
                <w:rFonts w:hint="eastAsia" w:ascii="宋体" w:hAnsi="宋体" w:eastAsia="宋体" w:cs="宋体"/>
                <w:kern w:val="0"/>
                <w:sz w:val="21"/>
                <w:szCs w:val="21"/>
                <w:lang w:eastAsia="en-US"/>
                <w14:ligatures w14:val="none"/>
              </w:rPr>
            </w:pPr>
            <w:r>
              <w:rPr>
                <w:rFonts w:hint="eastAsia" w:ascii="宋体" w:hAnsi="宋体" w:eastAsia="宋体" w:cs="宋体"/>
                <w:kern w:val="0"/>
                <w:sz w:val="21"/>
                <w:szCs w:val="21"/>
                <w:lang w:eastAsia="en-US"/>
                <w14:ligatures w14:val="none"/>
              </w:rPr>
              <w:t>辅助</w:t>
            </w:r>
          </w:p>
        </w:tc>
        <w:tc>
          <w:tcPr>
            <w:tcW w:w="2160" w:type="dxa"/>
          </w:tcPr>
          <w:p w14:paraId="609B45C4">
            <w:pPr>
              <w:widowControl/>
              <w:spacing w:after="120" w:line="360" w:lineRule="auto"/>
              <w:rPr>
                <w:rFonts w:hint="eastAsia" w:ascii="宋体" w:hAnsi="宋体" w:eastAsia="宋体" w:cs="宋体"/>
                <w:kern w:val="0"/>
                <w:sz w:val="21"/>
                <w:szCs w:val="21"/>
                <w:lang w:eastAsia="en-US"/>
                <w14:ligatures w14:val="none"/>
              </w:rPr>
            </w:pPr>
            <w:r>
              <w:rPr>
                <w:rFonts w:hint="eastAsia" w:ascii="宋体" w:hAnsi="宋体" w:eastAsia="宋体" w:cs="宋体"/>
                <w:kern w:val="0"/>
                <w:sz w:val="21"/>
                <w:szCs w:val="21"/>
                <w:lang w:eastAsia="en-US"/>
                <w14:ligatures w14:val="none"/>
              </w:rPr>
              <w:t>P01 onboarding / P03 search / P04 ai-trip</w:t>
            </w:r>
          </w:p>
        </w:tc>
        <w:tc>
          <w:tcPr>
            <w:tcW w:w="2160" w:type="dxa"/>
          </w:tcPr>
          <w:p w14:paraId="172A50F3">
            <w:pPr>
              <w:widowControl/>
              <w:spacing w:after="120" w:line="360" w:lineRule="auto"/>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首次引导页、搜索、AI智能行程规划（9规则引擎）</w:t>
            </w:r>
          </w:p>
        </w:tc>
        <w:tc>
          <w:tcPr>
            <w:tcW w:w="2160" w:type="dxa"/>
          </w:tcPr>
          <w:p w14:paraId="1226EC5D">
            <w:pPr>
              <w:widowControl/>
              <w:spacing w:after="120" w:line="360" w:lineRule="auto"/>
              <w:rPr>
                <w:rFonts w:hint="eastAsia" w:ascii="宋体" w:hAnsi="宋体" w:eastAsia="宋体" w:cs="宋体"/>
                <w:kern w:val="0"/>
                <w:sz w:val="21"/>
                <w:szCs w:val="21"/>
                <w:lang w:eastAsia="en-US"/>
                <w14:ligatures w14:val="none"/>
              </w:rPr>
            </w:pPr>
            <w:r>
              <w:rPr>
                <w:rFonts w:hint="eastAsia" w:ascii="宋体" w:hAnsi="宋体" w:eastAsia="宋体" w:cs="宋体"/>
                <w:kern w:val="0"/>
                <w:sz w:val="21"/>
                <w:szCs w:val="21"/>
                <w:lang w:eastAsia="en-US"/>
                <w14:ligatures w14:val="none"/>
              </w:rPr>
              <w:t>§5.6</w:t>
            </w:r>
          </w:p>
        </w:tc>
      </w:tr>
    </w:tbl>
    <w:p w14:paraId="63E868DA">
      <w:pPr>
        <w:widowControl/>
        <w:spacing w:after="120" w:line="360" w:lineRule="auto"/>
        <w:rPr>
          <w:rFonts w:hint="eastAsia" w:ascii="宋体" w:hAnsi="宋体" w:eastAsia="宋体" w:cs="宋体"/>
          <w:kern w:val="0"/>
          <w:sz w:val="21"/>
          <w:szCs w:val="21"/>
          <w:lang w:eastAsia="en-US"/>
          <w14:ligatures w14:val="none"/>
        </w:rPr>
      </w:pPr>
    </w:p>
    <w:p w14:paraId="12D0A36D">
      <w:pPr>
        <w:keepNext/>
        <w:keepLines/>
        <w:spacing w:before="200" w:after="0" w:line="360" w:lineRule="auto"/>
        <w:outlineLvl w:val="2"/>
        <w:rPr>
          <w:rFonts w:hint="eastAsia" w:ascii="宋体" w:hAnsi="宋体" w:eastAsia="宋体" w:cs="宋体"/>
          <w:b/>
          <w:bCs/>
          <w:color w:val="4F81BD"/>
          <w:sz w:val="21"/>
          <w:szCs w:val="21"/>
          <w:lang w:val="en-US" w:eastAsia="en-US" w:bidi="ar-SA"/>
        </w:rPr>
      </w:pPr>
      <w:bookmarkStart w:id="147" w:name="_Toc27711"/>
      <w:r>
        <w:rPr>
          <w:rFonts w:hint="eastAsia" w:ascii="宋体" w:hAnsi="宋体" w:eastAsia="宋体" w:cs="宋体"/>
          <w:b/>
          <w:bCs/>
          <w:color w:val="000000"/>
          <w:sz w:val="21"/>
          <w:szCs w:val="21"/>
          <w:lang w:val="en-US" w:eastAsia="en-US" w:bidi="ar-SA"/>
        </w:rPr>
        <w:t>8.2.2  五Tab导航结构</w:t>
      </w:r>
      <w:bookmarkEnd w:id="147"/>
    </w:p>
    <w:p w14:paraId="708F8CF3">
      <w:pPr>
        <w:widowControl/>
        <w:spacing w:after="120" w:line="360" w:lineRule="auto"/>
        <w:ind w:firstLine="425"/>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底部导航采用自定义TabBar组件，共5个入口：首页、商城、骑行（中心位·樱桃图标）、认养、我的。四侧Tab以编号"01-04"作为标识（参照设计原则P-017"信息优先于装饰"），中心骑行Tab以品牌樱桃图形作为视觉锚点，强调骑行作为流量入口的核心地位。</w:t>
      </w:r>
    </w:p>
    <w:p w14:paraId="615CD1FE">
      <w:pPr>
        <w:keepNext/>
        <w:keepLines/>
        <w:spacing w:before="200" w:after="0" w:line="360" w:lineRule="auto"/>
        <w:outlineLvl w:val="1"/>
        <w:rPr>
          <w:rFonts w:hint="eastAsia" w:ascii="宋体" w:hAnsi="宋体" w:eastAsia="宋体" w:cs="宋体"/>
          <w:b/>
          <w:bCs/>
          <w:color w:val="4F81BD"/>
          <w:sz w:val="21"/>
          <w:szCs w:val="21"/>
          <w:lang w:val="en-US" w:eastAsia="zh-CN" w:bidi="ar-SA"/>
        </w:rPr>
      </w:pPr>
      <w:bookmarkStart w:id="148" w:name="_Toc1424"/>
      <w:r>
        <w:rPr>
          <w:rFonts w:hint="eastAsia" w:ascii="宋体" w:hAnsi="宋体" w:eastAsia="宋体" w:cs="宋体"/>
          <w:b/>
          <w:bCs/>
          <w:color w:val="000000"/>
          <w:sz w:val="21"/>
          <w:szCs w:val="21"/>
          <w:lang w:val="en-US" w:eastAsia="zh-CN" w:bidi="ar-SA"/>
        </w:rPr>
        <w:t>8.3  技术方案</w:t>
      </w:r>
      <w:bookmarkEnd w:id="148"/>
    </w:p>
    <w:p w14:paraId="3D4C234E">
      <w:pPr>
        <w:widowControl/>
        <w:spacing w:after="120" w:line="360" w:lineRule="auto"/>
        <w:ind w:firstLine="420"/>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平台采用微信小程序原生开发 + 微信云开发（云函数+云数据库+云存储），无需自建服务器。地图用微信原生map组件，地理围栏基于Haversine前端计算，Canvas 2D承担海报与孞生渲染，AI行程基于9条规则引擎。全局样式统一由设计令牌系统管理，总代码约8,500行。详细选型见附录。</w:t>
      </w:r>
    </w:p>
    <w:p w14:paraId="4E731004">
      <w:pPr>
        <w:keepNext/>
        <w:keepLines/>
        <w:spacing w:before="200" w:after="0" w:line="360" w:lineRule="auto"/>
        <w:outlineLvl w:val="1"/>
        <w:rPr>
          <w:rFonts w:hint="eastAsia" w:ascii="宋体" w:hAnsi="宋体" w:eastAsia="宋体" w:cs="宋体"/>
          <w:b/>
          <w:bCs/>
          <w:color w:val="4F81BD"/>
          <w:sz w:val="21"/>
          <w:szCs w:val="21"/>
          <w:lang w:val="en-US" w:eastAsia="zh-CN" w:bidi="ar-SA"/>
        </w:rPr>
      </w:pPr>
      <w:bookmarkStart w:id="149" w:name="_Toc22364"/>
      <w:r>
        <w:rPr>
          <w:rFonts w:hint="eastAsia" w:ascii="宋体" w:hAnsi="宋体" w:eastAsia="宋体" w:cs="宋体"/>
          <w:b/>
          <w:bCs/>
          <w:color w:val="000000"/>
          <w:sz w:val="21"/>
          <w:szCs w:val="21"/>
          <w:lang w:val="en-US" w:eastAsia="zh-CN" w:bidi="ar-SA"/>
        </w:rPr>
        <w:t>8.4  核心功能设计</w:t>
      </w:r>
      <w:bookmarkEnd w:id="149"/>
    </w:p>
    <w:p w14:paraId="5396A312">
      <w:pPr>
        <w:keepNext/>
        <w:keepLines/>
        <w:spacing w:before="200" w:after="0" w:line="360" w:lineRule="auto"/>
        <w:outlineLvl w:val="2"/>
        <w:rPr>
          <w:rFonts w:hint="eastAsia" w:ascii="宋体" w:hAnsi="宋体" w:eastAsia="宋体" w:cs="宋体"/>
          <w:b/>
          <w:bCs/>
          <w:color w:val="4F81BD"/>
          <w:sz w:val="21"/>
          <w:szCs w:val="21"/>
          <w:lang w:val="en-US" w:eastAsia="zh-CN" w:bidi="ar-SA"/>
        </w:rPr>
      </w:pPr>
      <w:bookmarkStart w:id="150" w:name="_Toc4905"/>
      <w:r>
        <w:rPr>
          <w:rFonts w:hint="eastAsia" w:ascii="宋体" w:hAnsi="宋体" w:eastAsia="宋体" w:cs="宋体"/>
          <w:b/>
          <w:bCs/>
          <w:color w:val="000000"/>
          <w:sz w:val="21"/>
          <w:szCs w:val="21"/>
          <w:lang w:val="en-US" w:eastAsia="zh-CN" w:bidi="ar-SA"/>
        </w:rPr>
        <w:t>8.4.1  骑行导览与打卡系统</w:t>
      </w:r>
      <w:bookmarkEnd w:id="150"/>
    </w:p>
    <w:p w14:paraId="31DD6D27">
      <w:pPr>
        <w:widowControl/>
        <w:spacing w:after="120" w:line="360" w:lineRule="auto"/>
        <w:ind w:firstLine="425"/>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骑行系统是平台的流量引擎，包含路线展示（P05）、实时骑行（P07）、海报分享（P15）三个页面。</w:t>
      </w:r>
    </w:p>
    <w:p w14:paraId="37D6CBDD">
      <w:pPr>
        <w:widowControl/>
        <w:spacing w:after="120" w:line="360" w:lineRule="auto"/>
        <w:rPr>
          <w:rFonts w:hint="eastAsia" w:ascii="宋体" w:hAnsi="宋体" w:eastAsia="宋体" w:cs="宋体"/>
          <w:kern w:val="0"/>
          <w:sz w:val="21"/>
          <w:szCs w:val="21"/>
          <w:lang w:eastAsia="zh-CN"/>
          <w14:ligatures w14:val="none"/>
        </w:rPr>
      </w:pPr>
      <w:r>
        <w:rPr>
          <w:rFonts w:hint="eastAsia" w:ascii="宋体" w:hAnsi="宋体" w:eastAsia="宋体" w:cs="宋体"/>
          <w:b/>
          <w:kern w:val="0"/>
          <w:sz w:val="21"/>
          <w:szCs w:val="21"/>
          <w:lang w:eastAsia="zh-CN"/>
          <w14:ligatures w14:val="none"/>
        </w:rPr>
        <w:t>（1）三条差异化路线</w:t>
      </w:r>
    </w:p>
    <w:p w14:paraId="2E171C44">
      <w:pPr>
        <w:widowControl/>
        <w:spacing w:after="120" w:line="360" w:lineRule="auto"/>
        <w:ind w:firstLine="425"/>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平台设计了A（亲子樱趣·5km·绿色）、B（环库探秘·10km·蓝色）、C（全域穿越·16km·橙色）三条骑行路线，覆盖亲子、休闲、运动三类客群。三路线共享7个打卡节点（杨家东庄村口→樱桃主园→水库观景台→水源保护碑→环湖步道中点→采摘体验区→终点广场），通过不同的组合与难度系数形成梯度体验。</w:t>
      </w:r>
    </w:p>
    <w:p w14:paraId="2DB08C54">
      <w:pPr>
        <w:widowControl/>
        <w:spacing w:after="120" w:line="360" w:lineRule="auto"/>
        <w:rPr>
          <w:rFonts w:hint="eastAsia" w:ascii="宋体" w:hAnsi="宋体" w:eastAsia="宋体" w:cs="宋体"/>
          <w:kern w:val="0"/>
          <w:sz w:val="21"/>
          <w:szCs w:val="21"/>
          <w:lang w:eastAsia="zh-CN"/>
          <w14:ligatures w14:val="none"/>
        </w:rPr>
      </w:pPr>
      <w:r>
        <w:rPr>
          <w:rFonts w:hint="eastAsia" w:ascii="宋体" w:hAnsi="宋体" w:eastAsia="宋体" w:cs="宋体"/>
          <w:b/>
          <w:kern w:val="0"/>
          <w:sz w:val="21"/>
          <w:szCs w:val="21"/>
          <w:lang w:eastAsia="zh-CN"/>
          <w14:ligatures w14:val="none"/>
        </w:rPr>
        <w:t>（2）GPS实时定位与地理围栏</w:t>
      </w:r>
    </w:p>
    <w:p w14:paraId="549D7987">
      <w:pPr>
        <w:widowControl/>
        <w:spacing w:after="120" w:line="360" w:lineRule="auto"/>
        <w:ind w:firstLine="425"/>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骑行中通过微信GPS接口实时获取坐标并绘制轨迹。地理围栏基于Haversine公式，用户进入50米范围自动打卡（内置防抖）。</w:t>
      </w:r>
    </w:p>
    <w:p w14:paraId="5AF94A9C">
      <w:pPr>
        <w:widowControl/>
        <w:spacing w:after="120" w:line="360" w:lineRule="auto"/>
        <w:rPr>
          <w:rFonts w:hint="eastAsia" w:ascii="宋体" w:hAnsi="宋体" w:eastAsia="宋体" w:cs="宋体"/>
          <w:kern w:val="0"/>
          <w:sz w:val="21"/>
          <w:szCs w:val="21"/>
          <w:lang w:eastAsia="zh-CN"/>
          <w14:ligatures w14:val="none"/>
        </w:rPr>
      </w:pPr>
      <w:r>
        <w:rPr>
          <w:rFonts w:hint="eastAsia" w:ascii="宋体" w:hAnsi="宋体" w:eastAsia="宋体" w:cs="宋体"/>
          <w:b/>
          <w:kern w:val="0"/>
          <w:sz w:val="21"/>
          <w:szCs w:val="21"/>
          <w:lang w:eastAsia="zh-CN"/>
          <w14:ligatures w14:val="none"/>
        </w:rPr>
        <w:t>（3）骑行数据面板</w:t>
      </w:r>
    </w:p>
    <w:p w14:paraId="309E6104">
      <w:pPr>
        <w:widowControl/>
        <w:spacing w:after="120" w:line="360" w:lineRule="auto"/>
        <w:ind w:firstLine="425"/>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实时展示距离、时长、速度、打卡数四项数据，非对称布局突出核心指标。</w:t>
      </w:r>
    </w:p>
    <w:p w14:paraId="2591B60D">
      <w:pPr>
        <w:widowControl/>
        <w:numPr>
          <w:ilvl w:val="0"/>
          <w:numId w:val="10"/>
        </w:numPr>
        <w:spacing w:after="120" w:line="360" w:lineRule="auto"/>
        <w:rPr>
          <w:rFonts w:hint="eastAsia" w:ascii="宋体" w:hAnsi="宋体" w:eastAsia="宋体" w:cs="宋体"/>
          <w:kern w:val="0"/>
          <w:sz w:val="21"/>
          <w:szCs w:val="21"/>
          <w:lang w:eastAsia="zh-CN"/>
          <w14:ligatures w14:val="none"/>
        </w:rPr>
      </w:pPr>
      <w:r>
        <w:rPr>
          <w:rFonts w:hint="eastAsia" w:ascii="宋体" w:hAnsi="宋体" w:eastAsia="宋体" w:cs="宋体"/>
          <w:b/>
          <w:kern w:val="0"/>
          <w:sz w:val="21"/>
          <w:szCs w:val="21"/>
          <w:lang w:eastAsia="zh-CN"/>
          <w14:ligatures w14:val="none"/>
        </w:rPr>
        <w:t>长按结束与海报合成</w:t>
      </w:r>
      <w:r>
        <w:rPr>
          <w:rFonts w:hint="eastAsia" w:ascii="宋体" w:hAnsi="宋体" w:eastAsia="宋体" w:cs="宋体"/>
          <w:b/>
          <w:kern w:val="0"/>
          <w:sz w:val="21"/>
          <w:szCs w:val="21"/>
          <w:lang w:eastAsia="zh-CN"/>
          <w14:ligatures w14:val="none"/>
        </w:rPr>
        <w:br w:type="textWrapping"/>
      </w:r>
      <w:r>
        <w:rPr>
          <w:rFonts w:hint="eastAsia" w:ascii="宋体" w:hAnsi="宋体" w:eastAsia="宋体" w:cs="宋体"/>
          <w:kern w:val="0"/>
          <w:sz w:val="21"/>
          <w:szCs w:val="21"/>
          <w:lang w:eastAsia="zh-CN"/>
          <w14:ligatures w14:val="none"/>
        </w:rPr>
        <w:t>骑行结束采用“长按2秒”防误触交互，结束后Canvas 2D合成骑行数据海报，支持双主题一键分享报。</w:t>
      </w:r>
    </w:p>
    <w:p w14:paraId="65856887">
      <w:pPr>
        <w:widowControl/>
        <w:numPr>
          <w:ilvl w:val="0"/>
          <w:numId w:val="0"/>
        </w:numPr>
        <w:spacing w:after="120" w:line="360" w:lineRule="auto"/>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en-US"/>
          <w14:ligatures w14:val="none"/>
        </w:rPr>
        <w:drawing>
          <wp:inline distT="0" distB="0" distL="0" distR="0">
            <wp:extent cx="1575435" cy="2770505"/>
            <wp:effectExtent l="0" t="0" r="12065" b="10795"/>
            <wp:docPr id="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
                    <pic:cNvPicPr>
                      <a:picLocks noChangeAspect="1" noChangeArrowheads="1"/>
                    </pic:cNvPicPr>
                  </pic:nvPicPr>
                  <pic:blipFill>
                    <a:blip r:embed="rId49">
                      <a:extLst>
                        <a:ext uri="{28A0092B-C50C-407E-A947-70E740481C1C}">
                          <a14:useLocalDpi xmlns:a14="http://schemas.microsoft.com/office/drawing/2010/main" val="0"/>
                        </a:ext>
                      </a:extLst>
                    </a:blip>
                    <a:srcRect t="3218" b="32076"/>
                    <a:stretch>
                      <a:fillRect/>
                    </a:stretch>
                  </pic:blipFill>
                  <pic:spPr>
                    <a:xfrm>
                      <a:off x="0" y="0"/>
                      <a:ext cx="1575435" cy="2770505"/>
                    </a:xfrm>
                    <a:prstGeom prst="rect">
                      <a:avLst/>
                    </a:prstGeom>
                    <a:noFill/>
                    <a:ln>
                      <a:noFill/>
                    </a:ln>
                  </pic:spPr>
                </pic:pic>
              </a:graphicData>
            </a:graphic>
          </wp:inline>
        </w:drawing>
      </w:r>
      <w:r>
        <w:rPr>
          <w:rFonts w:hint="eastAsia" w:ascii="宋体" w:hAnsi="宋体" w:eastAsia="宋体" w:cs="宋体"/>
          <w:kern w:val="0"/>
          <w:sz w:val="21"/>
          <w:szCs w:val="21"/>
          <w:lang w:val="en-US" w:eastAsia="zh-CN"/>
          <w14:ligatures w14:val="none"/>
        </w:rPr>
        <w:t xml:space="preserve">    </w:t>
      </w:r>
      <w:r>
        <w:rPr>
          <w:rFonts w:hint="eastAsia" w:ascii="宋体" w:hAnsi="宋体" w:eastAsia="宋体" w:cs="宋体"/>
          <w:kern w:val="0"/>
          <w:sz w:val="21"/>
          <w:szCs w:val="21"/>
          <w:lang w:eastAsia="en-US"/>
          <w14:ligatures w14:val="none"/>
        </w:rPr>
        <w:drawing>
          <wp:inline distT="0" distB="0" distL="0" distR="0">
            <wp:extent cx="1536700" cy="2785745"/>
            <wp:effectExtent l="0" t="0" r="0" b="8255"/>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pic:cNvPicPr>
                      <a:picLocks noChangeAspect="1"/>
                    </pic:cNvPicPr>
                  </pic:nvPicPr>
                  <pic:blipFill>
                    <a:blip r:embed="rId50"/>
                    <a:stretch>
                      <a:fillRect/>
                    </a:stretch>
                  </pic:blipFill>
                  <pic:spPr>
                    <a:xfrm>
                      <a:off x="0" y="0"/>
                      <a:ext cx="1536700" cy="2785745"/>
                    </a:xfrm>
                    <a:prstGeom prst="rect">
                      <a:avLst/>
                    </a:prstGeom>
                  </pic:spPr>
                </pic:pic>
              </a:graphicData>
            </a:graphic>
          </wp:inline>
        </w:drawing>
      </w:r>
      <w:r>
        <w:rPr>
          <w:rFonts w:hint="eastAsia" w:ascii="宋体" w:hAnsi="宋体" w:eastAsia="宋体" w:cs="宋体"/>
          <w:kern w:val="0"/>
          <w:sz w:val="21"/>
          <w:szCs w:val="21"/>
          <w:lang w:val="en-US" w:eastAsia="zh-CN"/>
          <w14:ligatures w14:val="none"/>
        </w:rPr>
        <w:t xml:space="preserve">    </w:t>
      </w:r>
      <w:r>
        <w:rPr>
          <w:rFonts w:hint="eastAsia" w:ascii="宋体" w:hAnsi="宋体" w:eastAsia="宋体" w:cs="宋体"/>
          <w:kern w:val="0"/>
          <w:sz w:val="21"/>
          <w:szCs w:val="21"/>
          <w:lang w:eastAsia="en-US"/>
          <w14:ligatures w14:val="none"/>
        </w:rPr>
        <w:drawing>
          <wp:inline distT="0" distB="0" distL="0" distR="0">
            <wp:extent cx="1558290" cy="2789555"/>
            <wp:effectExtent l="0" t="0" r="3810" b="4445"/>
            <wp:docPr id="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pic:cNvPicPr>
                      <a:picLocks noChangeAspect="1"/>
                    </pic:cNvPicPr>
                  </pic:nvPicPr>
                  <pic:blipFill>
                    <a:blip r:embed="rId51"/>
                    <a:stretch>
                      <a:fillRect/>
                    </a:stretch>
                  </pic:blipFill>
                  <pic:spPr>
                    <a:xfrm>
                      <a:off x="0" y="0"/>
                      <a:ext cx="1558290" cy="2789555"/>
                    </a:xfrm>
                    <a:prstGeom prst="rect">
                      <a:avLst/>
                    </a:prstGeom>
                  </pic:spPr>
                </pic:pic>
              </a:graphicData>
            </a:graphic>
          </wp:inline>
        </w:drawing>
      </w:r>
      <w:r>
        <w:rPr>
          <w:rFonts w:hint="eastAsia" w:ascii="宋体" w:hAnsi="宋体" w:eastAsia="宋体" w:cs="宋体"/>
          <w:kern w:val="0"/>
          <w:sz w:val="21"/>
          <w:szCs w:val="21"/>
          <w:lang w:val="en-US" w:eastAsia="zh-CN"/>
          <w14:ligatures w14:val="none"/>
        </w:rPr>
        <w:t xml:space="preserve">           </w:t>
      </w:r>
    </w:p>
    <w:p w14:paraId="3EDE1417">
      <w:pPr>
        <w:keepNext/>
        <w:keepLines/>
        <w:spacing w:before="200" w:after="0" w:line="360" w:lineRule="auto"/>
        <w:outlineLvl w:val="2"/>
        <w:rPr>
          <w:rFonts w:hint="eastAsia" w:ascii="宋体" w:hAnsi="宋体" w:eastAsia="宋体" w:cs="宋体"/>
          <w:b/>
          <w:bCs/>
          <w:color w:val="4F81BD"/>
          <w:sz w:val="21"/>
          <w:szCs w:val="21"/>
          <w:lang w:val="en-US" w:eastAsia="zh-CN" w:bidi="ar-SA"/>
        </w:rPr>
      </w:pPr>
      <w:bookmarkStart w:id="151" w:name="_Toc27873"/>
      <w:r>
        <w:rPr>
          <w:rFonts w:hint="eastAsia" w:ascii="宋体" w:hAnsi="宋体" w:eastAsia="宋体" w:cs="宋体"/>
          <w:b/>
          <w:bCs/>
          <w:color w:val="000000"/>
          <w:sz w:val="21"/>
          <w:szCs w:val="21"/>
          <w:lang w:val="en-US" w:eastAsia="zh-CN" w:bidi="ar-SA"/>
        </w:rPr>
        <w:t>8.4.2  樱桃商城与品牌叙事</w:t>
      </w:r>
      <w:bookmarkEnd w:id="151"/>
    </w:p>
    <w:p w14:paraId="738836D2">
      <w:pPr>
        <w:widowControl/>
        <w:spacing w:after="120" w:line="360" w:lineRule="auto"/>
        <w:ind w:firstLine="425"/>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商城系统承载"卖水源地价值"的品牌理念，由商品列表（P09）、商品详情（P10）、下单页（P11）、成功页（P12）构成完整购买链路。</w:t>
      </w:r>
    </w:p>
    <w:p w14:paraId="4C80DDFE">
      <w:pPr>
        <w:widowControl/>
        <w:spacing w:after="120" w:line="360" w:lineRule="auto"/>
        <w:rPr>
          <w:rFonts w:hint="eastAsia" w:ascii="宋体" w:hAnsi="宋体" w:eastAsia="宋体" w:cs="宋体"/>
          <w:kern w:val="0"/>
          <w:sz w:val="21"/>
          <w:szCs w:val="21"/>
          <w:lang w:eastAsia="zh-CN"/>
          <w14:ligatures w14:val="none"/>
        </w:rPr>
      </w:pPr>
      <w:r>
        <w:rPr>
          <w:rFonts w:hint="eastAsia" w:ascii="宋体" w:hAnsi="宋体" w:eastAsia="宋体" w:cs="宋体"/>
          <w:b/>
          <w:kern w:val="0"/>
          <w:sz w:val="21"/>
          <w:szCs w:val="21"/>
          <w:lang w:eastAsia="zh-CN"/>
          <w14:ligatures w14:val="none"/>
        </w:rPr>
        <w:t>（1）分级商品体系</w:t>
      </w:r>
    </w:p>
    <w:p w14:paraId="4354CF92">
      <w:pPr>
        <w:widowControl/>
        <w:spacing w:after="120" w:line="360" w:lineRule="auto"/>
        <w:ind w:firstLine="425"/>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商城上架13个SKU，涵盖S级（精选鲜果3款）、A级（标准鲜果3款）、B级（加工品2款）、C级（文创4款）和套装包（2款）。每个SKU标注产地、等级和独立故事，而非堆砌参数。</w:t>
      </w:r>
    </w:p>
    <w:p w14:paraId="673537F3">
      <w:pPr>
        <w:widowControl/>
        <w:spacing w:after="120" w:line="360" w:lineRule="auto"/>
        <w:rPr>
          <w:rFonts w:hint="eastAsia" w:ascii="宋体" w:hAnsi="宋体" w:eastAsia="宋体" w:cs="宋体"/>
          <w:kern w:val="0"/>
          <w:sz w:val="21"/>
          <w:szCs w:val="21"/>
          <w:lang w:eastAsia="zh-CN"/>
          <w14:ligatures w14:val="none"/>
        </w:rPr>
      </w:pPr>
      <w:r>
        <w:rPr>
          <w:rFonts w:hint="eastAsia" w:ascii="宋体" w:hAnsi="宋体" w:eastAsia="宋体" w:cs="宋体"/>
          <w:b/>
          <w:kern w:val="0"/>
          <w:sz w:val="21"/>
          <w:szCs w:val="21"/>
          <w:lang w:eastAsia="zh-CN"/>
          <w14:ligatures w14:val="none"/>
        </w:rPr>
        <w:t>（2）三段叙事详情页</w:t>
      </w:r>
    </w:p>
    <w:p w14:paraId="6C892B93">
      <w:pPr>
        <w:widowControl/>
        <w:spacing w:after="120" w:line="360" w:lineRule="auto"/>
        <w:ind w:firstLine="425"/>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商品详情以三段叙事代替参数：产地溯源→生长筛选→品质承诺，强化水源地品牌背书。</w:t>
      </w:r>
    </w:p>
    <w:p w14:paraId="15F34149">
      <w:pPr>
        <w:widowControl/>
        <w:spacing w:after="120" w:line="360" w:lineRule="auto"/>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下单支持积分抵扣（上限20%），形成“骑行→打卡→积分→消费”闭环。</w:t>
      </w:r>
    </w:p>
    <w:p w14:paraId="7731AD09">
      <w:pPr>
        <w:widowControl/>
        <w:spacing w:after="120" w:line="360" w:lineRule="auto"/>
        <w:ind w:firstLine="425"/>
        <w:rPr>
          <w:rFonts w:hint="eastAsia" w:ascii="宋体" w:hAnsi="宋体" w:eastAsia="宋体" w:cs="宋体"/>
          <w:color w:val="000000"/>
          <w:kern w:val="0"/>
          <w:sz w:val="21"/>
          <w:szCs w:val="21"/>
          <w:lang w:eastAsia="zh-CN"/>
          <w14:ligatures w14:val="none"/>
        </w:rPr>
      </w:pPr>
      <w:r>
        <w:rPr>
          <w:rFonts w:hint="eastAsia" w:ascii="宋体" w:hAnsi="宋体" w:eastAsia="宋体" w:cs="宋体"/>
          <w:kern w:val="0"/>
          <w:sz w:val="21"/>
          <w:szCs w:val="21"/>
          <w:lang w:eastAsia="zh-CN"/>
          <w14:ligatures w14:val="none"/>
        </w:rPr>
        <w:drawing>
          <wp:inline distT="0" distB="0" distL="0" distR="0">
            <wp:extent cx="1684020" cy="2707005"/>
            <wp:effectExtent l="0" t="0" r="5080" b="10795"/>
            <wp:docPr id="10828273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27328" name="图片 4"/>
                    <pic:cNvPicPr>
                      <a:picLocks noChangeAspect="1" noChangeArrowheads="1"/>
                    </pic:cNvPicPr>
                  </pic:nvPicPr>
                  <pic:blipFill>
                    <a:blip r:embed="rId52">
                      <a:extLst>
                        <a:ext uri="{28A0092B-C50C-407E-A947-70E740481C1C}">
                          <a14:useLocalDpi xmlns:a14="http://schemas.microsoft.com/office/drawing/2010/main" val="0"/>
                        </a:ext>
                      </a:extLst>
                    </a:blip>
                    <a:srcRect t="1709" b="63265"/>
                    <a:stretch>
                      <a:fillRect/>
                    </a:stretch>
                  </pic:blipFill>
                  <pic:spPr>
                    <a:xfrm>
                      <a:off x="0" y="0"/>
                      <a:ext cx="1684020" cy="2707005"/>
                    </a:xfrm>
                    <a:prstGeom prst="rect">
                      <a:avLst/>
                    </a:prstGeom>
                    <a:noFill/>
                    <a:ln>
                      <a:noFill/>
                    </a:ln>
                  </pic:spPr>
                </pic:pic>
              </a:graphicData>
            </a:graphic>
          </wp:inline>
        </w:drawing>
      </w:r>
      <w:r>
        <w:rPr>
          <w:rFonts w:hint="eastAsia" w:ascii="宋体" w:hAnsi="宋体" w:eastAsia="宋体" w:cs="宋体"/>
          <w:kern w:val="0"/>
          <w:sz w:val="21"/>
          <w:szCs w:val="21"/>
          <w:lang w:val="en-US" w:eastAsia="zh-CN"/>
          <w14:ligatures w14:val="none"/>
        </w:rPr>
        <w:t xml:space="preserve">                   </w:t>
      </w:r>
      <w:r>
        <w:rPr>
          <w:rFonts w:hint="eastAsia" w:ascii="宋体" w:hAnsi="宋体" w:eastAsia="宋体" w:cs="宋体"/>
          <w:kern w:val="0"/>
          <w:sz w:val="21"/>
          <w:szCs w:val="21"/>
          <w:lang w:eastAsia="zh-CN"/>
          <w14:ligatures w14:val="none"/>
        </w:rPr>
        <w:drawing>
          <wp:inline distT="0" distB="0" distL="0" distR="0">
            <wp:extent cx="1677035" cy="2759710"/>
            <wp:effectExtent l="0" t="0" r="12065" b="889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53">
                      <a:extLst>
                        <a:ext uri="{28A0092B-C50C-407E-A947-70E740481C1C}">
                          <a14:useLocalDpi xmlns:a14="http://schemas.microsoft.com/office/drawing/2010/main" val="0"/>
                        </a:ext>
                      </a:extLst>
                    </a:blip>
                    <a:srcRect t="2402" b="42377"/>
                    <a:stretch>
                      <a:fillRect/>
                    </a:stretch>
                  </pic:blipFill>
                  <pic:spPr>
                    <a:xfrm>
                      <a:off x="0" y="0"/>
                      <a:ext cx="1677035" cy="2759710"/>
                    </a:xfrm>
                    <a:prstGeom prst="rect">
                      <a:avLst/>
                    </a:prstGeom>
                    <a:noFill/>
                    <a:ln>
                      <a:noFill/>
                    </a:ln>
                  </pic:spPr>
                </pic:pic>
              </a:graphicData>
            </a:graphic>
          </wp:inline>
        </w:drawing>
      </w:r>
      <w:r>
        <w:rPr>
          <w:rFonts w:hint="eastAsia" w:ascii="宋体" w:hAnsi="宋体" w:eastAsia="宋体" w:cs="宋体"/>
          <w:color w:val="000000"/>
          <w:kern w:val="0"/>
          <w:sz w:val="21"/>
          <w:szCs w:val="21"/>
          <w:lang w:eastAsia="zh-CN"/>
          <w14:ligatures w14:val="none"/>
        </w:rPr>
        <w:t xml:space="preserve">                                                                </w:t>
      </w:r>
    </w:p>
    <w:p w14:paraId="03D72881">
      <w:pPr>
        <w:keepNext/>
        <w:keepLines/>
        <w:spacing w:before="200" w:after="0" w:line="360" w:lineRule="auto"/>
        <w:outlineLvl w:val="2"/>
        <w:rPr>
          <w:rFonts w:hint="eastAsia" w:ascii="宋体" w:hAnsi="宋体" w:eastAsia="宋体" w:cs="宋体"/>
          <w:b/>
          <w:bCs/>
          <w:color w:val="4F81BD"/>
          <w:sz w:val="21"/>
          <w:szCs w:val="21"/>
          <w:lang w:val="en-US" w:eastAsia="zh-CN" w:bidi="ar-SA"/>
        </w:rPr>
      </w:pPr>
      <w:bookmarkStart w:id="152" w:name="_Toc5709"/>
      <w:r>
        <w:rPr>
          <w:rFonts w:hint="eastAsia" w:ascii="宋体" w:hAnsi="宋体" w:eastAsia="宋体" w:cs="宋体"/>
          <w:b/>
          <w:bCs/>
          <w:color w:val="000000"/>
          <w:sz w:val="21"/>
          <w:szCs w:val="21"/>
          <w:lang w:val="en-US" w:eastAsia="zh-CN" w:bidi="ar-SA"/>
        </w:rPr>
        <w:t>8.4.3  果树认养与数字孪生</w:t>
      </w:r>
      <w:bookmarkEnd w:id="152"/>
    </w:p>
    <w:p w14:paraId="517B1DFE">
      <w:pPr>
        <w:widowControl/>
        <w:spacing w:after="120" w:line="360" w:lineRule="auto"/>
        <w:ind w:firstLine="425"/>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认养系统是用户深度绑定的核心机制，由认养首页（P13）、数字孪生详情（P14）、溯源页（P14b）构成。</w:t>
      </w:r>
    </w:p>
    <w:p w14:paraId="194291AB">
      <w:pPr>
        <w:widowControl/>
        <w:spacing w:after="120" w:line="360" w:lineRule="auto"/>
        <w:rPr>
          <w:rFonts w:hint="eastAsia" w:ascii="宋体" w:hAnsi="宋体" w:eastAsia="宋体" w:cs="宋体"/>
          <w:kern w:val="0"/>
          <w:sz w:val="21"/>
          <w:szCs w:val="21"/>
          <w:lang w:eastAsia="zh-CN"/>
          <w14:ligatures w14:val="none"/>
        </w:rPr>
      </w:pPr>
      <w:r>
        <w:rPr>
          <w:rFonts w:hint="eastAsia" w:ascii="宋体" w:hAnsi="宋体" w:eastAsia="宋体" w:cs="宋体"/>
          <w:b/>
          <w:kern w:val="0"/>
          <w:sz w:val="21"/>
          <w:szCs w:val="21"/>
          <w:lang w:eastAsia="zh-CN"/>
          <w14:ligatures w14:val="none"/>
        </w:rPr>
        <w:t>（1）三档认养套餐</w:t>
      </w:r>
    </w:p>
    <w:p w14:paraId="0FCBC3C5">
      <w:pPr>
        <w:widowControl/>
        <w:spacing w:after="120" w:line="360" w:lineRule="auto"/>
        <w:ind w:firstLine="425"/>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设计"识樱人""护樱人""守樱人"三档（设计原则P-015锁定命名），分别对应轻度体验、中度参与、深度绑定。档名不使用"初级/中级/高级"等通用命名，而以品牌语言传递文化认同。</w:t>
      </w:r>
    </w:p>
    <w:p w14:paraId="4AEA8440">
      <w:pPr>
        <w:widowControl/>
        <w:spacing w:after="120" w:line="360" w:lineRule="auto"/>
        <w:rPr>
          <w:rFonts w:hint="eastAsia" w:ascii="宋体" w:hAnsi="宋体" w:eastAsia="宋体" w:cs="宋体"/>
          <w:kern w:val="0"/>
          <w:sz w:val="21"/>
          <w:szCs w:val="21"/>
          <w:lang w:eastAsia="zh-CN"/>
          <w14:ligatures w14:val="none"/>
        </w:rPr>
      </w:pPr>
      <w:r>
        <w:rPr>
          <w:rFonts w:hint="eastAsia" w:ascii="宋体" w:hAnsi="宋体" w:eastAsia="宋体" w:cs="宋体"/>
          <w:b/>
          <w:kern w:val="0"/>
          <w:sz w:val="21"/>
          <w:szCs w:val="21"/>
          <w:lang w:eastAsia="zh-CN"/>
          <w14:ligatures w14:val="none"/>
        </w:rPr>
        <w:t>（2）Canvas数字孪生果树</w:t>
      </w:r>
    </w:p>
    <w:p w14:paraId="12CF7F30">
      <w:pPr>
        <w:widowControl/>
        <w:spacing w:after="120" w:line="360" w:lineRule="auto"/>
        <w:ind w:firstLine="425"/>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认养果树以Canvas 2D实时渲染，按月份自动切换6种季节状态（春花/初夏/盛夏/秋叶/冬雪/早春）。</w:t>
      </w:r>
    </w:p>
    <w:p w14:paraId="32DB45C0">
      <w:pPr>
        <w:widowControl/>
        <w:spacing w:after="120" w:line="360" w:lineRule="auto"/>
        <w:rPr>
          <w:rFonts w:hint="eastAsia" w:ascii="宋体" w:hAnsi="宋体" w:eastAsia="宋体" w:cs="宋体"/>
          <w:kern w:val="0"/>
          <w:sz w:val="21"/>
          <w:szCs w:val="21"/>
          <w:lang w:eastAsia="zh-CN"/>
          <w14:ligatures w14:val="none"/>
        </w:rPr>
      </w:pPr>
      <w:r>
        <w:rPr>
          <w:rFonts w:hint="eastAsia" w:ascii="宋体" w:hAnsi="宋体" w:eastAsia="宋体" w:cs="宋体"/>
          <w:b/>
          <w:kern w:val="0"/>
          <w:sz w:val="21"/>
          <w:szCs w:val="21"/>
          <w:lang w:eastAsia="zh-CN"/>
          <w14:ligatures w14:val="none"/>
        </w:rPr>
        <w:t>（3）溯源时间线</w:t>
      </w:r>
    </w:p>
    <w:p w14:paraId="6575E8B1">
      <w:pPr>
        <w:widowControl/>
        <w:spacing w:after="120" w:line="360" w:lineRule="auto"/>
        <w:ind w:firstLine="425"/>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溯源页通过扫码或手动输入溯源码进入，展示果树从种植、施肥、灌溉、检测到采摘的全生命周期时间线。水质/土壤检测数据以对比网格形式展示（实测值 vs 国标范围），合格项</w:t>
      </w:r>
    </w:p>
    <w:p w14:paraId="3B73CC3F">
      <w:pPr>
        <w:widowControl/>
        <w:spacing w:after="120" w:line="360" w:lineRule="auto"/>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绿色标记、超标项红色标记，用数据透明建立消费者信任。</w:t>
      </w:r>
    </w:p>
    <w:p w14:paraId="0C9A3ECB">
      <w:pPr>
        <w:widowControl/>
        <w:spacing w:after="120" w:line="360" w:lineRule="auto"/>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drawing>
          <wp:inline distT="0" distB="0" distL="0" distR="0">
            <wp:extent cx="1815465" cy="2939415"/>
            <wp:effectExtent l="0" t="0" r="635" b="6985"/>
            <wp:docPr id="79737174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71748" name="图片 5"/>
                    <pic:cNvPicPr>
                      <a:picLocks noChangeAspect="1" noChangeArrowheads="1"/>
                    </pic:cNvPicPr>
                  </pic:nvPicPr>
                  <pic:blipFill>
                    <a:blip r:embed="rId54">
                      <a:extLst>
                        <a:ext uri="{28A0092B-C50C-407E-A947-70E740481C1C}">
                          <a14:useLocalDpi xmlns:a14="http://schemas.microsoft.com/office/drawing/2010/main" val="0"/>
                        </a:ext>
                      </a:extLst>
                    </a:blip>
                    <a:srcRect t="2103" b="33619"/>
                    <a:stretch>
                      <a:fillRect/>
                    </a:stretch>
                  </pic:blipFill>
                  <pic:spPr>
                    <a:xfrm>
                      <a:off x="0" y="0"/>
                      <a:ext cx="1815465" cy="2939415"/>
                    </a:xfrm>
                    <a:prstGeom prst="rect">
                      <a:avLst/>
                    </a:prstGeom>
                    <a:noFill/>
                    <a:ln>
                      <a:noFill/>
                    </a:ln>
                  </pic:spPr>
                </pic:pic>
              </a:graphicData>
            </a:graphic>
          </wp:inline>
        </w:drawing>
      </w:r>
    </w:p>
    <w:p w14:paraId="08FCF59D">
      <w:pPr>
        <w:keepNext/>
        <w:keepLines/>
        <w:spacing w:before="200" w:after="0" w:line="360" w:lineRule="auto"/>
        <w:outlineLvl w:val="2"/>
        <w:rPr>
          <w:rFonts w:hint="eastAsia" w:ascii="宋体" w:hAnsi="宋体" w:eastAsia="宋体" w:cs="宋体"/>
          <w:b/>
          <w:bCs/>
          <w:color w:val="4F81BD"/>
          <w:sz w:val="21"/>
          <w:szCs w:val="21"/>
          <w:lang w:val="en-US" w:eastAsia="zh-CN" w:bidi="ar-SA"/>
        </w:rPr>
      </w:pPr>
      <w:bookmarkStart w:id="153" w:name="_Toc7295"/>
      <w:r>
        <w:rPr>
          <w:rFonts w:hint="eastAsia" w:ascii="宋体" w:hAnsi="宋体" w:eastAsia="宋体" w:cs="宋体"/>
          <w:b/>
          <w:bCs/>
          <w:color w:val="000000"/>
          <w:sz w:val="21"/>
          <w:szCs w:val="21"/>
          <w:lang w:val="en-US" w:eastAsia="zh-CN" w:bidi="ar-SA"/>
        </w:rPr>
        <w:t>8.4.4  AI智能行程推荐</w:t>
      </w:r>
      <w:bookmarkEnd w:id="153"/>
    </w:p>
    <w:p w14:paraId="45A0B8EE">
      <w:pPr>
        <w:widowControl/>
        <w:spacing w:after="120" w:line="360" w:lineRule="auto"/>
        <w:ind w:firstLine="425"/>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AI行程页面（P04）为用户提供"一键生成行程单"功能。用户输入出行人数、时长偏好（半日/全日/两日）、兴趣标签（骑行/采摘/研学/美食/露营等）、出行日期和预算范围后，系统基于9条硬编码规则生成时间线式行程单：基于9条规则（人数×时长×偏好×季节×预算→行程模板匹配），无需ML，后续可平滑升级。</w:t>
      </w:r>
    </w:p>
    <w:p w14:paraId="4598E5CF">
      <w:pPr>
        <w:widowControl/>
        <w:spacing w:after="120" w:line="360" w:lineRule="auto"/>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drawing>
          <wp:inline distT="0" distB="0" distL="0" distR="0">
            <wp:extent cx="1917065" cy="2660015"/>
            <wp:effectExtent l="0" t="0" r="635" b="6985"/>
            <wp:docPr id="12128550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55019" name="图片 9"/>
                    <pic:cNvPicPr>
                      <a:picLocks noChangeAspect="1" noChangeArrowheads="1"/>
                    </pic:cNvPicPr>
                  </pic:nvPicPr>
                  <pic:blipFill>
                    <a:blip r:embed="rId55">
                      <a:extLst>
                        <a:ext uri="{28A0092B-C50C-407E-A947-70E740481C1C}">
                          <a14:useLocalDpi xmlns:a14="http://schemas.microsoft.com/office/drawing/2010/main" val="0"/>
                        </a:ext>
                      </a:extLst>
                    </a:blip>
                    <a:srcRect t="2788"/>
                    <a:stretch>
                      <a:fillRect/>
                    </a:stretch>
                  </pic:blipFill>
                  <pic:spPr>
                    <a:xfrm>
                      <a:off x="0" y="0"/>
                      <a:ext cx="1917065" cy="2660015"/>
                    </a:xfrm>
                    <a:prstGeom prst="rect">
                      <a:avLst/>
                    </a:prstGeom>
                    <a:noFill/>
                    <a:ln>
                      <a:noFill/>
                    </a:ln>
                  </pic:spPr>
                </pic:pic>
              </a:graphicData>
            </a:graphic>
          </wp:inline>
        </w:drawing>
      </w:r>
    </w:p>
    <w:p w14:paraId="11B3431F">
      <w:pPr>
        <w:keepNext/>
        <w:keepLines/>
        <w:spacing w:before="200" w:after="0" w:line="360" w:lineRule="auto"/>
        <w:outlineLvl w:val="2"/>
        <w:rPr>
          <w:rFonts w:hint="eastAsia" w:ascii="宋体" w:hAnsi="宋体" w:eastAsia="宋体" w:cs="宋体"/>
          <w:b/>
          <w:bCs/>
          <w:color w:val="4F81BD"/>
          <w:sz w:val="21"/>
          <w:szCs w:val="21"/>
          <w:lang w:val="en-US" w:eastAsia="zh-CN" w:bidi="ar-SA"/>
        </w:rPr>
      </w:pPr>
      <w:bookmarkStart w:id="154" w:name="_Toc20475"/>
      <w:r>
        <w:rPr>
          <w:rFonts w:hint="eastAsia" w:ascii="宋体" w:hAnsi="宋体" w:eastAsia="宋体" w:cs="宋体"/>
          <w:b/>
          <w:bCs/>
          <w:color w:val="000000"/>
          <w:sz w:val="21"/>
          <w:szCs w:val="21"/>
          <w:lang w:val="en-US" w:eastAsia="zh-CN" w:bidi="ar-SA"/>
        </w:rPr>
        <w:t>8.4.5  生态数据看板</w:t>
      </w:r>
      <w:bookmarkEnd w:id="154"/>
    </w:p>
    <w:p w14:paraId="5E6CB501">
      <w:pPr>
        <w:widowControl/>
        <w:spacing w:after="120" w:line="360" w:lineRule="auto"/>
        <w:ind w:firstLine="425"/>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生态看板（P16）展示杨家东庄村一级水源保护区的四项环境数据：水质等级、空气质量指数、年碳汇量、当季物候。数据来源为村庄实测数据（MVP阶段使用模拟数据），以卡片形式呈现，每张卡片包含指标名称、当前数值、评级标签和趋势说明。看板的存在不仅是功能，更是品牌策略——用可视化数据持续强化"一级水源保护区"的认知。</w:t>
      </w:r>
      <w:r>
        <w:rPr>
          <w:rFonts w:hint="eastAsia" w:ascii="宋体" w:hAnsi="宋体" w:eastAsia="宋体" w:cs="宋体"/>
          <w:kern w:val="0"/>
          <w:sz w:val="21"/>
          <w:szCs w:val="21"/>
          <w:lang w:eastAsia="zh-CN"/>
          <w14:ligatures w14:val="none"/>
        </w:rPr>
        <w:br w:type="textWrapping"/>
      </w:r>
      <w:r>
        <w:rPr>
          <w:rFonts w:hint="eastAsia" w:ascii="宋体" w:hAnsi="宋体" w:eastAsia="宋体" w:cs="宋体"/>
          <w:kern w:val="0"/>
          <w:sz w:val="21"/>
          <w:szCs w:val="21"/>
          <w:lang w:eastAsia="zh-CN"/>
          <w14:ligatures w14:val="none"/>
        </w:rPr>
        <w:drawing>
          <wp:inline distT="0" distB="0" distL="0" distR="0">
            <wp:extent cx="1856105" cy="3009265"/>
            <wp:effectExtent l="0" t="0" r="10795" b="635"/>
            <wp:docPr id="62428190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81908" name="图片 7"/>
                    <pic:cNvPicPr>
                      <a:picLocks noChangeAspect="1" noChangeArrowheads="1"/>
                    </pic:cNvPicPr>
                  </pic:nvPicPr>
                  <pic:blipFill>
                    <a:blip r:embed="rId56">
                      <a:extLst>
                        <a:ext uri="{28A0092B-C50C-407E-A947-70E740481C1C}">
                          <a14:useLocalDpi xmlns:a14="http://schemas.microsoft.com/office/drawing/2010/main" val="0"/>
                        </a:ext>
                      </a:extLst>
                    </a:blip>
                    <a:srcRect t="3873"/>
                    <a:stretch>
                      <a:fillRect/>
                    </a:stretch>
                  </pic:blipFill>
                  <pic:spPr>
                    <a:xfrm>
                      <a:off x="0" y="0"/>
                      <a:ext cx="1856105" cy="3009265"/>
                    </a:xfrm>
                    <a:prstGeom prst="rect">
                      <a:avLst/>
                    </a:prstGeom>
                    <a:noFill/>
                    <a:ln>
                      <a:noFill/>
                    </a:ln>
                  </pic:spPr>
                </pic:pic>
              </a:graphicData>
            </a:graphic>
          </wp:inline>
        </w:drawing>
      </w:r>
      <w:r>
        <w:rPr>
          <w:rFonts w:hint="eastAsia" w:ascii="宋体" w:hAnsi="宋体" w:eastAsia="宋体" w:cs="宋体"/>
          <w:kern w:val="0"/>
          <w:sz w:val="21"/>
          <w:szCs w:val="21"/>
          <w:lang w:eastAsia="zh-CN"/>
          <w14:ligatures w14:val="none"/>
        </w:rPr>
        <w:br w:type="textWrapping"/>
      </w:r>
      <w:r>
        <w:rPr>
          <w:rFonts w:hint="eastAsia" w:ascii="宋体" w:hAnsi="宋体" w:eastAsia="宋体" w:cs="宋体"/>
          <w:color w:val="000000"/>
          <w:kern w:val="0"/>
          <w:sz w:val="21"/>
          <w:szCs w:val="21"/>
          <w:lang w:eastAsia="zh-CN"/>
          <w14:ligatures w14:val="none"/>
        </w:rPr>
        <w:t>8.5  核心用户使用流程</w:t>
      </w:r>
    </w:p>
    <w:p w14:paraId="56D591F8">
      <w:pPr>
        <w:widowControl/>
        <w:spacing w:after="120" w:line="360" w:lineRule="auto"/>
        <w:ind w:firstLine="425"/>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以“周末骑行用户”为例，核心流程如下：</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tblGrid>
      <w:tr w14:paraId="43E1F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5C7C609">
            <w:pPr>
              <w:widowControl/>
              <w:spacing w:after="120" w:line="360" w:lineRule="auto"/>
              <w:jc w:val="center"/>
              <w:rPr>
                <w:rFonts w:hint="eastAsia" w:ascii="宋体" w:hAnsi="宋体" w:eastAsia="宋体" w:cs="宋体"/>
                <w:kern w:val="0"/>
                <w:sz w:val="21"/>
                <w:szCs w:val="21"/>
                <w:lang w:eastAsia="en-US"/>
                <w14:ligatures w14:val="none"/>
              </w:rPr>
            </w:pPr>
            <w:r>
              <w:rPr>
                <w:rFonts w:hint="eastAsia" w:ascii="宋体" w:hAnsi="宋体" w:eastAsia="宋体" w:cs="宋体"/>
                <w:b/>
                <w:kern w:val="0"/>
                <w:sz w:val="21"/>
                <w:szCs w:val="21"/>
                <w:lang w:eastAsia="en-US"/>
                <w14:ligatures w14:val="none"/>
              </w:rPr>
              <w:t>步骤</w:t>
            </w:r>
          </w:p>
        </w:tc>
        <w:tc>
          <w:tcPr>
            <w:tcW w:w="2160" w:type="dxa"/>
          </w:tcPr>
          <w:p w14:paraId="3B33E899">
            <w:pPr>
              <w:widowControl/>
              <w:spacing w:after="120" w:line="360" w:lineRule="auto"/>
              <w:jc w:val="center"/>
              <w:rPr>
                <w:rFonts w:hint="eastAsia" w:ascii="宋体" w:hAnsi="宋体" w:eastAsia="宋体" w:cs="宋体"/>
                <w:kern w:val="0"/>
                <w:sz w:val="21"/>
                <w:szCs w:val="21"/>
                <w:lang w:eastAsia="en-US"/>
                <w14:ligatures w14:val="none"/>
              </w:rPr>
            </w:pPr>
            <w:r>
              <w:rPr>
                <w:rFonts w:hint="eastAsia" w:ascii="宋体" w:hAnsi="宋体" w:eastAsia="宋体" w:cs="宋体"/>
                <w:b/>
                <w:kern w:val="0"/>
                <w:sz w:val="21"/>
                <w:szCs w:val="21"/>
                <w:lang w:eastAsia="en-US"/>
                <w14:ligatures w14:val="none"/>
              </w:rPr>
              <w:t>用户行为</w:t>
            </w:r>
          </w:p>
        </w:tc>
        <w:tc>
          <w:tcPr>
            <w:tcW w:w="2160" w:type="dxa"/>
          </w:tcPr>
          <w:p w14:paraId="601E11A8">
            <w:pPr>
              <w:widowControl/>
              <w:spacing w:after="120" w:line="360" w:lineRule="auto"/>
              <w:jc w:val="center"/>
              <w:rPr>
                <w:rFonts w:hint="eastAsia" w:ascii="宋体" w:hAnsi="宋体" w:eastAsia="宋体" w:cs="宋体"/>
                <w:kern w:val="0"/>
                <w:sz w:val="21"/>
                <w:szCs w:val="21"/>
                <w:lang w:eastAsia="en-US"/>
                <w14:ligatures w14:val="none"/>
              </w:rPr>
            </w:pPr>
            <w:r>
              <w:rPr>
                <w:rFonts w:hint="eastAsia" w:ascii="宋体" w:hAnsi="宋体" w:eastAsia="宋体" w:cs="宋体"/>
                <w:b/>
                <w:kern w:val="0"/>
                <w:sz w:val="21"/>
                <w:szCs w:val="21"/>
                <w:lang w:eastAsia="en-US"/>
                <w14:ligatures w14:val="none"/>
              </w:rPr>
              <w:t>转化目标</w:t>
            </w:r>
          </w:p>
        </w:tc>
      </w:tr>
      <w:tr w14:paraId="16E95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8A26C29">
            <w:pPr>
              <w:widowControl/>
              <w:spacing w:after="120" w:line="360" w:lineRule="auto"/>
              <w:rPr>
                <w:rFonts w:hint="eastAsia" w:ascii="宋体" w:hAnsi="宋体" w:eastAsia="宋体" w:cs="宋体"/>
                <w:kern w:val="0"/>
                <w:sz w:val="21"/>
                <w:szCs w:val="21"/>
                <w:lang w:eastAsia="en-US"/>
                <w14:ligatures w14:val="none"/>
              </w:rPr>
            </w:pPr>
            <w:r>
              <w:rPr>
                <w:rFonts w:hint="eastAsia" w:ascii="宋体" w:hAnsi="宋体" w:eastAsia="宋体" w:cs="宋体"/>
                <w:kern w:val="0"/>
                <w:sz w:val="21"/>
                <w:szCs w:val="21"/>
                <w:lang w:eastAsia="en-US"/>
                <w14:ligatures w14:val="none"/>
              </w:rPr>
              <w:t>1</w:t>
            </w:r>
          </w:p>
        </w:tc>
        <w:tc>
          <w:tcPr>
            <w:tcW w:w="2160" w:type="dxa"/>
          </w:tcPr>
          <w:p w14:paraId="2E905BFC">
            <w:pPr>
              <w:widowControl/>
              <w:spacing w:after="120" w:line="360" w:lineRule="auto"/>
              <w:rPr>
                <w:rFonts w:hint="eastAsia" w:ascii="宋体" w:hAnsi="宋体" w:eastAsia="宋体" w:cs="宋体"/>
                <w:kern w:val="0"/>
                <w:sz w:val="21"/>
                <w:szCs w:val="21"/>
                <w:lang w:eastAsia="en-US"/>
                <w14:ligatures w14:val="none"/>
              </w:rPr>
            </w:pPr>
            <w:r>
              <w:rPr>
                <w:rFonts w:hint="eastAsia" w:ascii="宋体" w:hAnsi="宋体" w:eastAsia="宋体" w:cs="宋体"/>
                <w:kern w:val="0"/>
                <w:sz w:val="21"/>
                <w:szCs w:val="21"/>
                <w:lang w:eastAsia="en-US"/>
                <w14:ligatures w14:val="none"/>
              </w:rPr>
              <w:t>扫码/搜索进入小程序</w:t>
            </w:r>
          </w:p>
        </w:tc>
        <w:tc>
          <w:tcPr>
            <w:tcW w:w="2160" w:type="dxa"/>
          </w:tcPr>
          <w:p w14:paraId="44EA2AD0">
            <w:pPr>
              <w:widowControl/>
              <w:spacing w:after="120" w:line="360" w:lineRule="auto"/>
              <w:rPr>
                <w:rFonts w:hint="eastAsia" w:ascii="宋体" w:hAnsi="宋体" w:eastAsia="宋体" w:cs="宋体"/>
                <w:kern w:val="0"/>
                <w:sz w:val="21"/>
                <w:szCs w:val="21"/>
                <w:lang w:eastAsia="en-US"/>
                <w14:ligatures w14:val="none"/>
              </w:rPr>
            </w:pPr>
            <w:r>
              <w:rPr>
                <w:rFonts w:hint="eastAsia" w:ascii="宋体" w:hAnsi="宋体" w:eastAsia="宋体" w:cs="宋体"/>
                <w:kern w:val="0"/>
                <w:sz w:val="21"/>
                <w:szCs w:val="21"/>
                <w:lang w:eastAsia="en-US"/>
                <w14:ligatures w14:val="none"/>
              </w:rPr>
              <w:t>建立品牌第一印象</w:t>
            </w:r>
          </w:p>
        </w:tc>
      </w:tr>
      <w:tr w14:paraId="6EB9F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53A428B">
            <w:pPr>
              <w:widowControl/>
              <w:spacing w:after="120" w:line="360" w:lineRule="auto"/>
              <w:rPr>
                <w:rFonts w:hint="eastAsia" w:ascii="宋体" w:hAnsi="宋体" w:eastAsia="宋体" w:cs="宋体"/>
                <w:kern w:val="0"/>
                <w:sz w:val="21"/>
                <w:szCs w:val="21"/>
                <w:lang w:eastAsia="en-US"/>
                <w14:ligatures w14:val="none"/>
              </w:rPr>
            </w:pPr>
            <w:r>
              <w:rPr>
                <w:rFonts w:hint="eastAsia" w:ascii="宋体" w:hAnsi="宋体" w:eastAsia="宋体" w:cs="宋体"/>
                <w:kern w:val="0"/>
                <w:sz w:val="21"/>
                <w:szCs w:val="21"/>
                <w:lang w:eastAsia="en-US"/>
                <w14:ligatures w14:val="none"/>
              </w:rPr>
              <w:t>2</w:t>
            </w:r>
          </w:p>
        </w:tc>
        <w:tc>
          <w:tcPr>
            <w:tcW w:w="2160" w:type="dxa"/>
          </w:tcPr>
          <w:p w14:paraId="34C48F2E">
            <w:pPr>
              <w:widowControl/>
              <w:spacing w:after="120" w:line="360" w:lineRule="auto"/>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浏览首页，点击"骑行"Tab</w:t>
            </w:r>
          </w:p>
        </w:tc>
        <w:tc>
          <w:tcPr>
            <w:tcW w:w="2160" w:type="dxa"/>
          </w:tcPr>
          <w:p w14:paraId="26F9A305">
            <w:pPr>
              <w:widowControl/>
              <w:spacing w:after="120" w:line="360" w:lineRule="auto"/>
              <w:rPr>
                <w:rFonts w:hint="eastAsia" w:ascii="宋体" w:hAnsi="宋体" w:eastAsia="宋体" w:cs="宋体"/>
                <w:kern w:val="0"/>
                <w:sz w:val="21"/>
                <w:szCs w:val="21"/>
                <w:lang w:eastAsia="en-US"/>
                <w14:ligatures w14:val="none"/>
              </w:rPr>
            </w:pPr>
            <w:r>
              <w:rPr>
                <w:rFonts w:hint="eastAsia" w:ascii="宋体" w:hAnsi="宋体" w:eastAsia="宋体" w:cs="宋体"/>
                <w:kern w:val="0"/>
                <w:sz w:val="21"/>
                <w:szCs w:val="21"/>
                <w:lang w:eastAsia="en-US"/>
                <w14:ligatures w14:val="none"/>
              </w:rPr>
              <w:t>选择匹配路线</w:t>
            </w:r>
          </w:p>
        </w:tc>
      </w:tr>
      <w:tr w14:paraId="2D327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C661C14">
            <w:pPr>
              <w:widowControl/>
              <w:spacing w:after="120" w:line="360" w:lineRule="auto"/>
              <w:rPr>
                <w:rFonts w:hint="eastAsia" w:ascii="宋体" w:hAnsi="宋体" w:eastAsia="宋体" w:cs="宋体"/>
                <w:kern w:val="0"/>
                <w:sz w:val="21"/>
                <w:szCs w:val="21"/>
                <w:lang w:eastAsia="en-US"/>
                <w14:ligatures w14:val="none"/>
              </w:rPr>
            </w:pPr>
            <w:r>
              <w:rPr>
                <w:rFonts w:hint="eastAsia" w:ascii="宋体" w:hAnsi="宋体" w:eastAsia="宋体" w:cs="宋体"/>
                <w:kern w:val="0"/>
                <w:sz w:val="21"/>
                <w:szCs w:val="21"/>
                <w:lang w:eastAsia="en-US"/>
                <w14:ligatures w14:val="none"/>
              </w:rPr>
              <w:t>3</w:t>
            </w:r>
          </w:p>
        </w:tc>
        <w:tc>
          <w:tcPr>
            <w:tcW w:w="2160" w:type="dxa"/>
          </w:tcPr>
          <w:p w14:paraId="2CBD614F">
            <w:pPr>
              <w:widowControl/>
              <w:spacing w:after="120" w:line="360" w:lineRule="auto"/>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选择B线（环库探秘），开始骑行</w:t>
            </w:r>
          </w:p>
        </w:tc>
        <w:tc>
          <w:tcPr>
            <w:tcW w:w="2160" w:type="dxa"/>
          </w:tcPr>
          <w:p w14:paraId="1DD4221F">
            <w:pPr>
              <w:widowControl/>
              <w:spacing w:after="120" w:line="360" w:lineRule="auto"/>
              <w:rPr>
                <w:rFonts w:hint="eastAsia" w:ascii="宋体" w:hAnsi="宋体" w:eastAsia="宋体" w:cs="宋体"/>
                <w:kern w:val="0"/>
                <w:sz w:val="21"/>
                <w:szCs w:val="21"/>
                <w:lang w:eastAsia="en-US"/>
                <w14:ligatures w14:val="none"/>
              </w:rPr>
            </w:pPr>
            <w:r>
              <w:rPr>
                <w:rFonts w:hint="eastAsia" w:ascii="宋体" w:hAnsi="宋体" w:eastAsia="宋体" w:cs="宋体"/>
                <w:kern w:val="0"/>
                <w:sz w:val="21"/>
                <w:szCs w:val="21"/>
                <w:lang w:eastAsia="en-US"/>
                <w14:ligatures w14:val="none"/>
              </w:rPr>
              <w:t>沉浸式骑行体验</w:t>
            </w:r>
          </w:p>
        </w:tc>
      </w:tr>
      <w:tr w14:paraId="3C96F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4F21A42">
            <w:pPr>
              <w:widowControl/>
              <w:spacing w:after="120" w:line="360" w:lineRule="auto"/>
              <w:rPr>
                <w:rFonts w:hint="eastAsia" w:ascii="宋体" w:hAnsi="宋体" w:eastAsia="宋体" w:cs="宋体"/>
                <w:kern w:val="0"/>
                <w:sz w:val="21"/>
                <w:szCs w:val="21"/>
                <w:lang w:eastAsia="en-US"/>
                <w14:ligatures w14:val="none"/>
              </w:rPr>
            </w:pPr>
            <w:r>
              <w:rPr>
                <w:rFonts w:hint="eastAsia" w:ascii="宋体" w:hAnsi="宋体" w:eastAsia="宋体" w:cs="宋体"/>
                <w:kern w:val="0"/>
                <w:sz w:val="21"/>
                <w:szCs w:val="21"/>
                <w:lang w:eastAsia="en-US"/>
                <w14:ligatures w14:val="none"/>
              </w:rPr>
              <w:t>4</w:t>
            </w:r>
          </w:p>
        </w:tc>
        <w:tc>
          <w:tcPr>
            <w:tcW w:w="2160" w:type="dxa"/>
          </w:tcPr>
          <w:p w14:paraId="3C8E4603">
            <w:pPr>
              <w:widowControl/>
              <w:spacing w:after="120" w:line="360" w:lineRule="auto"/>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骑过N3节点（距离&lt;50m）</w:t>
            </w:r>
          </w:p>
        </w:tc>
        <w:tc>
          <w:tcPr>
            <w:tcW w:w="2160" w:type="dxa"/>
          </w:tcPr>
          <w:p w14:paraId="3045B3B1">
            <w:pPr>
              <w:widowControl/>
              <w:spacing w:after="120" w:line="360" w:lineRule="auto"/>
              <w:rPr>
                <w:rFonts w:hint="eastAsia" w:ascii="宋体" w:hAnsi="宋体" w:eastAsia="宋体" w:cs="宋体"/>
                <w:kern w:val="0"/>
                <w:sz w:val="21"/>
                <w:szCs w:val="21"/>
                <w:lang w:eastAsia="en-US"/>
                <w14:ligatures w14:val="none"/>
              </w:rPr>
            </w:pPr>
            <w:r>
              <w:rPr>
                <w:rFonts w:hint="eastAsia" w:ascii="宋体" w:hAnsi="宋体" w:eastAsia="宋体" w:cs="宋体"/>
                <w:kern w:val="0"/>
                <w:sz w:val="21"/>
                <w:szCs w:val="21"/>
                <w:lang w:eastAsia="en-US"/>
                <w14:ligatures w14:val="none"/>
              </w:rPr>
              <w:t>打卡激励 + 积分累积</w:t>
            </w:r>
          </w:p>
        </w:tc>
      </w:tr>
      <w:tr w14:paraId="7E4FE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1EF00B4">
            <w:pPr>
              <w:widowControl/>
              <w:spacing w:after="120" w:line="360" w:lineRule="auto"/>
              <w:rPr>
                <w:rFonts w:hint="eastAsia" w:ascii="宋体" w:hAnsi="宋体" w:eastAsia="宋体" w:cs="宋体"/>
                <w:kern w:val="0"/>
                <w:sz w:val="21"/>
                <w:szCs w:val="21"/>
                <w:lang w:eastAsia="en-US"/>
                <w14:ligatures w14:val="none"/>
              </w:rPr>
            </w:pPr>
            <w:r>
              <w:rPr>
                <w:rFonts w:hint="eastAsia" w:ascii="宋体" w:hAnsi="宋体" w:eastAsia="宋体" w:cs="宋体"/>
                <w:kern w:val="0"/>
                <w:sz w:val="21"/>
                <w:szCs w:val="21"/>
                <w:lang w:eastAsia="en-US"/>
                <w14:ligatures w14:val="none"/>
              </w:rPr>
              <w:t>5</w:t>
            </w:r>
          </w:p>
        </w:tc>
        <w:tc>
          <w:tcPr>
            <w:tcW w:w="2160" w:type="dxa"/>
          </w:tcPr>
          <w:p w14:paraId="3D495E31">
            <w:pPr>
              <w:widowControl/>
              <w:spacing w:after="120" w:line="360" w:lineRule="auto"/>
              <w:rPr>
                <w:rFonts w:hint="eastAsia" w:ascii="宋体" w:hAnsi="宋体" w:eastAsia="宋体" w:cs="宋体"/>
                <w:kern w:val="0"/>
                <w:sz w:val="21"/>
                <w:szCs w:val="21"/>
                <w:lang w:eastAsia="en-US"/>
                <w14:ligatures w14:val="none"/>
              </w:rPr>
            </w:pPr>
            <w:r>
              <w:rPr>
                <w:rFonts w:hint="eastAsia" w:ascii="宋体" w:hAnsi="宋体" w:eastAsia="宋体" w:cs="宋体"/>
                <w:kern w:val="0"/>
                <w:sz w:val="21"/>
                <w:szCs w:val="21"/>
                <w:lang w:eastAsia="en-US"/>
                <w14:ligatures w14:val="none"/>
              </w:rPr>
              <w:t>完成全程，长按结束</w:t>
            </w:r>
          </w:p>
        </w:tc>
        <w:tc>
          <w:tcPr>
            <w:tcW w:w="2160" w:type="dxa"/>
          </w:tcPr>
          <w:p w14:paraId="7A6F3B9A">
            <w:pPr>
              <w:widowControl/>
              <w:spacing w:after="120" w:line="360" w:lineRule="auto"/>
              <w:rPr>
                <w:rFonts w:hint="eastAsia" w:ascii="宋体" w:hAnsi="宋体" w:eastAsia="宋体" w:cs="宋体"/>
                <w:kern w:val="0"/>
                <w:sz w:val="21"/>
                <w:szCs w:val="21"/>
                <w:lang w:eastAsia="en-US"/>
                <w14:ligatures w14:val="none"/>
              </w:rPr>
            </w:pPr>
            <w:r>
              <w:rPr>
                <w:rFonts w:hint="eastAsia" w:ascii="宋体" w:hAnsi="宋体" w:eastAsia="宋体" w:cs="宋体"/>
                <w:kern w:val="0"/>
                <w:sz w:val="21"/>
                <w:szCs w:val="21"/>
                <w:lang w:eastAsia="en-US"/>
                <w14:ligatures w14:val="none"/>
              </w:rPr>
              <w:t>社交分享裂变</w:t>
            </w:r>
          </w:p>
        </w:tc>
      </w:tr>
      <w:tr w14:paraId="2CF6A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92BE502">
            <w:pPr>
              <w:widowControl/>
              <w:spacing w:after="120" w:line="360" w:lineRule="auto"/>
              <w:rPr>
                <w:rFonts w:hint="eastAsia" w:ascii="宋体" w:hAnsi="宋体" w:eastAsia="宋体" w:cs="宋体"/>
                <w:kern w:val="0"/>
                <w:sz w:val="21"/>
                <w:szCs w:val="21"/>
                <w:lang w:eastAsia="en-US"/>
                <w14:ligatures w14:val="none"/>
              </w:rPr>
            </w:pPr>
            <w:r>
              <w:rPr>
                <w:rFonts w:hint="eastAsia" w:ascii="宋体" w:hAnsi="宋体" w:eastAsia="宋体" w:cs="宋体"/>
                <w:kern w:val="0"/>
                <w:sz w:val="21"/>
                <w:szCs w:val="21"/>
                <w:lang w:eastAsia="en-US"/>
                <w14:ligatures w14:val="none"/>
              </w:rPr>
              <w:t>6</w:t>
            </w:r>
          </w:p>
        </w:tc>
        <w:tc>
          <w:tcPr>
            <w:tcW w:w="2160" w:type="dxa"/>
          </w:tcPr>
          <w:p w14:paraId="5A3C7B80">
            <w:pPr>
              <w:widowControl/>
              <w:spacing w:after="120" w:line="360" w:lineRule="auto"/>
              <w:rPr>
                <w:rFonts w:hint="eastAsia" w:ascii="宋体" w:hAnsi="宋体" w:eastAsia="宋体" w:cs="宋体"/>
                <w:kern w:val="0"/>
                <w:sz w:val="21"/>
                <w:szCs w:val="21"/>
                <w:lang w:eastAsia="en-US"/>
                <w14:ligatures w14:val="none"/>
              </w:rPr>
            </w:pPr>
            <w:r>
              <w:rPr>
                <w:rFonts w:hint="eastAsia" w:ascii="宋体" w:hAnsi="宋体" w:eastAsia="宋体" w:cs="宋体"/>
                <w:kern w:val="0"/>
                <w:sz w:val="21"/>
                <w:szCs w:val="21"/>
                <w:lang w:eastAsia="en-US"/>
                <w14:ligatures w14:val="none"/>
              </w:rPr>
              <w:t>分享海报至朋友圈</w:t>
            </w:r>
          </w:p>
        </w:tc>
        <w:tc>
          <w:tcPr>
            <w:tcW w:w="2160" w:type="dxa"/>
          </w:tcPr>
          <w:p w14:paraId="20C026E2">
            <w:pPr>
              <w:widowControl/>
              <w:spacing w:after="120" w:line="360" w:lineRule="auto"/>
              <w:rPr>
                <w:rFonts w:hint="eastAsia" w:ascii="宋体" w:hAnsi="宋体" w:eastAsia="宋体" w:cs="宋体"/>
                <w:kern w:val="0"/>
                <w:sz w:val="21"/>
                <w:szCs w:val="21"/>
                <w:lang w:eastAsia="en-US"/>
                <w14:ligatures w14:val="none"/>
              </w:rPr>
            </w:pPr>
            <w:r>
              <w:rPr>
                <w:rFonts w:hint="eastAsia" w:ascii="宋体" w:hAnsi="宋体" w:eastAsia="宋体" w:cs="宋体"/>
                <w:kern w:val="0"/>
                <w:sz w:val="21"/>
                <w:szCs w:val="21"/>
                <w:lang w:eastAsia="en-US"/>
                <w14:ligatures w14:val="none"/>
              </w:rPr>
              <w:t>新用户获取</w:t>
            </w:r>
          </w:p>
        </w:tc>
      </w:tr>
    </w:tbl>
    <w:p w14:paraId="2B2CD8CB">
      <w:pPr>
        <w:keepNext/>
        <w:keepLines/>
        <w:spacing w:before="200" w:after="0" w:line="360" w:lineRule="auto"/>
        <w:outlineLvl w:val="1"/>
        <w:rPr>
          <w:rFonts w:hint="eastAsia" w:ascii="宋体" w:hAnsi="宋体" w:eastAsia="宋体" w:cs="宋体"/>
          <w:b/>
          <w:bCs/>
          <w:color w:val="4F81BD"/>
          <w:sz w:val="21"/>
          <w:szCs w:val="21"/>
          <w:lang w:val="en-US" w:eastAsia="en-US" w:bidi="ar-SA"/>
        </w:rPr>
      </w:pPr>
      <w:bookmarkStart w:id="155" w:name="_Toc15105"/>
      <w:r>
        <w:rPr>
          <w:rFonts w:hint="eastAsia" w:ascii="宋体" w:hAnsi="宋体" w:eastAsia="宋体" w:cs="宋体"/>
          <w:b/>
          <w:bCs/>
          <w:color w:val="000000"/>
          <w:sz w:val="21"/>
          <w:szCs w:val="21"/>
          <w:lang w:val="en-US" w:eastAsia="en-US" w:bidi="ar-SA"/>
        </w:rPr>
        <w:t>8.5  开发实现</w:t>
      </w:r>
      <w:bookmarkEnd w:id="155"/>
    </w:p>
    <w:p w14:paraId="497E0927">
      <w:pPr>
        <w:widowControl/>
        <w:spacing w:after="120" w:line="360" w:lineRule="auto"/>
        <w:ind w:firstLine="425"/>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当前已完成17页面前端MVP（约8,500行代码），可在微信开发者工具完整运行。后续接入云端与支付，排期见附录。</w:t>
      </w:r>
    </w:p>
    <w:p w14:paraId="5ACF9607">
      <w:pPr>
        <w:keepNext/>
        <w:keepLines/>
        <w:spacing w:before="200" w:after="0" w:line="360" w:lineRule="auto"/>
        <w:outlineLvl w:val="1"/>
        <w:rPr>
          <w:rFonts w:hint="eastAsia" w:ascii="宋体" w:hAnsi="宋体" w:eastAsia="宋体" w:cs="宋体"/>
          <w:b/>
          <w:bCs/>
          <w:color w:val="4F81BD"/>
          <w:sz w:val="21"/>
          <w:szCs w:val="21"/>
          <w:lang w:val="en-US" w:eastAsia="zh-CN" w:bidi="ar-SA"/>
        </w:rPr>
      </w:pPr>
      <w:bookmarkStart w:id="156" w:name="_Toc8818"/>
      <w:r>
        <w:rPr>
          <w:rFonts w:hint="eastAsia" w:ascii="宋体" w:hAnsi="宋体" w:eastAsia="宋体" w:cs="宋体"/>
          <w:b/>
          <w:bCs/>
          <w:color w:val="000000"/>
          <w:sz w:val="21"/>
          <w:szCs w:val="21"/>
          <w:lang w:val="en-US" w:eastAsia="zh-CN" w:bidi="ar-SA"/>
        </w:rPr>
        <w:t>8.6  运营策略</w:t>
      </w:r>
      <w:bookmarkEnd w:id="156"/>
    </w:p>
    <w:p w14:paraId="14147C3A">
      <w:pPr>
        <w:keepNext/>
        <w:keepLines/>
        <w:spacing w:before="200" w:after="0" w:line="360" w:lineRule="auto"/>
        <w:outlineLvl w:val="2"/>
        <w:rPr>
          <w:rFonts w:hint="eastAsia" w:ascii="宋体" w:hAnsi="宋体" w:eastAsia="宋体" w:cs="宋体"/>
          <w:b/>
          <w:bCs/>
          <w:color w:val="4F81BD"/>
          <w:sz w:val="21"/>
          <w:szCs w:val="21"/>
          <w:lang w:val="en-US" w:eastAsia="zh-CN" w:bidi="ar-SA"/>
        </w:rPr>
      </w:pPr>
      <w:bookmarkStart w:id="157" w:name="_Toc1989"/>
      <w:r>
        <w:rPr>
          <w:rFonts w:hint="eastAsia" w:ascii="宋体" w:hAnsi="宋体" w:eastAsia="宋体" w:cs="宋体"/>
          <w:b/>
          <w:bCs/>
          <w:color w:val="000000"/>
          <w:sz w:val="21"/>
          <w:szCs w:val="21"/>
          <w:lang w:val="en-US" w:eastAsia="zh-CN" w:bidi="ar-SA"/>
        </w:rPr>
        <w:t>8.6.1  冷启动</w:t>
      </w:r>
      <w:bookmarkEnd w:id="157"/>
    </w:p>
    <w:p w14:paraId="1859CEE2">
      <w:pPr>
        <w:widowControl/>
        <w:spacing w:after="120" w:line="360" w:lineRule="auto"/>
        <w:ind w:firstLine="425"/>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以骑行打卡活动作为冷启动抓手。在骑行社群（Strava中国区、骑行圈、行者）、小红书、抖音发布"环怀柔水库骑行打卡挑战"内容，吸引首批骑行用户注册小程序。同步在线下于怀柔骑行驿站和樱桃采摘园布置小程序码展架。预计首月目标注册用户≥500人。</w:t>
      </w:r>
    </w:p>
    <w:p w14:paraId="199FE834">
      <w:pPr>
        <w:keepNext/>
        <w:keepLines/>
        <w:spacing w:before="200" w:after="0" w:line="360" w:lineRule="auto"/>
        <w:outlineLvl w:val="2"/>
        <w:rPr>
          <w:rFonts w:hint="eastAsia" w:ascii="宋体" w:hAnsi="宋体" w:eastAsia="宋体" w:cs="宋体"/>
          <w:b/>
          <w:bCs/>
          <w:color w:val="4F81BD"/>
          <w:sz w:val="21"/>
          <w:szCs w:val="21"/>
          <w:lang w:val="en-US" w:eastAsia="zh-CN" w:bidi="ar-SA"/>
        </w:rPr>
      </w:pPr>
      <w:bookmarkStart w:id="158" w:name="_Toc1354"/>
      <w:r>
        <w:rPr>
          <w:rFonts w:hint="eastAsia" w:ascii="宋体" w:hAnsi="宋体" w:eastAsia="宋体" w:cs="宋体"/>
          <w:b/>
          <w:bCs/>
          <w:color w:val="000000"/>
          <w:sz w:val="21"/>
          <w:szCs w:val="21"/>
          <w:lang w:val="en-US" w:eastAsia="zh-CN" w:bidi="ar-SA"/>
        </w:rPr>
        <w:t>8.6.2  用户留存</w:t>
      </w:r>
      <w:bookmarkEnd w:id="158"/>
    </w:p>
    <w:p w14:paraId="519958EE">
      <w:pPr>
        <w:widowControl/>
        <w:spacing w:after="120" w:line="360" w:lineRule="auto"/>
        <w:ind w:firstLine="425"/>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积分体系：打卡/消费/分享均可获积分，积分可在积分商城兑换樱桃产品、骑行周边和体验券（11档兑换物，5-100积分梯度覆盖）。</w:t>
      </w:r>
    </w:p>
    <w:p w14:paraId="3587E305">
      <w:pPr>
        <w:widowControl/>
        <w:spacing w:after="120" w:line="360" w:lineRule="auto"/>
        <w:ind w:firstLine="425"/>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认养绑定：认养用户通过数字孪生页面持续关注果树状态，系统按季节推送生长通知（"您认养的果树开花了！"），形成情感连接。</w:t>
      </w:r>
    </w:p>
    <w:p w14:paraId="7B3D5822">
      <w:pPr>
        <w:widowControl/>
        <w:spacing w:after="120" w:line="360" w:lineRule="auto"/>
        <w:ind w:firstLine="425"/>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会员权益：骑行里程和消费金额双维度升级会员等级，等级越高折扣越多。</w:t>
      </w:r>
    </w:p>
    <w:p w14:paraId="17E249A9">
      <w:pPr>
        <w:widowControl/>
        <w:spacing w:after="120" w:line="360" w:lineRule="auto"/>
        <w:ind w:firstLine="425"/>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内容推荐：首页"读他们说"模块展示用户UGC内容，营造社区氛围。</w:t>
      </w:r>
    </w:p>
    <w:p w14:paraId="33E79166">
      <w:pPr>
        <w:keepNext/>
        <w:keepLines/>
        <w:spacing w:before="200" w:after="0" w:line="360" w:lineRule="auto"/>
        <w:outlineLvl w:val="2"/>
        <w:rPr>
          <w:rFonts w:hint="eastAsia" w:ascii="宋体" w:hAnsi="宋体" w:eastAsia="宋体" w:cs="宋体"/>
          <w:b/>
          <w:bCs/>
          <w:color w:val="4F81BD"/>
          <w:sz w:val="21"/>
          <w:szCs w:val="21"/>
          <w:lang w:val="en-US" w:eastAsia="zh-CN" w:bidi="ar-SA"/>
        </w:rPr>
      </w:pPr>
      <w:bookmarkStart w:id="159" w:name="_Toc17132"/>
      <w:r>
        <w:rPr>
          <w:rFonts w:hint="eastAsia" w:ascii="宋体" w:hAnsi="宋体" w:eastAsia="宋体" w:cs="宋体"/>
          <w:b/>
          <w:bCs/>
          <w:color w:val="000000"/>
          <w:sz w:val="21"/>
          <w:szCs w:val="21"/>
          <w:lang w:val="en-US" w:eastAsia="zh-CN" w:bidi="ar-SA"/>
        </w:rPr>
        <w:t>8.6.3  变现路径</w:t>
      </w:r>
      <w:bookmarkEnd w:id="159"/>
    </w:p>
    <w:p w14:paraId="13DFE3FF">
      <w:pPr>
        <w:widowControl/>
        <w:spacing w:after="120" w:line="360" w:lineRule="auto"/>
        <w:ind w:firstLine="425"/>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平台设计了四条变现路径：一是商城直接销售（鲜果+深加工+文创），客单价覆盖39-688元区间；二是活动报名（研学/团建/露营），平台收取组织佣金；三是认养年费（三档套餐），形成稳定的年度收入；四是数据驱动精准营销，通过用户行为分析优化选品和推广策略。</w:t>
      </w:r>
    </w:p>
    <w:p w14:paraId="65FC855B">
      <w:pPr>
        <w:widowControl/>
        <w:spacing w:after="120" w:line="360" w:lineRule="auto"/>
        <w:ind w:firstLine="420"/>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平台同时采集数据：打卡热力图指导节点优化，消费数据驱动选品定价，客群画像验证核心用户假设——平台从服务工具升级为决策引擎。</w:t>
      </w:r>
    </w:p>
    <w:p w14:paraId="5D817AD6">
      <w:pPr>
        <w:keepNext/>
        <w:keepLines/>
        <w:spacing w:before="200" w:after="0" w:line="360" w:lineRule="auto"/>
        <w:outlineLvl w:val="1"/>
        <w:rPr>
          <w:rFonts w:hint="eastAsia" w:ascii="宋体" w:hAnsi="宋体" w:eastAsia="宋体" w:cs="宋体"/>
          <w:b/>
          <w:bCs/>
          <w:color w:val="4F81BD"/>
          <w:sz w:val="21"/>
          <w:szCs w:val="21"/>
          <w:lang w:val="en-US" w:eastAsia="zh-CN" w:bidi="ar-SA"/>
        </w:rPr>
      </w:pPr>
      <w:bookmarkStart w:id="160" w:name="_Toc27495"/>
      <w:r>
        <w:rPr>
          <w:rFonts w:hint="eastAsia" w:ascii="宋体" w:hAnsi="宋体" w:eastAsia="宋体" w:cs="宋体"/>
          <w:b/>
          <w:bCs/>
          <w:color w:val="000000"/>
          <w:sz w:val="21"/>
          <w:szCs w:val="21"/>
          <w:lang w:val="en-US" w:eastAsia="zh-CN" w:bidi="ar-SA"/>
        </w:rPr>
        <w:t>8.7  本章小结</w:t>
      </w:r>
      <w:bookmarkEnd w:id="160"/>
    </w:p>
    <w:p w14:paraId="49FB6996">
      <w:pPr>
        <w:widowControl/>
        <w:spacing w:after="120" w:line="360" w:lineRule="auto"/>
        <w:ind w:firstLine="425"/>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“樱动东庄”小程序已完成17页面、约8,500行代码的MVP，覆盖骑行、电商、认养、孞生、AI行程、生态看板全部模块。下一步接入真实数据与支付，推动正式上线。</w:t>
      </w:r>
    </w:p>
    <w:p w14:paraId="4632AF43">
      <w:pPr>
        <w:pStyle w:val="2"/>
        <w:jc w:val="both"/>
        <w:rPr>
          <w:sz w:val="32"/>
          <w:szCs w:val="32"/>
        </w:rPr>
      </w:pPr>
    </w:p>
    <w:p w14:paraId="6D80A419">
      <w:pPr>
        <w:pStyle w:val="2"/>
        <w:bidi w:val="0"/>
      </w:pPr>
      <w:bookmarkStart w:id="161" w:name="_Toc519"/>
      <w:r>
        <w:t>第九章 实施路径与风险管理</w:t>
      </w:r>
      <w:bookmarkEnd w:id="161"/>
    </w:p>
    <w:p w14:paraId="7B244365">
      <w:pPr>
        <w:ind w:firstLine="420"/>
        <w:rPr>
          <w:rFonts w:hint="eastAsia" w:ascii="宋体" w:hAnsi="宋体"/>
          <w:sz w:val="21"/>
          <w:szCs w:val="21"/>
        </w:rPr>
      </w:pPr>
      <w:r>
        <w:rPr>
          <w:rFonts w:ascii="宋体" w:hAnsi="宋体"/>
          <w:sz w:val="21"/>
          <w:szCs w:val="21"/>
        </w:rPr>
        <w:t>战略框架和方案设计最终要通过实施路径落地。</w:t>
      </w:r>
      <w:r>
        <w:rPr>
          <w:rFonts w:hint="eastAsia" w:ascii="宋体" w:hAnsi="宋体"/>
          <w:sz w:val="21"/>
          <w:szCs w:val="21"/>
        </w:rPr>
        <w:t>团队将</w:t>
      </w:r>
      <w:r>
        <w:rPr>
          <w:rFonts w:ascii="宋体" w:hAnsi="宋体"/>
          <w:sz w:val="21"/>
          <w:szCs w:val="21"/>
        </w:rPr>
        <w:t>从分阶段计划、前三个月细化排期、组织架构设计、村民参与与收益共享机制、长效运营保障机制、政策合规逐条审查、风险分析与应对措施七个维度进行全链路阐述，确保</w:t>
      </w:r>
      <w:r>
        <w:rPr>
          <w:rFonts w:hint="eastAsia" w:ascii="宋体" w:hAnsi="宋体"/>
          <w:sz w:val="21"/>
          <w:szCs w:val="21"/>
        </w:rPr>
        <w:t>本项目</w:t>
      </w:r>
      <w:r>
        <w:rPr>
          <w:rFonts w:ascii="宋体" w:hAnsi="宋体"/>
          <w:sz w:val="21"/>
          <w:szCs w:val="21"/>
        </w:rPr>
        <w:t>方案具备明确的时间表、路线图、责任人和风险预案。</w:t>
      </w:r>
    </w:p>
    <w:p w14:paraId="393A84AF">
      <w:pPr>
        <w:pStyle w:val="3"/>
        <w:bidi w:val="0"/>
        <w:rPr>
          <w:rFonts w:hint="eastAsia"/>
        </w:rPr>
      </w:pPr>
      <w:bookmarkStart w:id="162" w:name="_Toc12640"/>
      <w:r>
        <w:t>9.1 分阶段实施计划</w:t>
      </w:r>
      <w:bookmarkEnd w:id="162"/>
    </w:p>
    <w:p w14:paraId="15010551">
      <w:pPr>
        <w:ind w:firstLine="420"/>
        <w:rPr>
          <w:rFonts w:hint="eastAsia" w:ascii="宋体" w:hAnsi="宋体"/>
          <w:sz w:val="21"/>
          <w:szCs w:val="21"/>
        </w:rPr>
      </w:pPr>
      <w:r>
        <w:rPr>
          <w:rFonts w:ascii="宋体" w:hAnsi="宋体"/>
          <w:sz w:val="21"/>
          <w:szCs w:val="21"/>
        </w:rPr>
        <w:t>本项目</w:t>
      </w:r>
      <w:r>
        <w:rPr>
          <w:rFonts w:hint="eastAsia" w:ascii="宋体" w:hAnsi="宋体"/>
          <w:sz w:val="21"/>
          <w:szCs w:val="21"/>
        </w:rPr>
        <w:t>主要</w:t>
      </w:r>
      <w:r>
        <w:rPr>
          <w:rFonts w:ascii="宋体" w:hAnsi="宋体"/>
          <w:sz w:val="21"/>
          <w:szCs w:val="21"/>
        </w:rPr>
        <w:t>采用</w:t>
      </w:r>
      <w:r>
        <w:rPr>
          <w:rFonts w:ascii="宋体" w:hAnsi="宋体"/>
          <w:b/>
          <w:bCs/>
          <w:sz w:val="21"/>
          <w:szCs w:val="21"/>
        </w:rPr>
        <w:t>“调研奠基—基础建设—试点运营—优化扩展”</w:t>
      </w:r>
      <w:r>
        <w:rPr>
          <w:rFonts w:ascii="宋体" w:hAnsi="宋体"/>
          <w:sz w:val="21"/>
          <w:szCs w:val="21"/>
        </w:rPr>
        <w:t>四阶段推进策略，每个阶段设定明确的核心任务、关键交付物和责任主体，确保项目有序推进、风险可控。</w:t>
      </w:r>
    </w:p>
    <w:p w14:paraId="6335C2CD">
      <w:pPr>
        <w:ind w:firstLine="420"/>
        <w:rPr>
          <w:rFonts w:hint="eastAsia" w:ascii="宋体" w:hAnsi="宋体"/>
          <w:sz w:val="21"/>
          <w:szCs w:val="21"/>
        </w:rPr>
      </w:pPr>
      <w:r>
        <w:rPr>
          <w:rFonts w:hint="eastAsia" w:ascii="宋体" w:hAnsi="宋体"/>
          <w:sz w:val="21"/>
          <w:szCs w:val="21"/>
        </w:rPr>
        <w:t xml:space="preserve">表 </w:t>
      </w:r>
      <w:r>
        <w:rPr>
          <w:rFonts w:ascii="宋体" w:hAnsi="宋体"/>
          <w:sz w:val="21"/>
          <w:szCs w:val="21"/>
        </w:rPr>
        <w:t>11</w:t>
      </w:r>
      <w:r>
        <w:rPr>
          <w:rFonts w:hint="eastAsia" w:ascii="宋体" w:hAnsi="宋体"/>
          <w:sz w:val="21"/>
          <w:szCs w:val="21"/>
        </w:rPr>
        <w:t xml:space="preserve">分阶段实施计划 </w:t>
      </w:r>
    </w:p>
    <w:tbl>
      <w:tblPr>
        <w:tblStyle w:val="14"/>
        <w:tblW w:w="0" w:type="auto"/>
        <w:jc w:val="center"/>
        <w:tblLayout w:type="autofit"/>
        <w:tblCellMar>
          <w:top w:w="0" w:type="dxa"/>
          <w:left w:w="108" w:type="dxa"/>
          <w:bottom w:w="0" w:type="dxa"/>
          <w:right w:w="108" w:type="dxa"/>
        </w:tblCellMar>
      </w:tblPr>
      <w:tblGrid>
        <w:gridCol w:w="922"/>
        <w:gridCol w:w="1298"/>
        <w:gridCol w:w="2724"/>
        <w:gridCol w:w="2037"/>
        <w:gridCol w:w="1541"/>
      </w:tblGrid>
      <w:tr w14:paraId="5D989541">
        <w:tblPrEx>
          <w:tblCellMar>
            <w:top w:w="0" w:type="dxa"/>
            <w:left w:w="108" w:type="dxa"/>
            <w:bottom w:w="0" w:type="dxa"/>
            <w:right w:w="108" w:type="dxa"/>
          </w:tblCellMar>
        </w:tblPrEx>
        <w:trPr>
          <w:jc w:val="center"/>
        </w:trPr>
        <w:tc>
          <w:tcPr>
            <w:tcW w:w="0" w:type="auto"/>
            <w:tcBorders>
              <w:top w:val="single" w:color="auto" w:sz="18" w:space="0"/>
              <w:bottom w:val="single" w:color="auto" w:sz="12" w:space="0"/>
            </w:tcBorders>
            <w:vAlign w:val="center"/>
          </w:tcPr>
          <w:p w14:paraId="207F0C2A">
            <w:pPr>
              <w:ind w:firstLine="0" w:firstLineChars="0"/>
              <w:jc w:val="center"/>
              <w:rPr>
                <w:rFonts w:hint="eastAsia" w:ascii="宋体" w:hAnsi="宋体"/>
                <w:sz w:val="21"/>
                <w:szCs w:val="21"/>
              </w:rPr>
            </w:pPr>
            <w:r>
              <w:rPr>
                <w:rFonts w:ascii="宋体" w:hAnsi="宋体"/>
                <w:sz w:val="21"/>
                <w:szCs w:val="21"/>
              </w:rPr>
              <w:t>阶段</w:t>
            </w:r>
          </w:p>
        </w:tc>
        <w:tc>
          <w:tcPr>
            <w:tcW w:w="1298" w:type="dxa"/>
            <w:tcBorders>
              <w:top w:val="single" w:color="auto" w:sz="18" w:space="0"/>
              <w:bottom w:val="single" w:color="auto" w:sz="12" w:space="0"/>
            </w:tcBorders>
            <w:vAlign w:val="center"/>
          </w:tcPr>
          <w:p w14:paraId="45026AFE">
            <w:pPr>
              <w:ind w:firstLine="0" w:firstLineChars="0"/>
              <w:jc w:val="center"/>
              <w:rPr>
                <w:rFonts w:hint="eastAsia" w:ascii="宋体" w:hAnsi="宋体"/>
                <w:sz w:val="21"/>
                <w:szCs w:val="21"/>
              </w:rPr>
            </w:pPr>
            <w:r>
              <w:rPr>
                <w:rFonts w:ascii="宋体" w:hAnsi="宋体"/>
                <w:sz w:val="21"/>
                <w:szCs w:val="21"/>
              </w:rPr>
              <w:t>时间</w:t>
            </w:r>
          </w:p>
        </w:tc>
        <w:tc>
          <w:tcPr>
            <w:tcW w:w="2725" w:type="dxa"/>
            <w:tcBorders>
              <w:top w:val="single" w:color="auto" w:sz="18" w:space="0"/>
              <w:bottom w:val="single" w:color="auto" w:sz="12" w:space="0"/>
            </w:tcBorders>
            <w:vAlign w:val="center"/>
          </w:tcPr>
          <w:p w14:paraId="08CF73E9">
            <w:pPr>
              <w:ind w:firstLine="0" w:firstLineChars="0"/>
              <w:jc w:val="center"/>
              <w:rPr>
                <w:rFonts w:hint="eastAsia" w:ascii="宋体" w:hAnsi="宋体"/>
                <w:sz w:val="21"/>
                <w:szCs w:val="21"/>
              </w:rPr>
            </w:pPr>
            <w:r>
              <w:rPr>
                <w:rFonts w:ascii="宋体" w:hAnsi="宋体"/>
                <w:sz w:val="21"/>
                <w:szCs w:val="21"/>
              </w:rPr>
              <w:t>核心任务</w:t>
            </w:r>
          </w:p>
        </w:tc>
        <w:tc>
          <w:tcPr>
            <w:tcW w:w="0" w:type="auto"/>
            <w:tcBorders>
              <w:top w:val="single" w:color="auto" w:sz="18" w:space="0"/>
              <w:bottom w:val="single" w:color="auto" w:sz="12" w:space="0"/>
            </w:tcBorders>
            <w:vAlign w:val="center"/>
          </w:tcPr>
          <w:p w14:paraId="199E58C3">
            <w:pPr>
              <w:ind w:firstLine="0" w:firstLineChars="0"/>
              <w:jc w:val="center"/>
              <w:rPr>
                <w:rFonts w:hint="eastAsia" w:ascii="宋体" w:hAnsi="宋体"/>
                <w:sz w:val="21"/>
                <w:szCs w:val="21"/>
              </w:rPr>
            </w:pPr>
            <w:r>
              <w:rPr>
                <w:rFonts w:ascii="宋体" w:hAnsi="宋体"/>
                <w:sz w:val="21"/>
                <w:szCs w:val="21"/>
              </w:rPr>
              <w:t>关键交付物</w:t>
            </w:r>
          </w:p>
        </w:tc>
        <w:tc>
          <w:tcPr>
            <w:tcW w:w="0" w:type="auto"/>
            <w:tcBorders>
              <w:top w:val="single" w:color="auto" w:sz="18" w:space="0"/>
              <w:bottom w:val="single" w:color="auto" w:sz="12" w:space="0"/>
            </w:tcBorders>
            <w:vAlign w:val="center"/>
          </w:tcPr>
          <w:p w14:paraId="6ABFDD45">
            <w:pPr>
              <w:ind w:firstLine="0" w:firstLineChars="0"/>
              <w:jc w:val="center"/>
              <w:rPr>
                <w:rFonts w:hint="eastAsia" w:ascii="宋体" w:hAnsi="宋体"/>
                <w:sz w:val="21"/>
                <w:szCs w:val="21"/>
              </w:rPr>
            </w:pPr>
            <w:r>
              <w:rPr>
                <w:rFonts w:ascii="宋体" w:hAnsi="宋体"/>
                <w:sz w:val="21"/>
                <w:szCs w:val="21"/>
              </w:rPr>
              <w:t>里程碑</w:t>
            </w:r>
          </w:p>
        </w:tc>
      </w:tr>
      <w:tr w14:paraId="64E16847">
        <w:tblPrEx>
          <w:tblCellMar>
            <w:top w:w="0" w:type="dxa"/>
            <w:left w:w="108" w:type="dxa"/>
            <w:bottom w:w="0" w:type="dxa"/>
            <w:right w:w="108" w:type="dxa"/>
          </w:tblCellMar>
        </w:tblPrEx>
        <w:trPr>
          <w:jc w:val="center"/>
        </w:trPr>
        <w:tc>
          <w:tcPr>
            <w:tcW w:w="0" w:type="auto"/>
            <w:tcBorders>
              <w:top w:val="single" w:color="auto" w:sz="12" w:space="0"/>
            </w:tcBorders>
            <w:vAlign w:val="center"/>
          </w:tcPr>
          <w:p w14:paraId="41A2BBC0">
            <w:pPr>
              <w:ind w:firstLine="0" w:firstLineChars="0"/>
              <w:jc w:val="center"/>
              <w:rPr>
                <w:rFonts w:hint="eastAsia" w:ascii="宋体" w:hAnsi="宋体"/>
                <w:sz w:val="21"/>
                <w:szCs w:val="21"/>
              </w:rPr>
            </w:pPr>
            <w:r>
              <w:rPr>
                <w:rFonts w:ascii="宋体" w:hAnsi="宋体"/>
                <w:sz w:val="21"/>
                <w:szCs w:val="21"/>
              </w:rPr>
              <w:t>调研奠基期</w:t>
            </w:r>
          </w:p>
        </w:tc>
        <w:tc>
          <w:tcPr>
            <w:tcW w:w="1298" w:type="dxa"/>
            <w:tcBorders>
              <w:top w:val="single" w:color="auto" w:sz="12" w:space="0"/>
            </w:tcBorders>
            <w:vAlign w:val="center"/>
          </w:tcPr>
          <w:p w14:paraId="1B098620">
            <w:pPr>
              <w:ind w:firstLine="0" w:firstLineChars="0"/>
              <w:jc w:val="center"/>
              <w:rPr>
                <w:rFonts w:hint="eastAsia" w:ascii="宋体" w:hAnsi="宋体"/>
                <w:sz w:val="21"/>
                <w:szCs w:val="21"/>
              </w:rPr>
            </w:pPr>
            <w:r>
              <w:rPr>
                <w:rFonts w:ascii="宋体" w:hAnsi="宋体"/>
                <w:sz w:val="21"/>
                <w:szCs w:val="21"/>
              </w:rPr>
              <w:t>第1-2月</w:t>
            </w:r>
          </w:p>
        </w:tc>
        <w:tc>
          <w:tcPr>
            <w:tcW w:w="2725" w:type="dxa"/>
            <w:tcBorders>
              <w:top w:val="single" w:color="auto" w:sz="12" w:space="0"/>
            </w:tcBorders>
            <w:vAlign w:val="center"/>
          </w:tcPr>
          <w:p w14:paraId="576B3724">
            <w:pPr>
              <w:ind w:firstLine="0" w:firstLineChars="0"/>
              <w:jc w:val="center"/>
              <w:rPr>
                <w:rFonts w:hint="eastAsia" w:ascii="宋体" w:hAnsi="宋体"/>
                <w:sz w:val="21"/>
                <w:szCs w:val="21"/>
              </w:rPr>
            </w:pPr>
            <w:r>
              <w:rPr>
                <w:rFonts w:ascii="宋体" w:hAnsi="宋体"/>
                <w:sz w:val="21"/>
                <w:szCs w:val="21"/>
              </w:rPr>
              <w:t>实地调研+资源确认+方案细化+政策合规审查</w:t>
            </w:r>
          </w:p>
        </w:tc>
        <w:tc>
          <w:tcPr>
            <w:tcW w:w="0" w:type="auto"/>
            <w:tcBorders>
              <w:top w:val="single" w:color="auto" w:sz="12" w:space="0"/>
            </w:tcBorders>
            <w:vAlign w:val="center"/>
          </w:tcPr>
          <w:p w14:paraId="472F3ECA">
            <w:pPr>
              <w:ind w:firstLine="0" w:firstLineChars="0"/>
              <w:jc w:val="center"/>
              <w:rPr>
                <w:rFonts w:hint="eastAsia" w:ascii="宋体" w:hAnsi="宋体"/>
                <w:sz w:val="21"/>
                <w:szCs w:val="21"/>
              </w:rPr>
            </w:pPr>
            <w:r>
              <w:rPr>
                <w:rFonts w:ascii="宋体" w:hAnsi="宋体"/>
                <w:sz w:val="21"/>
                <w:szCs w:val="21"/>
              </w:rPr>
              <w:t>调研报告+合规清单</w:t>
            </w:r>
          </w:p>
        </w:tc>
        <w:tc>
          <w:tcPr>
            <w:tcW w:w="0" w:type="auto"/>
            <w:tcBorders>
              <w:top w:val="single" w:color="auto" w:sz="12" w:space="0"/>
            </w:tcBorders>
            <w:vAlign w:val="center"/>
          </w:tcPr>
          <w:p w14:paraId="7A8895A2">
            <w:pPr>
              <w:ind w:firstLine="0" w:firstLineChars="0"/>
              <w:jc w:val="center"/>
              <w:rPr>
                <w:rFonts w:hint="eastAsia" w:ascii="宋体" w:hAnsi="宋体"/>
                <w:sz w:val="21"/>
                <w:szCs w:val="21"/>
              </w:rPr>
            </w:pPr>
            <w:r>
              <w:rPr>
                <w:rFonts w:ascii="宋体" w:hAnsi="宋体"/>
                <w:sz w:val="21"/>
                <w:szCs w:val="21"/>
              </w:rPr>
              <w:t>方案获村委会书面确认</w:t>
            </w:r>
          </w:p>
        </w:tc>
      </w:tr>
      <w:tr w14:paraId="63B257E3">
        <w:tblPrEx>
          <w:tblCellMar>
            <w:top w:w="0" w:type="dxa"/>
            <w:left w:w="108" w:type="dxa"/>
            <w:bottom w:w="0" w:type="dxa"/>
            <w:right w:w="108" w:type="dxa"/>
          </w:tblCellMar>
        </w:tblPrEx>
        <w:trPr>
          <w:jc w:val="center"/>
        </w:trPr>
        <w:tc>
          <w:tcPr>
            <w:tcW w:w="0" w:type="auto"/>
            <w:vAlign w:val="center"/>
          </w:tcPr>
          <w:p w14:paraId="366A5285">
            <w:pPr>
              <w:ind w:firstLine="0" w:firstLineChars="0"/>
              <w:jc w:val="center"/>
              <w:rPr>
                <w:rFonts w:hint="eastAsia" w:ascii="宋体" w:hAnsi="宋体"/>
                <w:sz w:val="21"/>
                <w:szCs w:val="21"/>
              </w:rPr>
            </w:pPr>
            <w:r>
              <w:rPr>
                <w:rFonts w:ascii="宋体" w:hAnsi="宋体"/>
                <w:sz w:val="21"/>
                <w:szCs w:val="21"/>
              </w:rPr>
              <w:t>基础建设期</w:t>
            </w:r>
          </w:p>
        </w:tc>
        <w:tc>
          <w:tcPr>
            <w:tcW w:w="1298" w:type="dxa"/>
            <w:vAlign w:val="center"/>
          </w:tcPr>
          <w:p w14:paraId="27EC9348">
            <w:pPr>
              <w:ind w:firstLine="0" w:firstLineChars="0"/>
              <w:jc w:val="center"/>
              <w:rPr>
                <w:rFonts w:hint="eastAsia" w:ascii="宋体" w:hAnsi="宋体"/>
                <w:sz w:val="21"/>
                <w:szCs w:val="21"/>
              </w:rPr>
            </w:pPr>
            <w:r>
              <w:rPr>
                <w:rFonts w:ascii="宋体" w:hAnsi="宋体"/>
                <w:sz w:val="21"/>
                <w:szCs w:val="21"/>
              </w:rPr>
              <w:t>第3-4月</w:t>
            </w:r>
          </w:p>
        </w:tc>
        <w:tc>
          <w:tcPr>
            <w:tcW w:w="2725" w:type="dxa"/>
            <w:vAlign w:val="center"/>
          </w:tcPr>
          <w:p w14:paraId="39DAF844">
            <w:pPr>
              <w:ind w:firstLine="0" w:firstLineChars="0"/>
              <w:jc w:val="center"/>
              <w:rPr>
                <w:rFonts w:hint="eastAsia" w:ascii="宋体" w:hAnsi="宋体"/>
                <w:sz w:val="21"/>
                <w:szCs w:val="21"/>
              </w:rPr>
            </w:pPr>
            <w:r>
              <w:rPr>
                <w:rFonts w:ascii="宋体" w:hAnsi="宋体"/>
                <w:sz w:val="21"/>
                <w:szCs w:val="21"/>
              </w:rPr>
              <w:t>品牌物料制作+小程序开发+骑行标识安装+驿站改造</w:t>
            </w:r>
          </w:p>
        </w:tc>
        <w:tc>
          <w:tcPr>
            <w:tcW w:w="0" w:type="auto"/>
            <w:vAlign w:val="center"/>
          </w:tcPr>
          <w:p w14:paraId="20730AA4">
            <w:pPr>
              <w:ind w:firstLine="0" w:firstLineChars="0"/>
              <w:jc w:val="center"/>
              <w:rPr>
                <w:rFonts w:hint="eastAsia" w:ascii="宋体" w:hAnsi="宋体"/>
                <w:sz w:val="21"/>
                <w:szCs w:val="21"/>
              </w:rPr>
            </w:pPr>
            <w:r>
              <w:rPr>
                <w:rFonts w:ascii="宋体" w:hAnsi="宋体"/>
                <w:sz w:val="21"/>
                <w:szCs w:val="21"/>
              </w:rPr>
              <w:t>小程序上线+标识系统+驿站投用</w:t>
            </w:r>
          </w:p>
        </w:tc>
        <w:tc>
          <w:tcPr>
            <w:tcW w:w="0" w:type="auto"/>
            <w:vAlign w:val="center"/>
          </w:tcPr>
          <w:p w14:paraId="786C096B">
            <w:pPr>
              <w:ind w:firstLine="0" w:firstLineChars="0"/>
              <w:jc w:val="center"/>
              <w:rPr>
                <w:rFonts w:hint="eastAsia" w:ascii="宋体" w:hAnsi="宋体"/>
                <w:sz w:val="21"/>
                <w:szCs w:val="21"/>
              </w:rPr>
            </w:pPr>
            <w:r>
              <w:rPr>
                <w:rFonts w:ascii="宋体" w:hAnsi="宋体"/>
                <w:sz w:val="21"/>
                <w:szCs w:val="21"/>
              </w:rPr>
              <w:t>四大基础设施就绪</w:t>
            </w:r>
          </w:p>
        </w:tc>
      </w:tr>
      <w:tr w14:paraId="07F5F227">
        <w:tblPrEx>
          <w:tblCellMar>
            <w:top w:w="0" w:type="dxa"/>
            <w:left w:w="108" w:type="dxa"/>
            <w:bottom w:w="0" w:type="dxa"/>
            <w:right w:w="108" w:type="dxa"/>
          </w:tblCellMar>
        </w:tblPrEx>
        <w:trPr>
          <w:jc w:val="center"/>
        </w:trPr>
        <w:tc>
          <w:tcPr>
            <w:tcW w:w="0" w:type="auto"/>
            <w:vAlign w:val="center"/>
          </w:tcPr>
          <w:p w14:paraId="4BE28FC8">
            <w:pPr>
              <w:ind w:firstLine="0" w:firstLineChars="0"/>
              <w:jc w:val="center"/>
              <w:rPr>
                <w:rFonts w:hint="eastAsia" w:ascii="宋体" w:hAnsi="宋体"/>
                <w:sz w:val="21"/>
                <w:szCs w:val="21"/>
              </w:rPr>
            </w:pPr>
            <w:r>
              <w:rPr>
                <w:rFonts w:ascii="宋体" w:hAnsi="宋体"/>
                <w:sz w:val="21"/>
                <w:szCs w:val="21"/>
              </w:rPr>
              <w:t>试点运营期</w:t>
            </w:r>
          </w:p>
        </w:tc>
        <w:tc>
          <w:tcPr>
            <w:tcW w:w="1298" w:type="dxa"/>
            <w:vAlign w:val="center"/>
          </w:tcPr>
          <w:p w14:paraId="4DB2D036">
            <w:pPr>
              <w:ind w:firstLine="0" w:firstLineChars="0"/>
              <w:jc w:val="center"/>
              <w:rPr>
                <w:rFonts w:hint="eastAsia" w:ascii="宋体" w:hAnsi="宋体"/>
                <w:sz w:val="21"/>
                <w:szCs w:val="21"/>
              </w:rPr>
            </w:pPr>
            <w:r>
              <w:rPr>
                <w:rFonts w:ascii="宋体" w:hAnsi="宋体"/>
                <w:sz w:val="21"/>
                <w:szCs w:val="21"/>
              </w:rPr>
              <w:t>第5-7月</w:t>
            </w:r>
          </w:p>
        </w:tc>
        <w:tc>
          <w:tcPr>
            <w:tcW w:w="2725" w:type="dxa"/>
            <w:vAlign w:val="center"/>
          </w:tcPr>
          <w:p w14:paraId="5FEA7850">
            <w:pPr>
              <w:ind w:firstLine="0" w:firstLineChars="0"/>
              <w:jc w:val="center"/>
              <w:rPr>
                <w:rFonts w:hint="eastAsia" w:ascii="宋体" w:hAnsi="宋体"/>
                <w:sz w:val="21"/>
                <w:szCs w:val="21"/>
              </w:rPr>
            </w:pPr>
            <w:r>
              <w:rPr>
                <w:rFonts w:ascii="宋体" w:hAnsi="宋体"/>
                <w:sz w:val="21"/>
                <w:szCs w:val="21"/>
              </w:rPr>
              <w:t>首季运营（樱桃季）+骑行试运营+数据收集</w:t>
            </w:r>
          </w:p>
        </w:tc>
        <w:tc>
          <w:tcPr>
            <w:tcW w:w="0" w:type="auto"/>
            <w:vAlign w:val="center"/>
          </w:tcPr>
          <w:p w14:paraId="411686F4">
            <w:pPr>
              <w:ind w:firstLine="0" w:firstLineChars="0"/>
              <w:jc w:val="center"/>
              <w:rPr>
                <w:rFonts w:hint="eastAsia" w:ascii="宋体" w:hAnsi="宋体"/>
                <w:sz w:val="21"/>
                <w:szCs w:val="21"/>
              </w:rPr>
            </w:pPr>
            <w:r>
              <w:rPr>
                <w:rFonts w:ascii="宋体" w:hAnsi="宋体"/>
                <w:sz w:val="21"/>
                <w:szCs w:val="21"/>
              </w:rPr>
              <w:t>运营数据报告+首季财务数据</w:t>
            </w:r>
          </w:p>
        </w:tc>
        <w:tc>
          <w:tcPr>
            <w:tcW w:w="0" w:type="auto"/>
            <w:vAlign w:val="center"/>
          </w:tcPr>
          <w:p w14:paraId="18441C14">
            <w:pPr>
              <w:ind w:firstLine="0" w:firstLineChars="0"/>
              <w:jc w:val="center"/>
              <w:rPr>
                <w:rFonts w:hint="eastAsia" w:ascii="宋体" w:hAnsi="宋体"/>
                <w:sz w:val="21"/>
                <w:szCs w:val="21"/>
              </w:rPr>
            </w:pPr>
            <w:r>
              <w:rPr>
                <w:rFonts w:ascii="宋体" w:hAnsi="宋体"/>
                <w:sz w:val="21"/>
                <w:szCs w:val="21"/>
              </w:rPr>
              <w:t>完成首季运营复盘</w:t>
            </w:r>
          </w:p>
        </w:tc>
      </w:tr>
      <w:tr w14:paraId="7DBB9F15">
        <w:tblPrEx>
          <w:tblCellMar>
            <w:top w:w="0" w:type="dxa"/>
            <w:left w:w="108" w:type="dxa"/>
            <w:bottom w:w="0" w:type="dxa"/>
            <w:right w:w="108" w:type="dxa"/>
          </w:tblCellMar>
        </w:tblPrEx>
        <w:trPr>
          <w:jc w:val="center"/>
        </w:trPr>
        <w:tc>
          <w:tcPr>
            <w:tcW w:w="0" w:type="auto"/>
            <w:tcBorders>
              <w:bottom w:val="single" w:color="auto" w:sz="18" w:space="0"/>
            </w:tcBorders>
            <w:vAlign w:val="center"/>
          </w:tcPr>
          <w:p w14:paraId="01576F34">
            <w:pPr>
              <w:ind w:firstLine="0" w:firstLineChars="0"/>
              <w:jc w:val="center"/>
              <w:rPr>
                <w:rFonts w:hint="eastAsia" w:ascii="宋体" w:hAnsi="宋体"/>
                <w:sz w:val="21"/>
                <w:szCs w:val="21"/>
              </w:rPr>
            </w:pPr>
            <w:r>
              <w:rPr>
                <w:rFonts w:ascii="宋体" w:hAnsi="宋体"/>
                <w:sz w:val="21"/>
                <w:szCs w:val="21"/>
              </w:rPr>
              <w:t>优化扩展期</w:t>
            </w:r>
          </w:p>
        </w:tc>
        <w:tc>
          <w:tcPr>
            <w:tcW w:w="1298" w:type="dxa"/>
            <w:tcBorders>
              <w:bottom w:val="single" w:color="auto" w:sz="18" w:space="0"/>
            </w:tcBorders>
            <w:vAlign w:val="center"/>
          </w:tcPr>
          <w:p w14:paraId="1251D7BD">
            <w:pPr>
              <w:ind w:firstLine="0" w:firstLineChars="0"/>
              <w:jc w:val="center"/>
              <w:rPr>
                <w:rFonts w:hint="eastAsia" w:ascii="宋体" w:hAnsi="宋体"/>
                <w:sz w:val="21"/>
                <w:szCs w:val="21"/>
              </w:rPr>
            </w:pPr>
            <w:r>
              <w:rPr>
                <w:rFonts w:ascii="宋体" w:hAnsi="宋体"/>
                <w:sz w:val="21"/>
                <w:szCs w:val="21"/>
              </w:rPr>
              <w:t>第8-12月</w:t>
            </w:r>
          </w:p>
        </w:tc>
        <w:tc>
          <w:tcPr>
            <w:tcW w:w="2725" w:type="dxa"/>
            <w:tcBorders>
              <w:bottom w:val="single" w:color="auto" w:sz="18" w:space="0"/>
            </w:tcBorders>
            <w:vAlign w:val="center"/>
          </w:tcPr>
          <w:p w14:paraId="68CE29D4">
            <w:pPr>
              <w:ind w:firstLine="0" w:firstLineChars="0"/>
              <w:jc w:val="center"/>
              <w:rPr>
                <w:rFonts w:hint="eastAsia" w:ascii="宋体" w:hAnsi="宋体"/>
                <w:sz w:val="21"/>
                <w:szCs w:val="21"/>
              </w:rPr>
            </w:pPr>
            <w:r>
              <w:rPr>
                <w:rFonts w:ascii="宋体" w:hAnsi="宋体"/>
                <w:sz w:val="21"/>
                <w:szCs w:val="21"/>
              </w:rPr>
              <w:t>四季产品上线+骑行赛事+区域联动启动</w:t>
            </w:r>
          </w:p>
        </w:tc>
        <w:tc>
          <w:tcPr>
            <w:tcW w:w="0" w:type="auto"/>
            <w:tcBorders>
              <w:bottom w:val="single" w:color="auto" w:sz="18" w:space="0"/>
            </w:tcBorders>
            <w:vAlign w:val="center"/>
          </w:tcPr>
          <w:p w14:paraId="482789E3">
            <w:pPr>
              <w:ind w:firstLine="0" w:firstLineChars="0"/>
              <w:jc w:val="center"/>
              <w:rPr>
                <w:rFonts w:hint="eastAsia" w:ascii="宋体" w:hAnsi="宋体"/>
                <w:sz w:val="21"/>
                <w:szCs w:val="21"/>
              </w:rPr>
            </w:pPr>
            <w:r>
              <w:rPr>
                <w:rFonts w:ascii="宋体" w:hAnsi="宋体"/>
                <w:sz w:val="21"/>
                <w:szCs w:val="21"/>
              </w:rPr>
              <w:t>全年运营报告+模式推广手册</w:t>
            </w:r>
          </w:p>
        </w:tc>
        <w:tc>
          <w:tcPr>
            <w:tcW w:w="0" w:type="auto"/>
            <w:tcBorders>
              <w:bottom w:val="single" w:color="auto" w:sz="18" w:space="0"/>
            </w:tcBorders>
            <w:vAlign w:val="center"/>
          </w:tcPr>
          <w:p w14:paraId="2FE19FC9">
            <w:pPr>
              <w:ind w:firstLine="0" w:firstLineChars="0"/>
              <w:jc w:val="center"/>
              <w:rPr>
                <w:rFonts w:hint="eastAsia" w:ascii="宋体" w:hAnsi="宋体"/>
                <w:sz w:val="21"/>
                <w:szCs w:val="21"/>
              </w:rPr>
            </w:pPr>
            <w:r>
              <w:rPr>
                <w:rFonts w:ascii="宋体" w:hAnsi="宋体"/>
                <w:sz w:val="21"/>
                <w:szCs w:val="21"/>
              </w:rPr>
              <w:t>形成可复制模式</w:t>
            </w:r>
          </w:p>
        </w:tc>
      </w:tr>
    </w:tbl>
    <w:p w14:paraId="21D2EA42">
      <w:pPr>
        <w:ind w:firstLine="420"/>
        <w:rPr>
          <w:rFonts w:hint="eastAsia" w:ascii="宋体" w:hAnsi="宋体"/>
          <w:sz w:val="21"/>
          <w:szCs w:val="21"/>
        </w:rPr>
      </w:pPr>
      <w:r>
        <w:rPr>
          <w:rFonts w:hint="eastAsia" w:ascii="宋体" w:hAnsi="宋体"/>
          <w:sz w:val="21"/>
          <w:szCs w:val="21"/>
        </w:rPr>
        <w:t>本项目的</w:t>
      </w:r>
      <w:r>
        <w:rPr>
          <w:rFonts w:ascii="宋体" w:hAnsi="宋体"/>
          <w:sz w:val="21"/>
          <w:szCs w:val="21"/>
        </w:rPr>
        <w:t>四阶段推进策略的设计逻辑如下：</w:t>
      </w:r>
    </w:p>
    <w:p w14:paraId="3371A2BF">
      <w:pPr>
        <w:ind w:firstLine="422"/>
        <w:rPr>
          <w:rFonts w:hint="eastAsia" w:ascii="宋体" w:hAnsi="宋体"/>
          <w:sz w:val="21"/>
          <w:szCs w:val="21"/>
        </w:rPr>
      </w:pPr>
      <w:r>
        <w:rPr>
          <w:rFonts w:ascii="宋体" w:hAnsi="宋体"/>
          <w:b/>
          <w:bCs/>
          <w:sz w:val="21"/>
          <w:szCs w:val="21"/>
        </w:rPr>
        <w:t>第一阶段（调研奠基期）的核心是“验证”</w:t>
      </w:r>
      <w:r>
        <w:rPr>
          <w:rFonts w:ascii="宋体" w:hAnsi="宋体"/>
          <w:sz w:val="21"/>
          <w:szCs w:val="21"/>
        </w:rPr>
        <w:t>。在方案正式实施前，</w:t>
      </w:r>
      <w:r>
        <w:rPr>
          <w:rFonts w:hint="eastAsia" w:ascii="宋体" w:hAnsi="宋体"/>
          <w:sz w:val="21"/>
          <w:szCs w:val="21"/>
        </w:rPr>
        <w:t>团队</w:t>
      </w:r>
      <w:r>
        <w:rPr>
          <w:rFonts w:ascii="宋体" w:hAnsi="宋体"/>
          <w:sz w:val="21"/>
          <w:szCs w:val="21"/>
        </w:rPr>
        <w:t>必须通过一手调研验证资源禀赋、确认政策边界、获取村委会正式认可。这一阶段的交付物——</w:t>
      </w:r>
      <w:r>
        <w:rPr>
          <w:rFonts w:ascii="宋体" w:hAnsi="宋体"/>
          <w:b/>
          <w:bCs/>
          <w:sz w:val="21"/>
          <w:szCs w:val="21"/>
        </w:rPr>
        <w:t>调研报告和合规清单</w:t>
      </w:r>
      <w:r>
        <w:rPr>
          <w:rFonts w:ascii="宋体" w:hAnsi="宋体"/>
          <w:sz w:val="21"/>
          <w:szCs w:val="21"/>
        </w:rPr>
        <w:t>——是后续所有工作的合法性基础和事实依据</w:t>
      </w:r>
      <w:r>
        <w:rPr>
          <w:rFonts w:hint="eastAsia" w:ascii="宋体" w:hAnsi="宋体"/>
          <w:sz w:val="21"/>
          <w:szCs w:val="21"/>
        </w:rPr>
        <w:t>，而</w:t>
      </w:r>
      <w:r>
        <w:rPr>
          <w:rFonts w:ascii="宋体" w:hAnsi="宋体"/>
          <w:sz w:val="21"/>
          <w:szCs w:val="21"/>
        </w:rPr>
        <w:t>里程碑节点“获村委会书面确认”是项目从方案到落地的关键转折点。</w:t>
      </w:r>
    </w:p>
    <w:p w14:paraId="297D38C7">
      <w:pPr>
        <w:ind w:firstLine="422"/>
        <w:rPr>
          <w:rFonts w:hint="eastAsia" w:ascii="宋体" w:hAnsi="宋体"/>
          <w:sz w:val="21"/>
          <w:szCs w:val="21"/>
        </w:rPr>
      </w:pPr>
      <w:r>
        <w:rPr>
          <w:rFonts w:ascii="宋体" w:hAnsi="宋体"/>
          <w:b/>
          <w:bCs/>
          <w:sz w:val="21"/>
          <w:szCs w:val="21"/>
        </w:rPr>
        <w:t>第二阶段（基础建设期）的核心是“就绪”</w:t>
      </w:r>
      <w:r>
        <w:rPr>
          <w:rFonts w:ascii="宋体" w:hAnsi="宋体"/>
          <w:sz w:val="21"/>
          <w:szCs w:val="21"/>
        </w:rPr>
        <w:t>。品牌物料、小程序、骑行标识、驿站改造是项目启动的四大基础设施，缺一不可。这四个交付物分别对应品牌体系（软实力）、数字平台（运营底座）、骑行体系（引流通道）、服务设施（体验载体），构成了项目的最小可行产品（MVP）</w:t>
      </w:r>
      <w:r>
        <w:rPr>
          <w:rFonts w:hint="eastAsia" w:ascii="宋体" w:hAnsi="宋体"/>
          <w:sz w:val="21"/>
          <w:szCs w:val="21"/>
        </w:rPr>
        <w:t>，而</w:t>
      </w:r>
      <w:r>
        <w:rPr>
          <w:rFonts w:ascii="宋体" w:hAnsi="宋体"/>
          <w:sz w:val="21"/>
          <w:szCs w:val="21"/>
        </w:rPr>
        <w:t>第4个月末是项目从建设期转入运营期的分水岭。</w:t>
      </w:r>
    </w:p>
    <w:p w14:paraId="43F7F765">
      <w:pPr>
        <w:ind w:firstLine="422"/>
        <w:rPr>
          <w:rFonts w:hint="eastAsia" w:ascii="宋体" w:hAnsi="宋体"/>
          <w:sz w:val="21"/>
          <w:szCs w:val="21"/>
        </w:rPr>
      </w:pPr>
      <w:r>
        <w:rPr>
          <w:rFonts w:ascii="宋体" w:hAnsi="宋体"/>
          <w:b/>
          <w:bCs/>
          <w:sz w:val="21"/>
          <w:szCs w:val="21"/>
        </w:rPr>
        <w:t>第三阶段（试点运营期）的核心是“验证+迭代”。</w:t>
      </w:r>
      <w:r>
        <w:rPr>
          <w:rFonts w:ascii="宋体" w:hAnsi="宋体"/>
          <w:sz w:val="21"/>
          <w:szCs w:val="21"/>
        </w:rPr>
        <w:t>首季运营以樱桃季（5-7月）为时间窗口，集中</w:t>
      </w:r>
      <w:r>
        <w:rPr>
          <w:rFonts w:ascii="宋体" w:hAnsi="宋体"/>
          <w:b/>
          <w:bCs/>
          <w:sz w:val="21"/>
          <w:szCs w:val="21"/>
        </w:rPr>
        <w:t>验证品牌、骑行、场景三大体系</w:t>
      </w:r>
      <w:r>
        <w:rPr>
          <w:rFonts w:ascii="宋体" w:hAnsi="宋体"/>
          <w:sz w:val="21"/>
          <w:szCs w:val="21"/>
        </w:rPr>
        <w:t>的实际运行效果。这一阶段不求规模，求质量——重点收集运营数据和用户反馈，为后续优化提供依据。首季运营的成败将直接影响后续资源投入的信心。</w:t>
      </w:r>
    </w:p>
    <w:p w14:paraId="1ADAB403">
      <w:pPr>
        <w:ind w:firstLine="422"/>
        <w:rPr>
          <w:rFonts w:hint="eastAsia" w:ascii="宋体" w:hAnsi="宋体"/>
          <w:sz w:val="21"/>
          <w:szCs w:val="21"/>
        </w:rPr>
      </w:pPr>
      <w:r>
        <w:rPr>
          <w:rFonts w:ascii="宋体" w:hAnsi="宋体"/>
          <w:b/>
          <w:bCs/>
          <w:sz w:val="21"/>
          <w:szCs w:val="21"/>
        </w:rPr>
        <w:t>第四阶段（优化扩展期）的核心是“放大+沉淀”</w:t>
      </w:r>
      <w:r>
        <w:rPr>
          <w:rFonts w:ascii="宋体" w:hAnsi="宋体"/>
          <w:sz w:val="21"/>
          <w:szCs w:val="21"/>
        </w:rPr>
        <w:t>。在试点验证的基础上，</w:t>
      </w:r>
      <w:r>
        <w:rPr>
          <w:rFonts w:hint="eastAsia" w:ascii="宋体" w:hAnsi="宋体"/>
          <w:sz w:val="21"/>
          <w:szCs w:val="21"/>
        </w:rPr>
        <w:t>本项目</w:t>
      </w:r>
      <w:r>
        <w:rPr>
          <w:rFonts w:ascii="宋体" w:hAnsi="宋体"/>
          <w:sz w:val="21"/>
          <w:szCs w:val="21"/>
        </w:rPr>
        <w:t>将产品线从樱桃季扩展至四季，将客群从骑行核心用户扩展至全谱系，将区域从单村运营扩展至周边联动。同时，通过全年运营报告和模式推广手册，将实践经验固化为可复制的方法论。</w:t>
      </w:r>
    </w:p>
    <w:p w14:paraId="53389428">
      <w:pPr>
        <w:pStyle w:val="3"/>
        <w:bidi w:val="0"/>
        <w:rPr>
          <w:rFonts w:hint="eastAsia"/>
        </w:rPr>
      </w:pPr>
      <w:bookmarkStart w:id="163" w:name="_Toc8024"/>
      <w:r>
        <w:t>9.2 前三个月细化排期</w:t>
      </w:r>
      <w:bookmarkEnd w:id="163"/>
    </w:p>
    <w:p w14:paraId="3C989DCB">
      <w:pPr>
        <w:ind w:firstLine="420"/>
        <w:rPr>
          <w:rFonts w:hint="eastAsia" w:ascii="宋体" w:hAnsi="宋体"/>
          <w:sz w:val="21"/>
          <w:szCs w:val="21"/>
        </w:rPr>
      </w:pPr>
      <w:r>
        <w:rPr>
          <w:rFonts w:ascii="宋体" w:hAnsi="宋体"/>
          <w:sz w:val="21"/>
          <w:szCs w:val="21"/>
        </w:rPr>
        <w:t>为确保项目启动阶段的高效推进，</w:t>
      </w:r>
      <w:r>
        <w:rPr>
          <w:rFonts w:hint="eastAsia" w:ascii="宋体" w:hAnsi="宋体"/>
          <w:sz w:val="21"/>
          <w:szCs w:val="21"/>
        </w:rPr>
        <w:t>团队</w:t>
      </w:r>
      <w:r>
        <w:rPr>
          <w:rFonts w:ascii="宋体" w:hAnsi="宋体"/>
          <w:sz w:val="21"/>
          <w:szCs w:val="21"/>
        </w:rPr>
        <w:t>将前三个月（12周）的任务拆解至周级别，明确每周的核心任务和交付物。</w:t>
      </w:r>
    </w:p>
    <w:p w14:paraId="5BAC025C">
      <w:pPr>
        <w:ind w:firstLine="420"/>
        <w:rPr>
          <w:rFonts w:hint="eastAsia" w:ascii="宋体" w:hAnsi="宋体"/>
          <w:sz w:val="21"/>
          <w:szCs w:val="21"/>
        </w:rPr>
      </w:pPr>
      <w:r>
        <w:rPr>
          <w:rFonts w:ascii="宋体" w:hAnsi="宋体"/>
          <w:sz w:val="21"/>
          <w:szCs w:val="21"/>
        </w:rPr>
        <w:t>前三个月排期的关键节点说明：</w:t>
      </w:r>
    </w:p>
    <w:p w14:paraId="70E36474">
      <w:pPr>
        <w:ind w:firstLine="420"/>
        <w:rPr>
          <w:rFonts w:hint="eastAsia" w:ascii="宋体" w:hAnsi="宋体"/>
          <w:sz w:val="21"/>
          <w:szCs w:val="21"/>
        </w:rPr>
      </w:pPr>
      <w:r>
        <w:rPr>
          <w:rFonts w:ascii="宋体" w:hAnsi="宋体"/>
          <w:sz w:val="21"/>
          <w:szCs w:val="21"/>
        </w:rPr>
        <w:t>第1-4周（调研冲刺期）：这是项目从</w:t>
      </w:r>
      <w:r>
        <w:rPr>
          <w:rFonts w:ascii="宋体" w:hAnsi="宋体"/>
          <w:b/>
          <w:bCs/>
          <w:sz w:val="21"/>
          <w:szCs w:val="21"/>
        </w:rPr>
        <w:t>“纸上方案”到“落地验证”的关键转换期</w:t>
      </w:r>
      <w:r>
        <w:rPr>
          <w:rFonts w:hint="eastAsia" w:ascii="宋体" w:hAnsi="宋体"/>
          <w:sz w:val="21"/>
          <w:szCs w:val="21"/>
        </w:rPr>
        <w:t>，</w:t>
      </w:r>
      <w:r>
        <w:rPr>
          <w:rFonts w:ascii="宋体" w:hAnsi="宋体"/>
          <w:sz w:val="21"/>
          <w:szCs w:val="21"/>
        </w:rPr>
        <w:t>四维调研法</w:t>
      </w:r>
      <w:r>
        <w:rPr>
          <w:rFonts w:ascii="宋体" w:hAnsi="宋体"/>
          <w:b/>
          <w:bCs/>
          <w:sz w:val="21"/>
          <w:szCs w:val="21"/>
        </w:rPr>
        <w:t>（问卷+访谈+踏勘+二手数据）</w:t>
      </w:r>
      <w:r>
        <w:rPr>
          <w:rFonts w:ascii="宋体" w:hAnsi="宋体"/>
          <w:sz w:val="21"/>
          <w:szCs w:val="21"/>
        </w:rPr>
        <w:t>在这一阶段集中执行</w:t>
      </w:r>
      <w:r>
        <w:rPr>
          <w:rFonts w:hint="eastAsia" w:ascii="宋体" w:hAnsi="宋体"/>
          <w:sz w:val="21"/>
          <w:szCs w:val="21"/>
        </w:rPr>
        <w:t>，</w:t>
      </w:r>
      <w:r>
        <w:rPr>
          <w:rFonts w:ascii="宋体" w:hAnsi="宋体"/>
          <w:sz w:val="21"/>
          <w:szCs w:val="21"/>
        </w:rPr>
        <w:t>特别需要注意的是第4周的“周边村走访”——这是区域联动方案的起点，不能等到项目运营后再启动。</w:t>
      </w:r>
    </w:p>
    <w:p w14:paraId="5E919898">
      <w:pPr>
        <w:ind w:firstLine="420"/>
        <w:rPr>
          <w:rFonts w:hint="eastAsia" w:ascii="宋体" w:hAnsi="宋体"/>
          <w:sz w:val="21"/>
          <w:szCs w:val="21"/>
        </w:rPr>
      </w:pPr>
      <w:r>
        <w:rPr>
          <w:rFonts w:ascii="宋体" w:hAnsi="宋体"/>
          <w:sz w:val="21"/>
          <w:szCs w:val="21"/>
        </w:rPr>
        <w:t>第5-8周（并行建设期）：这是项目时间压力最大的阶段。品牌VI设计、小程序开发、骑行标识制作、驿站改造四条线并行推进，需要项目负责人做好进度统筹和资源协调</w:t>
      </w:r>
      <w:r>
        <w:rPr>
          <w:rFonts w:hint="eastAsia" w:ascii="宋体" w:hAnsi="宋体"/>
          <w:sz w:val="21"/>
          <w:szCs w:val="21"/>
        </w:rPr>
        <w:t>，而</w:t>
      </w:r>
      <w:r>
        <w:rPr>
          <w:rFonts w:ascii="宋体" w:hAnsi="宋体"/>
          <w:sz w:val="21"/>
          <w:szCs w:val="21"/>
        </w:rPr>
        <w:t>第6周的</w:t>
      </w:r>
      <w:r>
        <w:rPr>
          <w:rFonts w:ascii="宋体" w:hAnsi="宋体"/>
          <w:b/>
          <w:bCs/>
          <w:sz w:val="21"/>
          <w:szCs w:val="21"/>
        </w:rPr>
        <w:t>“MVP-1核心功能完成”</w:t>
      </w:r>
      <w:r>
        <w:rPr>
          <w:rFonts w:ascii="宋体" w:hAnsi="宋体"/>
          <w:sz w:val="21"/>
          <w:szCs w:val="21"/>
        </w:rPr>
        <w:t>是技术线的第一个里程碑——GPS打卡功能必须可运行，这是骑行体验的核心。</w:t>
      </w:r>
    </w:p>
    <w:p w14:paraId="1297F323">
      <w:pPr>
        <w:ind w:firstLine="420"/>
        <w:rPr>
          <w:rFonts w:hint="eastAsia" w:ascii="宋体" w:hAnsi="宋体"/>
          <w:sz w:val="21"/>
          <w:szCs w:val="21"/>
        </w:rPr>
      </w:pPr>
      <w:r>
        <w:rPr>
          <w:rFonts w:ascii="宋体" w:hAnsi="宋体"/>
          <w:sz w:val="21"/>
          <w:szCs w:val="21"/>
        </w:rPr>
        <w:t>第9-10周（上线冲刺期）：小程序全流程联调、体验官邀请、内容发布</w:t>
      </w:r>
      <w:r>
        <w:rPr>
          <w:rFonts w:ascii="宋体" w:hAnsi="宋体"/>
          <w:b/>
          <w:bCs/>
          <w:sz w:val="21"/>
          <w:szCs w:val="21"/>
        </w:rPr>
        <w:t>三线并行</w:t>
      </w:r>
      <w:r>
        <w:rPr>
          <w:rFonts w:hint="eastAsia" w:ascii="宋体" w:hAnsi="宋体"/>
          <w:sz w:val="21"/>
          <w:szCs w:val="21"/>
        </w:rPr>
        <w:t>，</w:t>
      </w:r>
      <w:r>
        <w:rPr>
          <w:rFonts w:ascii="宋体" w:hAnsi="宋体"/>
          <w:sz w:val="21"/>
          <w:szCs w:val="21"/>
        </w:rPr>
        <w:t>第9周的“体验官邀请”采用“提前于正式开放”的策略——让体验官先于大众到访，制造“抢先体验”的话题稀缺性，同时通过他们的反馈进行最后优化。</w:t>
      </w:r>
    </w:p>
    <w:p w14:paraId="6A57391D">
      <w:pPr>
        <w:ind w:firstLine="420"/>
        <w:rPr>
          <w:rFonts w:hint="eastAsia" w:ascii="宋体" w:hAnsi="宋体"/>
          <w:sz w:val="21"/>
          <w:szCs w:val="21"/>
        </w:rPr>
      </w:pPr>
      <w:r>
        <w:rPr>
          <w:rFonts w:ascii="宋体" w:hAnsi="宋体"/>
          <w:sz w:val="21"/>
          <w:szCs w:val="21"/>
        </w:rPr>
        <w:t>第11-12周（试运营转正期）：第11周的内测是正式活动前的最后彩排，必须走通完整的</w:t>
      </w:r>
      <w:r>
        <w:rPr>
          <w:rFonts w:ascii="宋体" w:hAnsi="宋体"/>
          <w:b/>
          <w:bCs/>
          <w:sz w:val="21"/>
          <w:szCs w:val="21"/>
        </w:rPr>
        <w:t>“到达→骑行→打卡→采摘→消费→离场”</w:t>
      </w:r>
      <w:r>
        <w:rPr>
          <w:rFonts w:ascii="宋体" w:hAnsi="宋体"/>
          <w:sz w:val="21"/>
          <w:szCs w:val="21"/>
        </w:rPr>
        <w:t>流程</w:t>
      </w:r>
      <w:r>
        <w:rPr>
          <w:rFonts w:hint="eastAsia" w:ascii="宋体" w:hAnsi="宋体"/>
          <w:sz w:val="21"/>
          <w:szCs w:val="21"/>
        </w:rPr>
        <w:t>，</w:t>
      </w:r>
      <w:r>
        <w:rPr>
          <w:rFonts w:ascii="宋体" w:hAnsi="宋体"/>
          <w:sz w:val="21"/>
          <w:szCs w:val="21"/>
        </w:rPr>
        <w:t>第12周的首场正式活动是项目从0到1的“亮相时刻”，活动参与人数和GMV是衡量冷启动成效的核心指标。</w:t>
      </w:r>
    </w:p>
    <w:p w14:paraId="544C998D">
      <w:pPr>
        <w:ind w:firstLine="420"/>
        <w:rPr>
          <w:rFonts w:hint="eastAsia" w:ascii="宋体" w:hAnsi="宋体"/>
          <w:sz w:val="21"/>
          <w:szCs w:val="21"/>
        </w:rPr>
      </w:pPr>
    </w:p>
    <w:p w14:paraId="679424FF">
      <w:pPr>
        <w:ind w:firstLine="420"/>
        <w:rPr>
          <w:rFonts w:hint="eastAsia" w:ascii="宋体" w:hAnsi="宋体"/>
          <w:sz w:val="21"/>
          <w:szCs w:val="21"/>
        </w:rPr>
      </w:pPr>
    </w:p>
    <w:p w14:paraId="647DB619">
      <w:pPr>
        <w:ind w:firstLine="420"/>
        <w:rPr>
          <w:rFonts w:hint="eastAsia" w:ascii="宋体" w:hAnsi="宋体"/>
          <w:sz w:val="21"/>
          <w:szCs w:val="21"/>
        </w:rPr>
      </w:pPr>
    </w:p>
    <w:p w14:paraId="2F36FE9A">
      <w:pPr>
        <w:pStyle w:val="3"/>
        <w:bidi w:val="0"/>
        <w:rPr>
          <w:rFonts w:hint="eastAsia"/>
        </w:rPr>
      </w:pPr>
      <w:bookmarkStart w:id="164" w:name="_Toc8278"/>
      <w:r>
        <w:rPr>
          <w:rFonts w:hint="eastAsia"/>
        </w:rPr>
        <w:drawing>
          <wp:anchor distT="0" distB="0" distL="114300" distR="114300" simplePos="0" relativeHeight="251660288" behindDoc="0" locked="0" layoutInCell="1" allowOverlap="1">
            <wp:simplePos x="0" y="0"/>
            <wp:positionH relativeFrom="column">
              <wp:posOffset>52070</wp:posOffset>
            </wp:positionH>
            <wp:positionV relativeFrom="paragraph">
              <wp:posOffset>3249295</wp:posOffset>
            </wp:positionV>
            <wp:extent cx="5274310" cy="229870"/>
            <wp:effectExtent l="0" t="0" r="13970" b="13970"/>
            <wp:wrapTopAndBottom/>
            <wp:docPr id="143164873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48739" name="图片 2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5274310" cy="229870"/>
                    </a:xfrm>
                    <a:prstGeom prst="rect">
                      <a:avLst/>
                    </a:prstGeom>
                    <a:noFill/>
                    <a:ln>
                      <a:noFill/>
                    </a:ln>
                  </pic:spPr>
                </pic:pic>
              </a:graphicData>
            </a:graphic>
          </wp:anchor>
        </w:drawing>
      </w:r>
      <w:r>
        <w:t>9.3 组织架构</w:t>
      </w:r>
      <w:bookmarkEnd w:id="164"/>
    </w:p>
    <w:p w14:paraId="25DB2D39">
      <w:pPr>
        <w:ind w:firstLine="420"/>
        <w:rPr>
          <w:rFonts w:hint="eastAsia" w:ascii="宋体" w:hAnsi="宋体"/>
          <w:sz w:val="21"/>
          <w:szCs w:val="21"/>
        </w:rPr>
      </w:pPr>
      <w:r>
        <w:rPr>
          <w:rFonts w:hint="eastAsia" w:ascii="宋体" w:hAnsi="宋体"/>
          <w:sz w:val="21"/>
          <w:szCs w:val="21"/>
        </w:rPr>
        <w:drawing>
          <wp:anchor distT="0" distB="0" distL="114300" distR="114300" simplePos="0" relativeHeight="251665408" behindDoc="0" locked="0" layoutInCell="1" allowOverlap="1">
            <wp:simplePos x="0" y="0"/>
            <wp:positionH relativeFrom="column">
              <wp:posOffset>3810</wp:posOffset>
            </wp:positionH>
            <wp:positionV relativeFrom="paragraph">
              <wp:posOffset>2995930</wp:posOffset>
            </wp:positionV>
            <wp:extent cx="5005070" cy="2795270"/>
            <wp:effectExtent l="0" t="0" r="8890" b="8890"/>
            <wp:wrapTopAndBottom/>
            <wp:docPr id="168010397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03979" name="图片 27"/>
                    <pic:cNvPicPr>
                      <a:picLocks noChangeAspect="1" noChangeArrowheads="1"/>
                    </pic:cNvPicPr>
                  </pic:nvPicPr>
                  <pic:blipFill>
                    <a:blip r:embed="rId58">
                      <a:extLst>
                        <a:ext uri="{28A0092B-C50C-407E-A947-70E740481C1C}">
                          <a14:useLocalDpi xmlns:a14="http://schemas.microsoft.com/office/drawing/2010/main" val="0"/>
                        </a:ext>
                      </a:extLst>
                    </a:blip>
                    <a:srcRect b="10790"/>
                    <a:stretch>
                      <a:fillRect/>
                    </a:stretch>
                  </pic:blipFill>
                  <pic:spPr>
                    <a:xfrm>
                      <a:off x="0" y="0"/>
                      <a:ext cx="5005070" cy="2795270"/>
                    </a:xfrm>
                    <a:prstGeom prst="rect">
                      <a:avLst/>
                    </a:prstGeom>
                    <a:noFill/>
                    <a:ln>
                      <a:noFill/>
                    </a:ln>
                  </pic:spPr>
                </pic:pic>
              </a:graphicData>
            </a:graphic>
          </wp:anchor>
        </w:drawing>
      </w:r>
      <w:r>
        <w:rPr>
          <w:rFonts w:ascii="宋体" w:hAnsi="宋体"/>
          <w:sz w:val="21"/>
          <w:szCs w:val="21"/>
        </w:rPr>
        <w:t>为确保项目的高效运营，</w:t>
      </w:r>
      <w:r>
        <w:rPr>
          <w:rFonts w:hint="eastAsia" w:ascii="宋体" w:hAnsi="宋体"/>
          <w:sz w:val="21"/>
          <w:szCs w:val="21"/>
        </w:rPr>
        <w:t>团队</w:t>
      </w:r>
      <w:r>
        <w:rPr>
          <w:rFonts w:ascii="宋体" w:hAnsi="宋体"/>
          <w:sz w:val="21"/>
          <w:szCs w:val="21"/>
        </w:rPr>
        <w:t>设计</w:t>
      </w:r>
      <w:r>
        <w:rPr>
          <w:rFonts w:hint="eastAsia" w:ascii="宋体" w:hAnsi="宋体"/>
          <w:sz w:val="21"/>
          <w:szCs w:val="21"/>
        </w:rPr>
        <w:t>了</w:t>
      </w:r>
      <w:r>
        <w:rPr>
          <w:rFonts w:ascii="宋体" w:hAnsi="宋体"/>
          <w:sz w:val="21"/>
          <w:szCs w:val="21"/>
        </w:rPr>
        <w:t>“领导小组—工作组—服务队”三级组织架构，明确各层级的职责边界和协作关系。</w:t>
      </w:r>
    </w:p>
    <w:p w14:paraId="0FA2895F">
      <w:pPr>
        <w:ind w:firstLine="420"/>
        <w:rPr>
          <w:rFonts w:hint="eastAsia" w:ascii="宋体" w:hAnsi="宋体"/>
          <w:sz w:val="21"/>
          <w:szCs w:val="21"/>
        </w:rPr>
      </w:pPr>
      <w:r>
        <w:rPr>
          <w:rFonts w:ascii="宋体" w:hAnsi="宋体"/>
          <w:sz w:val="21"/>
          <w:szCs w:val="21"/>
        </w:rPr>
        <w:t>第一，领导小组的</w:t>
      </w:r>
      <w:r>
        <w:rPr>
          <w:rFonts w:ascii="宋体" w:hAnsi="宋体"/>
          <w:b/>
          <w:bCs/>
          <w:sz w:val="21"/>
          <w:szCs w:val="21"/>
        </w:rPr>
        <w:t>“政策把关”</w:t>
      </w:r>
      <w:r>
        <w:rPr>
          <w:rFonts w:ascii="宋体" w:hAnsi="宋体"/>
          <w:sz w:val="21"/>
          <w:szCs w:val="21"/>
        </w:rPr>
        <w:t>职能。由于项目位于一级水源保护区内，政策合规是不可触碰的红线。领导小组必须包含村委会代表和第一书记，确保每一项运营决策都有政策合规审查环节。每月一次的全体会议必须审议“政策合规专项报告”。第二，工作组的</w:t>
      </w:r>
      <w:r>
        <w:rPr>
          <w:rFonts w:ascii="宋体" w:hAnsi="宋体"/>
          <w:b/>
          <w:bCs/>
          <w:sz w:val="21"/>
          <w:szCs w:val="21"/>
        </w:rPr>
        <w:t>“跨组协作”设计</w:t>
      </w:r>
      <w:r>
        <w:rPr>
          <w:rFonts w:ascii="宋体" w:hAnsi="宋体"/>
          <w:sz w:val="21"/>
          <w:szCs w:val="21"/>
        </w:rPr>
        <w:t>。五大工作组不是孤立运作的。品牌运营组需要技术支持组提供小程序商城支撑，骑行运营组需要村民服务队执行驿站值守，体验运营组需要品牌运营组提供内容传播。周例会的核心价值就是打破组间信息壁垒。第三，村民服务队的</w:t>
      </w:r>
      <w:r>
        <w:rPr>
          <w:rFonts w:ascii="宋体" w:hAnsi="宋体"/>
          <w:b/>
          <w:bCs/>
          <w:sz w:val="21"/>
          <w:szCs w:val="21"/>
        </w:rPr>
        <w:t>“弹性编制”</w:t>
      </w:r>
      <w:r>
        <w:rPr>
          <w:rFonts w:ascii="宋体" w:hAnsi="宋体"/>
          <w:sz w:val="21"/>
          <w:szCs w:val="21"/>
        </w:rPr>
        <w:t>。5-10人的编制根据季节弹性调整——樱桃季（5-6月）和骑行旺季（5-10月）按上限配置，冬季淡季按下限配置</w:t>
      </w:r>
      <w:r>
        <w:rPr>
          <w:rFonts w:hint="eastAsia" w:ascii="宋体" w:hAnsi="宋体"/>
          <w:sz w:val="21"/>
          <w:szCs w:val="21"/>
        </w:rPr>
        <w:t>，</w:t>
      </w:r>
      <w:r>
        <w:rPr>
          <w:rFonts w:ascii="宋体" w:hAnsi="宋体"/>
          <w:sz w:val="21"/>
          <w:szCs w:val="21"/>
        </w:rPr>
        <w:t>这既保障了服务质量，又控制了人力成本。</w:t>
      </w:r>
    </w:p>
    <w:p w14:paraId="697CB296">
      <w:pPr>
        <w:pStyle w:val="3"/>
        <w:bidi w:val="0"/>
        <w:rPr>
          <w:rFonts w:hint="eastAsia"/>
        </w:rPr>
      </w:pPr>
      <w:bookmarkStart w:id="165" w:name="_Toc16345"/>
      <w:r>
        <w:t>9.4 村民参与与收益共享机制</w:t>
      </w:r>
      <w:bookmarkEnd w:id="165"/>
    </w:p>
    <w:p w14:paraId="6FDC23B8">
      <w:pPr>
        <w:ind w:firstLine="420"/>
        <w:rPr>
          <w:rFonts w:hint="eastAsia" w:ascii="宋体" w:hAnsi="宋体"/>
          <w:b/>
          <w:bCs/>
          <w:sz w:val="21"/>
          <w:szCs w:val="21"/>
        </w:rPr>
      </w:pPr>
      <w:r>
        <w:rPr>
          <w:rFonts w:ascii="宋体" w:hAnsi="宋体"/>
          <w:sz w:val="21"/>
          <w:szCs w:val="21"/>
        </w:rPr>
        <w:t>乡村振兴的核心是让村民</w:t>
      </w:r>
      <w:r>
        <w:rPr>
          <w:rFonts w:ascii="宋体" w:hAnsi="宋体"/>
          <w:b/>
          <w:bCs/>
          <w:sz w:val="21"/>
          <w:szCs w:val="21"/>
        </w:rPr>
        <w:t>成为受益者和参与者</w:t>
      </w:r>
      <w:r>
        <w:rPr>
          <w:rFonts w:ascii="宋体" w:hAnsi="宋体"/>
          <w:sz w:val="21"/>
          <w:szCs w:val="21"/>
        </w:rPr>
        <w:t>，而非被动的“被帮扶对象”。本项目设计四重村民参与机制和三级收益分配模型，确保村民</w:t>
      </w:r>
      <w:r>
        <w:rPr>
          <w:rFonts w:ascii="宋体" w:hAnsi="宋体"/>
          <w:b/>
          <w:bCs/>
          <w:sz w:val="21"/>
          <w:szCs w:val="21"/>
        </w:rPr>
        <w:t>“有参与、有收入、有归属、有未来”</w:t>
      </w:r>
    </w:p>
    <w:p w14:paraId="6B533404">
      <w:pPr>
        <w:ind w:firstLine="420"/>
        <w:rPr>
          <w:rFonts w:hint="eastAsia" w:ascii="宋体" w:hAnsi="宋体"/>
          <w:sz w:val="21"/>
          <w:szCs w:val="21"/>
        </w:rPr>
      </w:pPr>
      <w:r>
        <w:rPr>
          <w:rFonts w:hint="eastAsia" w:ascii="宋体" w:hAnsi="宋体"/>
          <w:sz w:val="21"/>
          <w:szCs w:val="21"/>
        </w:rPr>
        <w:t xml:space="preserve">表 </w:t>
      </w:r>
      <w:r>
        <w:rPr>
          <w:rFonts w:ascii="宋体" w:hAnsi="宋体"/>
          <w:sz w:val="21"/>
          <w:szCs w:val="21"/>
        </w:rPr>
        <w:t>14</w:t>
      </w:r>
      <w:r>
        <w:rPr>
          <w:rFonts w:hint="eastAsia" w:ascii="宋体" w:hAnsi="宋体"/>
          <w:sz w:val="21"/>
          <w:szCs w:val="21"/>
        </w:rPr>
        <w:t xml:space="preserve"> 村民参与机制简表</w:t>
      </w:r>
    </w:p>
    <w:tbl>
      <w:tblPr>
        <w:tblStyle w:val="29"/>
        <w:tblW w:w="0" w:type="auto"/>
        <w:tblInd w:w="0" w:type="dxa"/>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02"/>
        <w:gridCol w:w="2650"/>
        <w:gridCol w:w="2002"/>
        <w:gridCol w:w="1074"/>
        <w:gridCol w:w="1494"/>
      </w:tblGrid>
      <w:tr w14:paraId="42202A60">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71FF6620">
            <w:pPr>
              <w:ind w:firstLine="0" w:firstLineChars="0"/>
              <w:jc w:val="center"/>
              <w:rPr>
                <w:rFonts w:hint="eastAsia" w:ascii="宋体" w:hAnsi="宋体"/>
                <w:sz w:val="21"/>
                <w:szCs w:val="21"/>
              </w:rPr>
            </w:pPr>
            <w:r>
              <w:rPr>
                <w:rFonts w:ascii="宋体" w:hAnsi="宋体"/>
                <w:sz w:val="21"/>
                <w:szCs w:val="21"/>
              </w:rPr>
              <w:t>参与类型</w:t>
            </w:r>
          </w:p>
        </w:tc>
        <w:tc>
          <w:tcPr>
            <w:tcW w:w="0" w:type="auto"/>
            <w:vAlign w:val="center"/>
          </w:tcPr>
          <w:p w14:paraId="6DFDD062">
            <w:pPr>
              <w:ind w:firstLine="0" w:firstLineChars="0"/>
              <w:jc w:val="center"/>
              <w:rPr>
                <w:rFonts w:hint="eastAsia" w:ascii="宋体" w:hAnsi="宋体"/>
                <w:sz w:val="21"/>
                <w:szCs w:val="21"/>
              </w:rPr>
            </w:pPr>
            <w:r>
              <w:rPr>
                <w:rFonts w:ascii="宋体" w:hAnsi="宋体"/>
                <w:sz w:val="21"/>
                <w:szCs w:val="21"/>
              </w:rPr>
              <w:t>具体岗位</w:t>
            </w:r>
          </w:p>
        </w:tc>
        <w:tc>
          <w:tcPr>
            <w:tcW w:w="0" w:type="auto"/>
            <w:vAlign w:val="center"/>
          </w:tcPr>
          <w:p w14:paraId="3D303C0F">
            <w:pPr>
              <w:ind w:firstLine="0" w:firstLineChars="0"/>
              <w:jc w:val="center"/>
              <w:rPr>
                <w:rFonts w:hint="eastAsia" w:ascii="宋体" w:hAnsi="宋体"/>
                <w:sz w:val="21"/>
                <w:szCs w:val="21"/>
              </w:rPr>
            </w:pPr>
            <w:r>
              <w:rPr>
                <w:rFonts w:ascii="宋体" w:hAnsi="宋体"/>
                <w:sz w:val="21"/>
                <w:szCs w:val="21"/>
              </w:rPr>
              <w:t>收益模式</w:t>
            </w:r>
          </w:p>
        </w:tc>
        <w:tc>
          <w:tcPr>
            <w:tcW w:w="0" w:type="auto"/>
            <w:vAlign w:val="center"/>
          </w:tcPr>
          <w:p w14:paraId="7E7CDA0C">
            <w:pPr>
              <w:ind w:right="-178" w:rightChars="-81" w:firstLine="0" w:firstLineChars="0"/>
              <w:jc w:val="center"/>
              <w:rPr>
                <w:rFonts w:hint="eastAsia" w:ascii="宋体" w:hAnsi="宋体"/>
                <w:sz w:val="21"/>
                <w:szCs w:val="21"/>
              </w:rPr>
            </w:pPr>
            <w:r>
              <w:rPr>
                <w:rFonts w:ascii="宋体" w:hAnsi="宋体"/>
                <w:sz w:val="21"/>
                <w:szCs w:val="21"/>
              </w:rPr>
              <w:t>预计人数</w:t>
            </w:r>
          </w:p>
        </w:tc>
        <w:tc>
          <w:tcPr>
            <w:tcW w:w="0" w:type="auto"/>
            <w:vAlign w:val="center"/>
          </w:tcPr>
          <w:p w14:paraId="16C5ECF5">
            <w:pPr>
              <w:ind w:firstLine="0" w:firstLineChars="0"/>
              <w:jc w:val="center"/>
              <w:rPr>
                <w:rFonts w:hint="eastAsia" w:ascii="宋体" w:hAnsi="宋体"/>
                <w:sz w:val="21"/>
                <w:szCs w:val="21"/>
              </w:rPr>
            </w:pPr>
            <w:r>
              <w:rPr>
                <w:rFonts w:ascii="宋体" w:hAnsi="宋体"/>
                <w:sz w:val="21"/>
                <w:szCs w:val="21"/>
              </w:rPr>
              <w:t>培训安排</w:t>
            </w:r>
          </w:p>
        </w:tc>
      </w:tr>
      <w:tr w14:paraId="44108E94">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670687A1">
            <w:pPr>
              <w:ind w:firstLine="0" w:firstLineChars="0"/>
              <w:jc w:val="center"/>
              <w:rPr>
                <w:rFonts w:hint="eastAsia" w:ascii="宋体" w:hAnsi="宋体"/>
                <w:sz w:val="21"/>
                <w:szCs w:val="21"/>
              </w:rPr>
            </w:pPr>
            <w:r>
              <w:rPr>
                <w:rFonts w:ascii="宋体" w:hAnsi="宋体"/>
                <w:sz w:val="21"/>
                <w:szCs w:val="21"/>
              </w:rPr>
              <w:t>果农直接参与</w:t>
            </w:r>
          </w:p>
        </w:tc>
        <w:tc>
          <w:tcPr>
            <w:tcW w:w="0" w:type="auto"/>
            <w:vAlign w:val="center"/>
          </w:tcPr>
          <w:p w14:paraId="008E14C4">
            <w:pPr>
              <w:ind w:firstLine="0" w:firstLineChars="0"/>
              <w:jc w:val="center"/>
              <w:rPr>
                <w:rFonts w:hint="eastAsia" w:ascii="宋体" w:hAnsi="宋体"/>
                <w:sz w:val="21"/>
                <w:szCs w:val="21"/>
              </w:rPr>
            </w:pPr>
            <w:r>
              <w:rPr>
                <w:rFonts w:ascii="宋体" w:hAnsi="宋体"/>
                <w:sz w:val="21"/>
                <w:szCs w:val="21"/>
              </w:rPr>
              <w:t>采摘服务/品控/农事讲师</w:t>
            </w:r>
          </w:p>
        </w:tc>
        <w:tc>
          <w:tcPr>
            <w:tcW w:w="0" w:type="auto"/>
            <w:vAlign w:val="center"/>
          </w:tcPr>
          <w:p w14:paraId="65BF5E8B">
            <w:pPr>
              <w:ind w:firstLine="0" w:firstLineChars="0"/>
              <w:jc w:val="center"/>
              <w:rPr>
                <w:rFonts w:hint="eastAsia" w:ascii="宋体" w:hAnsi="宋体"/>
                <w:sz w:val="21"/>
                <w:szCs w:val="21"/>
              </w:rPr>
            </w:pPr>
            <w:r>
              <w:rPr>
                <w:rFonts w:ascii="宋体" w:hAnsi="宋体"/>
                <w:sz w:val="21"/>
                <w:szCs w:val="21"/>
              </w:rPr>
              <w:t>按量计酬+奖金/课时费</w:t>
            </w:r>
          </w:p>
        </w:tc>
        <w:tc>
          <w:tcPr>
            <w:tcW w:w="0" w:type="auto"/>
            <w:vAlign w:val="center"/>
          </w:tcPr>
          <w:p w14:paraId="799AF54D">
            <w:pPr>
              <w:ind w:firstLine="0" w:firstLineChars="0"/>
              <w:jc w:val="center"/>
              <w:rPr>
                <w:rFonts w:hint="eastAsia" w:ascii="宋体" w:hAnsi="宋体"/>
                <w:sz w:val="21"/>
                <w:szCs w:val="21"/>
              </w:rPr>
            </w:pPr>
            <w:r>
              <w:rPr>
                <w:rFonts w:ascii="宋体" w:hAnsi="宋体"/>
                <w:sz w:val="21"/>
                <w:szCs w:val="21"/>
              </w:rPr>
              <w:t>8-12人</w:t>
            </w:r>
          </w:p>
        </w:tc>
        <w:tc>
          <w:tcPr>
            <w:tcW w:w="0" w:type="auto"/>
            <w:vAlign w:val="center"/>
          </w:tcPr>
          <w:p w14:paraId="48C18B79">
            <w:pPr>
              <w:ind w:firstLine="0" w:firstLineChars="0"/>
              <w:jc w:val="center"/>
              <w:rPr>
                <w:rFonts w:hint="eastAsia" w:ascii="宋体" w:hAnsi="宋体"/>
                <w:sz w:val="21"/>
                <w:szCs w:val="21"/>
              </w:rPr>
            </w:pPr>
            <w:r>
              <w:rPr>
                <w:rFonts w:ascii="宋体" w:hAnsi="宋体"/>
                <w:sz w:val="21"/>
                <w:szCs w:val="21"/>
              </w:rPr>
              <w:t>岗前培训2天</w:t>
            </w:r>
          </w:p>
        </w:tc>
      </w:tr>
      <w:tr w14:paraId="7E96EEF1">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4A3A93A4">
            <w:pPr>
              <w:ind w:firstLine="0" w:firstLineChars="0"/>
              <w:jc w:val="center"/>
              <w:rPr>
                <w:rFonts w:hint="eastAsia" w:ascii="宋体" w:hAnsi="宋体"/>
                <w:sz w:val="21"/>
                <w:szCs w:val="21"/>
              </w:rPr>
            </w:pPr>
            <w:r>
              <w:rPr>
                <w:rFonts w:ascii="宋体" w:hAnsi="宋体"/>
                <w:sz w:val="21"/>
                <w:szCs w:val="21"/>
              </w:rPr>
              <w:t>闲置资产盘活</w:t>
            </w:r>
          </w:p>
        </w:tc>
        <w:tc>
          <w:tcPr>
            <w:tcW w:w="0" w:type="auto"/>
            <w:vAlign w:val="center"/>
          </w:tcPr>
          <w:p w14:paraId="443EC62E">
            <w:pPr>
              <w:ind w:firstLine="0" w:firstLineChars="0"/>
              <w:jc w:val="center"/>
              <w:rPr>
                <w:rFonts w:hint="eastAsia" w:ascii="宋体" w:hAnsi="宋体"/>
                <w:sz w:val="21"/>
                <w:szCs w:val="21"/>
              </w:rPr>
            </w:pPr>
            <w:r>
              <w:rPr>
                <w:rFonts w:ascii="宋体" w:hAnsi="宋体"/>
                <w:sz w:val="21"/>
                <w:szCs w:val="21"/>
              </w:rPr>
              <w:t>驿站用房/展馆用房</w:t>
            </w:r>
          </w:p>
        </w:tc>
        <w:tc>
          <w:tcPr>
            <w:tcW w:w="0" w:type="auto"/>
            <w:vAlign w:val="center"/>
          </w:tcPr>
          <w:p w14:paraId="3745B71E">
            <w:pPr>
              <w:ind w:firstLine="0" w:firstLineChars="0"/>
              <w:jc w:val="center"/>
              <w:rPr>
                <w:rFonts w:hint="eastAsia" w:ascii="宋体" w:hAnsi="宋体"/>
                <w:sz w:val="21"/>
                <w:szCs w:val="21"/>
              </w:rPr>
            </w:pPr>
            <w:r>
              <w:rPr>
                <w:rFonts w:ascii="宋体" w:hAnsi="宋体"/>
                <w:sz w:val="21"/>
                <w:szCs w:val="21"/>
              </w:rPr>
              <w:t>固定年租金+分红</w:t>
            </w:r>
          </w:p>
        </w:tc>
        <w:tc>
          <w:tcPr>
            <w:tcW w:w="0" w:type="auto"/>
            <w:vAlign w:val="center"/>
          </w:tcPr>
          <w:p w14:paraId="088EBCAA">
            <w:pPr>
              <w:ind w:firstLine="0" w:firstLineChars="0"/>
              <w:jc w:val="center"/>
              <w:rPr>
                <w:rFonts w:hint="eastAsia" w:ascii="宋体" w:hAnsi="宋体"/>
                <w:sz w:val="21"/>
                <w:szCs w:val="21"/>
              </w:rPr>
            </w:pPr>
            <w:r>
              <w:rPr>
                <w:rFonts w:ascii="宋体" w:hAnsi="宋体"/>
                <w:sz w:val="21"/>
                <w:szCs w:val="21"/>
              </w:rPr>
              <w:t>2-3户</w:t>
            </w:r>
          </w:p>
        </w:tc>
        <w:tc>
          <w:tcPr>
            <w:tcW w:w="0" w:type="auto"/>
            <w:vAlign w:val="center"/>
          </w:tcPr>
          <w:p w14:paraId="66E8732A">
            <w:pPr>
              <w:ind w:firstLine="0" w:firstLineChars="0"/>
              <w:jc w:val="center"/>
              <w:rPr>
                <w:rFonts w:hint="eastAsia" w:ascii="宋体" w:hAnsi="宋体"/>
                <w:sz w:val="21"/>
                <w:szCs w:val="21"/>
              </w:rPr>
            </w:pPr>
            <w:r>
              <w:rPr>
                <w:rFonts w:ascii="宋体" w:hAnsi="宋体"/>
                <w:sz w:val="21"/>
                <w:szCs w:val="21"/>
              </w:rPr>
              <w:t>—</w:t>
            </w:r>
          </w:p>
        </w:tc>
      </w:tr>
      <w:tr w14:paraId="05C7FC81">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7F5987D6">
            <w:pPr>
              <w:ind w:firstLine="0" w:firstLineChars="0"/>
              <w:jc w:val="center"/>
              <w:rPr>
                <w:rFonts w:hint="eastAsia" w:ascii="宋体" w:hAnsi="宋体"/>
                <w:sz w:val="21"/>
                <w:szCs w:val="21"/>
              </w:rPr>
            </w:pPr>
            <w:r>
              <w:rPr>
                <w:rFonts w:ascii="宋体" w:hAnsi="宋体"/>
                <w:sz w:val="21"/>
                <w:szCs w:val="21"/>
              </w:rPr>
              <w:t>服务岗位就业</w:t>
            </w:r>
          </w:p>
        </w:tc>
        <w:tc>
          <w:tcPr>
            <w:tcW w:w="0" w:type="auto"/>
            <w:vAlign w:val="center"/>
          </w:tcPr>
          <w:p w14:paraId="28BD195A">
            <w:pPr>
              <w:ind w:firstLine="0" w:firstLineChars="0"/>
              <w:jc w:val="center"/>
              <w:rPr>
                <w:rFonts w:hint="eastAsia" w:ascii="宋体" w:hAnsi="宋体"/>
                <w:sz w:val="21"/>
                <w:szCs w:val="21"/>
              </w:rPr>
            </w:pPr>
            <w:r>
              <w:rPr>
                <w:rFonts w:ascii="宋体" w:hAnsi="宋体"/>
                <w:sz w:val="21"/>
                <w:szCs w:val="21"/>
              </w:rPr>
              <w:t>驿站管理/导览/接待/活动助理</w:t>
            </w:r>
          </w:p>
        </w:tc>
        <w:tc>
          <w:tcPr>
            <w:tcW w:w="0" w:type="auto"/>
            <w:vAlign w:val="center"/>
          </w:tcPr>
          <w:p w14:paraId="798247DE">
            <w:pPr>
              <w:ind w:firstLine="0" w:firstLineChars="0"/>
              <w:jc w:val="center"/>
              <w:rPr>
                <w:rFonts w:hint="eastAsia" w:ascii="宋体" w:hAnsi="宋体"/>
                <w:sz w:val="21"/>
                <w:szCs w:val="21"/>
              </w:rPr>
            </w:pPr>
            <w:r>
              <w:rPr>
                <w:rFonts w:ascii="宋体" w:hAnsi="宋体"/>
                <w:sz w:val="21"/>
                <w:szCs w:val="21"/>
              </w:rPr>
              <w:t>月薪+提成/按场计酬</w:t>
            </w:r>
          </w:p>
        </w:tc>
        <w:tc>
          <w:tcPr>
            <w:tcW w:w="0" w:type="auto"/>
            <w:vAlign w:val="center"/>
          </w:tcPr>
          <w:p w14:paraId="160BF601">
            <w:pPr>
              <w:ind w:firstLine="0" w:firstLineChars="0"/>
              <w:jc w:val="center"/>
              <w:rPr>
                <w:rFonts w:hint="eastAsia" w:ascii="宋体" w:hAnsi="宋体"/>
                <w:sz w:val="21"/>
                <w:szCs w:val="21"/>
              </w:rPr>
            </w:pPr>
            <w:r>
              <w:rPr>
                <w:rFonts w:ascii="宋体" w:hAnsi="宋体"/>
                <w:sz w:val="21"/>
                <w:szCs w:val="21"/>
              </w:rPr>
              <w:t>5-10人</w:t>
            </w:r>
          </w:p>
        </w:tc>
        <w:tc>
          <w:tcPr>
            <w:tcW w:w="0" w:type="auto"/>
            <w:vAlign w:val="center"/>
          </w:tcPr>
          <w:p w14:paraId="63E93CA2">
            <w:pPr>
              <w:ind w:firstLine="0" w:firstLineChars="0"/>
              <w:jc w:val="center"/>
              <w:rPr>
                <w:rFonts w:hint="eastAsia" w:ascii="宋体" w:hAnsi="宋体"/>
                <w:sz w:val="21"/>
                <w:szCs w:val="21"/>
              </w:rPr>
            </w:pPr>
            <w:r>
              <w:rPr>
                <w:rFonts w:ascii="宋体" w:hAnsi="宋体"/>
                <w:sz w:val="21"/>
                <w:szCs w:val="21"/>
              </w:rPr>
              <w:t>岗前培训1-3天</w:t>
            </w:r>
          </w:p>
        </w:tc>
      </w:tr>
      <w:tr w14:paraId="22B85620">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642E98AF">
            <w:pPr>
              <w:ind w:firstLine="0" w:firstLineChars="0"/>
              <w:jc w:val="center"/>
              <w:rPr>
                <w:rFonts w:hint="eastAsia" w:ascii="宋体" w:hAnsi="宋体"/>
                <w:sz w:val="21"/>
                <w:szCs w:val="21"/>
              </w:rPr>
            </w:pPr>
            <w:r>
              <w:rPr>
                <w:rFonts w:ascii="宋体" w:hAnsi="宋体"/>
                <w:sz w:val="21"/>
                <w:szCs w:val="21"/>
              </w:rPr>
              <w:t>合作社参与</w:t>
            </w:r>
          </w:p>
        </w:tc>
        <w:tc>
          <w:tcPr>
            <w:tcW w:w="0" w:type="auto"/>
            <w:vAlign w:val="center"/>
          </w:tcPr>
          <w:p w14:paraId="6AA457C6">
            <w:pPr>
              <w:ind w:firstLine="0" w:firstLineChars="0"/>
              <w:jc w:val="center"/>
              <w:rPr>
                <w:rFonts w:hint="eastAsia" w:ascii="宋体" w:hAnsi="宋体"/>
                <w:sz w:val="21"/>
                <w:szCs w:val="21"/>
              </w:rPr>
            </w:pPr>
            <w:r>
              <w:rPr>
                <w:rFonts w:ascii="宋体" w:hAnsi="宋体"/>
                <w:sz w:val="21"/>
                <w:szCs w:val="21"/>
              </w:rPr>
              <w:t>社员（统一品牌销售）</w:t>
            </w:r>
          </w:p>
        </w:tc>
        <w:tc>
          <w:tcPr>
            <w:tcW w:w="0" w:type="auto"/>
            <w:vAlign w:val="center"/>
          </w:tcPr>
          <w:p w14:paraId="3DC83DD7">
            <w:pPr>
              <w:ind w:firstLine="0" w:firstLineChars="0"/>
              <w:jc w:val="center"/>
              <w:rPr>
                <w:rFonts w:hint="eastAsia" w:ascii="宋体" w:hAnsi="宋体"/>
                <w:sz w:val="21"/>
                <w:szCs w:val="21"/>
              </w:rPr>
            </w:pPr>
            <w:r>
              <w:rPr>
                <w:rFonts w:ascii="宋体" w:hAnsi="宋体"/>
                <w:sz w:val="21"/>
                <w:szCs w:val="21"/>
              </w:rPr>
              <w:t>销售分成+分红</w:t>
            </w:r>
          </w:p>
        </w:tc>
        <w:tc>
          <w:tcPr>
            <w:tcW w:w="0" w:type="auto"/>
            <w:vAlign w:val="center"/>
          </w:tcPr>
          <w:p w14:paraId="45F9450F">
            <w:pPr>
              <w:ind w:firstLine="0" w:firstLineChars="0"/>
              <w:jc w:val="center"/>
              <w:rPr>
                <w:rFonts w:hint="eastAsia" w:ascii="宋体" w:hAnsi="宋体"/>
                <w:sz w:val="21"/>
                <w:szCs w:val="21"/>
              </w:rPr>
            </w:pPr>
            <w:r>
              <w:rPr>
                <w:rFonts w:ascii="宋体" w:hAnsi="宋体"/>
                <w:sz w:val="21"/>
                <w:szCs w:val="21"/>
              </w:rPr>
              <w:t>现有+新增</w:t>
            </w:r>
          </w:p>
        </w:tc>
        <w:tc>
          <w:tcPr>
            <w:tcW w:w="0" w:type="auto"/>
            <w:vAlign w:val="center"/>
          </w:tcPr>
          <w:p w14:paraId="06DB3621">
            <w:pPr>
              <w:ind w:firstLine="0" w:firstLineChars="0"/>
              <w:jc w:val="center"/>
              <w:rPr>
                <w:rFonts w:hint="eastAsia" w:ascii="宋体" w:hAnsi="宋体"/>
                <w:sz w:val="21"/>
                <w:szCs w:val="21"/>
              </w:rPr>
            </w:pPr>
            <w:r>
              <w:rPr>
                <w:rFonts w:ascii="宋体" w:hAnsi="宋体"/>
                <w:sz w:val="21"/>
                <w:szCs w:val="21"/>
              </w:rPr>
              <w:t>章程培训</w:t>
            </w:r>
          </w:p>
        </w:tc>
      </w:tr>
    </w:tbl>
    <w:p w14:paraId="14CCBDB4">
      <w:pPr>
        <w:ind w:firstLine="420"/>
        <w:rPr>
          <w:rFonts w:hint="eastAsia" w:ascii="宋体" w:hAnsi="宋体"/>
          <w:sz w:val="21"/>
          <w:szCs w:val="21"/>
        </w:rPr>
      </w:pPr>
      <w:r>
        <w:rPr>
          <w:rFonts w:hint="eastAsia" w:ascii="宋体" w:hAnsi="宋体"/>
          <w:sz w:val="21"/>
          <w:szCs w:val="21"/>
        </w:rPr>
        <w:t>团队首先建立了</w:t>
      </w:r>
      <w:r>
        <w:rPr>
          <w:rFonts w:ascii="宋体" w:hAnsi="宋体"/>
          <w:b/>
          <w:bCs/>
          <w:sz w:val="21"/>
          <w:szCs w:val="21"/>
        </w:rPr>
        <w:t>三级收益分配模型</w:t>
      </w:r>
      <w:r>
        <w:rPr>
          <w:rFonts w:ascii="宋体" w:hAnsi="宋体"/>
          <w:sz w:val="21"/>
          <w:szCs w:val="21"/>
        </w:rPr>
        <w:t>（建议比例，由村民代表大会确定）：</w:t>
      </w:r>
    </w:p>
    <w:p w14:paraId="0D965F16">
      <w:pPr>
        <w:ind w:firstLine="420"/>
        <w:rPr>
          <w:rFonts w:hint="eastAsia" w:ascii="宋体" w:hAnsi="宋体"/>
          <w:sz w:val="21"/>
          <w:szCs w:val="21"/>
        </w:rPr>
      </w:pPr>
      <w:r>
        <w:rPr>
          <w:rFonts w:hint="eastAsia" w:ascii="宋体" w:hAnsi="宋体"/>
          <w:sz w:val="21"/>
          <w:szCs w:val="21"/>
        </w:rPr>
        <w:t>（1）</w:t>
      </w:r>
      <w:r>
        <w:rPr>
          <w:rFonts w:ascii="宋体" w:hAnsi="宋体"/>
          <w:sz w:val="21"/>
          <w:szCs w:val="21"/>
        </w:rPr>
        <w:t>村集体约25%：公共服务、基础设施、困难帮扶</w:t>
      </w:r>
    </w:p>
    <w:p w14:paraId="5CCA8769">
      <w:pPr>
        <w:ind w:firstLine="420"/>
        <w:rPr>
          <w:rFonts w:hint="eastAsia" w:ascii="宋体" w:hAnsi="宋体"/>
          <w:sz w:val="21"/>
          <w:szCs w:val="21"/>
        </w:rPr>
      </w:pPr>
      <w:r>
        <w:rPr>
          <w:rFonts w:hint="eastAsia" w:ascii="宋体" w:hAnsi="宋体"/>
          <w:sz w:val="21"/>
          <w:szCs w:val="21"/>
        </w:rPr>
        <w:t>（2）</w:t>
      </w:r>
      <w:r>
        <w:rPr>
          <w:rFonts w:ascii="宋体" w:hAnsi="宋体"/>
          <w:sz w:val="21"/>
          <w:szCs w:val="21"/>
        </w:rPr>
        <w:t>合作社约30%：生产投入、社员分红、品质激励</w:t>
      </w:r>
    </w:p>
    <w:p w14:paraId="60B9BEBA">
      <w:pPr>
        <w:ind w:firstLine="420"/>
        <w:rPr>
          <w:rFonts w:hint="eastAsia" w:ascii="宋体" w:hAnsi="宋体"/>
          <w:sz w:val="21"/>
          <w:szCs w:val="21"/>
        </w:rPr>
      </w:pPr>
      <w:r>
        <w:rPr>
          <w:rFonts w:hint="eastAsia" w:ascii="宋体" w:hAnsi="宋体"/>
          <w:sz w:val="21"/>
          <w:szCs w:val="21"/>
        </w:rPr>
        <w:t>（3）</w:t>
      </w:r>
      <w:r>
        <w:rPr>
          <w:rFonts w:ascii="宋体" w:hAnsi="宋体"/>
          <w:sz w:val="21"/>
          <w:szCs w:val="21"/>
        </w:rPr>
        <w:t>参与农户约30%：服务报酬、租金收入、经营分红</w:t>
      </w:r>
    </w:p>
    <w:p w14:paraId="50D6E1E0">
      <w:pPr>
        <w:ind w:firstLine="420"/>
        <w:rPr>
          <w:rFonts w:hint="eastAsia" w:ascii="宋体" w:hAnsi="宋体"/>
          <w:sz w:val="21"/>
          <w:szCs w:val="21"/>
        </w:rPr>
      </w:pPr>
      <w:r>
        <w:rPr>
          <w:rFonts w:hint="eastAsia" w:ascii="宋体" w:hAnsi="宋体"/>
          <w:sz w:val="21"/>
          <w:szCs w:val="21"/>
        </w:rPr>
        <w:t>（4）</w:t>
      </w:r>
      <w:r>
        <w:rPr>
          <w:rFonts w:ascii="宋体" w:hAnsi="宋体"/>
          <w:sz w:val="21"/>
          <w:szCs w:val="21"/>
        </w:rPr>
        <w:t>发展基金约10%：设施改善、品牌推广</w:t>
      </w:r>
    </w:p>
    <w:p w14:paraId="5EA43553">
      <w:pPr>
        <w:ind w:firstLine="420"/>
        <w:rPr>
          <w:rFonts w:hint="eastAsia" w:ascii="宋体" w:hAnsi="宋体"/>
          <w:sz w:val="21"/>
          <w:szCs w:val="21"/>
        </w:rPr>
      </w:pPr>
      <w:r>
        <w:rPr>
          <w:rFonts w:hint="eastAsia" w:ascii="宋体" w:hAnsi="宋体"/>
          <w:sz w:val="21"/>
          <w:szCs w:val="21"/>
        </w:rPr>
        <w:t>（5）</w:t>
      </w:r>
      <w:r>
        <w:rPr>
          <w:rFonts w:ascii="宋体" w:hAnsi="宋体"/>
          <w:sz w:val="21"/>
          <w:szCs w:val="21"/>
        </w:rPr>
        <w:t>风险储备约5%：应急储备、灾害应对</w:t>
      </w:r>
    </w:p>
    <w:p w14:paraId="5C9EA105">
      <w:pPr>
        <w:ind w:firstLine="420"/>
        <w:rPr>
          <w:rFonts w:hint="eastAsia" w:ascii="宋体" w:hAnsi="宋体"/>
          <w:sz w:val="21"/>
          <w:szCs w:val="21"/>
        </w:rPr>
      </w:pPr>
      <w:r>
        <w:rPr>
          <w:rFonts w:ascii="宋体" w:hAnsi="宋体"/>
          <w:sz w:val="21"/>
          <w:szCs w:val="21"/>
        </w:rPr>
        <w:t>参与机制遵循三个原则：</w:t>
      </w:r>
      <w:r>
        <w:rPr>
          <w:rFonts w:ascii="宋体" w:hAnsi="宋体"/>
          <w:b/>
          <w:bCs/>
          <w:sz w:val="21"/>
          <w:szCs w:val="21"/>
        </w:rPr>
        <w:t>参与门槛梯度化</w:t>
      </w:r>
      <w:r>
        <w:rPr>
          <w:rFonts w:ascii="宋体" w:hAnsi="宋体"/>
          <w:sz w:val="21"/>
          <w:szCs w:val="21"/>
        </w:rPr>
        <w:t>（从低到高覆盖不同能力村民）、</w:t>
      </w:r>
      <w:r>
        <w:rPr>
          <w:rFonts w:ascii="宋体" w:hAnsi="宋体"/>
          <w:b/>
          <w:bCs/>
          <w:sz w:val="21"/>
          <w:szCs w:val="21"/>
        </w:rPr>
        <w:t>收益来源多元化</w:t>
      </w:r>
      <w:r>
        <w:rPr>
          <w:rFonts w:ascii="宋体" w:hAnsi="宋体"/>
          <w:sz w:val="21"/>
          <w:szCs w:val="21"/>
        </w:rPr>
        <w:t>（劳务+资产+股权+技能四种收入）、</w:t>
      </w:r>
      <w:r>
        <w:rPr>
          <w:rFonts w:ascii="宋体" w:hAnsi="宋体"/>
          <w:b/>
          <w:bCs/>
          <w:sz w:val="21"/>
          <w:szCs w:val="21"/>
        </w:rPr>
        <w:t>分配机制透明化</w:t>
      </w:r>
      <w:r>
        <w:rPr>
          <w:rFonts w:ascii="宋体" w:hAnsi="宋体"/>
          <w:sz w:val="21"/>
          <w:szCs w:val="21"/>
        </w:rPr>
        <w:t>（明确“谁贡献什么、谁获得什么”）</w:t>
      </w:r>
    </w:p>
    <w:p w14:paraId="4C941DEC">
      <w:pPr>
        <w:pStyle w:val="3"/>
        <w:bidi w:val="0"/>
        <w:rPr>
          <w:rFonts w:hint="eastAsia"/>
        </w:rPr>
      </w:pPr>
      <w:bookmarkStart w:id="166" w:name="_Toc12367"/>
      <w:r>
        <w:t>9.5 长效运营保障机制</w:t>
      </w:r>
      <w:bookmarkEnd w:id="166"/>
    </w:p>
    <w:p w14:paraId="694CD028">
      <w:pPr>
        <w:ind w:firstLine="420"/>
        <w:rPr>
          <w:rFonts w:hint="eastAsia" w:ascii="宋体" w:hAnsi="宋体"/>
          <w:sz w:val="21"/>
          <w:szCs w:val="21"/>
        </w:rPr>
      </w:pPr>
      <w:r>
        <w:rPr>
          <w:rFonts w:ascii="宋体" w:hAnsi="宋体"/>
          <w:sz w:val="21"/>
          <w:szCs w:val="21"/>
        </w:rPr>
        <w:t>从政策合规、服务标准、安全预案、生态监测四个维度建立长效机制。</w:t>
      </w:r>
      <w:r>
        <w:rPr>
          <w:rFonts w:hint="eastAsia" w:ascii="宋体" w:hAnsi="宋体"/>
          <w:sz w:val="21"/>
          <w:szCs w:val="21"/>
        </w:rPr>
        <w:t>为确保项目不仅</w:t>
      </w:r>
      <w:r>
        <w:rPr>
          <w:rFonts w:hint="eastAsia" w:ascii="宋体" w:hAnsi="宋体"/>
          <w:b/>
          <w:bCs/>
          <w:sz w:val="21"/>
          <w:szCs w:val="21"/>
        </w:rPr>
        <w:t>“建得成”，更能“运营好、持续转”</w:t>
      </w:r>
      <w:r>
        <w:rPr>
          <w:rFonts w:hint="eastAsia" w:ascii="宋体" w:hAnsi="宋体"/>
          <w:sz w:val="21"/>
          <w:szCs w:val="21"/>
        </w:rPr>
        <w:t>，团队从政策合规、服务标准、安全预案、生态监测四个维度建立长效运营保障机制。</w:t>
      </w:r>
    </w:p>
    <w:p w14:paraId="42DA7E2D">
      <w:pPr>
        <w:ind w:firstLine="420"/>
        <w:rPr>
          <w:rFonts w:hint="eastAsia" w:ascii="宋体" w:hAnsi="宋体"/>
          <w:sz w:val="21"/>
          <w:szCs w:val="21"/>
        </w:rPr>
      </w:pPr>
      <w:r>
        <w:rPr>
          <w:rFonts w:ascii="宋体" w:hAnsi="宋体"/>
          <w:sz w:val="21"/>
          <w:szCs w:val="21"/>
        </w:rPr>
        <w:t>表</w:t>
      </w:r>
      <w:r>
        <w:rPr>
          <w:rFonts w:hint="eastAsia" w:ascii="宋体" w:hAnsi="宋体"/>
          <w:sz w:val="21"/>
          <w:szCs w:val="21"/>
        </w:rPr>
        <w:t>15</w:t>
      </w:r>
      <w:r>
        <w:rPr>
          <w:rFonts w:ascii="宋体" w:hAnsi="宋体"/>
          <w:sz w:val="21"/>
          <w:szCs w:val="21"/>
        </w:rPr>
        <w:t xml:space="preserve"> 服务标准与培训简表</w:t>
      </w:r>
    </w:p>
    <w:tbl>
      <w:tblPr>
        <w:tblStyle w:val="29"/>
        <w:tblW w:w="0" w:type="auto"/>
        <w:tblInd w:w="0" w:type="dxa"/>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94"/>
        <w:gridCol w:w="3335"/>
        <w:gridCol w:w="601"/>
        <w:gridCol w:w="1565"/>
        <w:gridCol w:w="1127"/>
      </w:tblGrid>
      <w:tr w14:paraId="7DE5E41A">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93" w:type="dxa"/>
            <w:tcBorders>
              <w:bottom w:val="single" w:color="auto" w:sz="12" w:space="0"/>
            </w:tcBorders>
            <w:vAlign w:val="center"/>
          </w:tcPr>
          <w:p w14:paraId="5327508D">
            <w:pPr>
              <w:ind w:firstLine="0" w:firstLineChars="0"/>
              <w:jc w:val="center"/>
              <w:rPr>
                <w:rFonts w:hint="eastAsia" w:ascii="宋体" w:hAnsi="宋体"/>
                <w:sz w:val="21"/>
                <w:szCs w:val="21"/>
              </w:rPr>
            </w:pPr>
            <w:r>
              <w:rPr>
                <w:rFonts w:ascii="宋体" w:hAnsi="宋体"/>
                <w:sz w:val="21"/>
                <w:szCs w:val="21"/>
              </w:rPr>
              <w:t>培训对象</w:t>
            </w:r>
          </w:p>
        </w:tc>
        <w:tc>
          <w:tcPr>
            <w:tcW w:w="0" w:type="auto"/>
            <w:tcBorders>
              <w:bottom w:val="single" w:color="auto" w:sz="12" w:space="0"/>
            </w:tcBorders>
            <w:vAlign w:val="center"/>
          </w:tcPr>
          <w:p w14:paraId="264A00A6">
            <w:pPr>
              <w:ind w:firstLine="0" w:firstLineChars="0"/>
              <w:jc w:val="center"/>
              <w:rPr>
                <w:rFonts w:hint="eastAsia" w:ascii="宋体" w:hAnsi="宋体"/>
                <w:sz w:val="21"/>
                <w:szCs w:val="21"/>
              </w:rPr>
            </w:pPr>
            <w:r>
              <w:rPr>
                <w:rFonts w:ascii="宋体" w:hAnsi="宋体"/>
                <w:sz w:val="21"/>
                <w:szCs w:val="21"/>
              </w:rPr>
              <w:t>培训内容</w:t>
            </w:r>
          </w:p>
        </w:tc>
        <w:tc>
          <w:tcPr>
            <w:tcW w:w="0" w:type="auto"/>
            <w:tcBorders>
              <w:bottom w:val="single" w:color="auto" w:sz="12" w:space="0"/>
            </w:tcBorders>
            <w:vAlign w:val="center"/>
          </w:tcPr>
          <w:p w14:paraId="0007A877">
            <w:pPr>
              <w:ind w:firstLine="0" w:firstLineChars="0"/>
              <w:jc w:val="center"/>
              <w:rPr>
                <w:rFonts w:hint="eastAsia" w:ascii="宋体" w:hAnsi="宋体"/>
                <w:sz w:val="21"/>
                <w:szCs w:val="21"/>
              </w:rPr>
            </w:pPr>
            <w:r>
              <w:rPr>
                <w:rFonts w:ascii="宋体" w:hAnsi="宋体"/>
                <w:sz w:val="21"/>
                <w:szCs w:val="21"/>
              </w:rPr>
              <w:t>时长</w:t>
            </w:r>
          </w:p>
        </w:tc>
        <w:tc>
          <w:tcPr>
            <w:tcW w:w="0" w:type="auto"/>
            <w:tcBorders>
              <w:bottom w:val="single" w:color="auto" w:sz="12" w:space="0"/>
            </w:tcBorders>
            <w:vAlign w:val="center"/>
          </w:tcPr>
          <w:p w14:paraId="40D68DA2">
            <w:pPr>
              <w:ind w:firstLine="0" w:firstLineChars="0"/>
              <w:jc w:val="center"/>
              <w:rPr>
                <w:rFonts w:hint="eastAsia" w:ascii="宋体" w:hAnsi="宋体"/>
                <w:sz w:val="21"/>
                <w:szCs w:val="21"/>
              </w:rPr>
            </w:pPr>
            <w:r>
              <w:rPr>
                <w:rFonts w:ascii="宋体" w:hAnsi="宋体"/>
                <w:sz w:val="21"/>
                <w:szCs w:val="21"/>
              </w:rPr>
              <w:t>频率</w:t>
            </w:r>
          </w:p>
        </w:tc>
        <w:tc>
          <w:tcPr>
            <w:tcW w:w="0" w:type="auto"/>
            <w:tcBorders>
              <w:bottom w:val="single" w:color="auto" w:sz="12" w:space="0"/>
            </w:tcBorders>
            <w:vAlign w:val="center"/>
          </w:tcPr>
          <w:p w14:paraId="020466BC">
            <w:pPr>
              <w:ind w:firstLine="0" w:firstLineChars="0"/>
              <w:jc w:val="center"/>
              <w:rPr>
                <w:rFonts w:hint="eastAsia" w:ascii="宋体" w:hAnsi="宋体"/>
                <w:sz w:val="21"/>
                <w:szCs w:val="21"/>
              </w:rPr>
            </w:pPr>
            <w:r>
              <w:rPr>
                <w:rFonts w:ascii="宋体" w:hAnsi="宋体"/>
                <w:sz w:val="21"/>
                <w:szCs w:val="21"/>
              </w:rPr>
              <w:t>持证要求</w:t>
            </w:r>
          </w:p>
        </w:tc>
      </w:tr>
      <w:tr w14:paraId="090FE338">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93" w:type="dxa"/>
            <w:tcBorders>
              <w:top w:val="single" w:color="auto" w:sz="12" w:space="0"/>
            </w:tcBorders>
            <w:vAlign w:val="center"/>
          </w:tcPr>
          <w:p w14:paraId="776CC749">
            <w:pPr>
              <w:ind w:firstLine="0" w:firstLineChars="0"/>
              <w:jc w:val="center"/>
              <w:rPr>
                <w:rFonts w:hint="eastAsia" w:ascii="宋体" w:hAnsi="宋体"/>
                <w:sz w:val="21"/>
                <w:szCs w:val="21"/>
              </w:rPr>
            </w:pPr>
            <w:r>
              <w:rPr>
                <w:rFonts w:ascii="宋体" w:hAnsi="宋体"/>
                <w:sz w:val="21"/>
                <w:szCs w:val="21"/>
              </w:rPr>
              <w:t>驿站管理员</w:t>
            </w:r>
          </w:p>
        </w:tc>
        <w:tc>
          <w:tcPr>
            <w:tcW w:w="0" w:type="auto"/>
            <w:tcBorders>
              <w:top w:val="single" w:color="auto" w:sz="12" w:space="0"/>
            </w:tcBorders>
            <w:vAlign w:val="center"/>
          </w:tcPr>
          <w:p w14:paraId="23262672">
            <w:pPr>
              <w:ind w:firstLine="0" w:firstLineChars="0"/>
              <w:jc w:val="center"/>
              <w:rPr>
                <w:rFonts w:hint="eastAsia" w:ascii="宋体" w:hAnsi="宋体"/>
                <w:sz w:val="21"/>
                <w:szCs w:val="21"/>
              </w:rPr>
            </w:pPr>
            <w:r>
              <w:rPr>
                <w:rFonts w:ascii="宋体" w:hAnsi="宋体"/>
                <w:sz w:val="21"/>
                <w:szCs w:val="21"/>
              </w:rPr>
              <w:t>租车流程/安全提示/营收结算/应急处理</w:t>
            </w:r>
          </w:p>
        </w:tc>
        <w:tc>
          <w:tcPr>
            <w:tcW w:w="0" w:type="auto"/>
            <w:tcBorders>
              <w:top w:val="single" w:color="auto" w:sz="12" w:space="0"/>
            </w:tcBorders>
            <w:vAlign w:val="center"/>
          </w:tcPr>
          <w:p w14:paraId="099D9EB0">
            <w:pPr>
              <w:ind w:firstLine="0" w:firstLineChars="0"/>
              <w:jc w:val="center"/>
              <w:rPr>
                <w:rFonts w:hint="eastAsia" w:ascii="宋体" w:hAnsi="宋体"/>
                <w:sz w:val="21"/>
                <w:szCs w:val="21"/>
              </w:rPr>
            </w:pPr>
            <w:r>
              <w:rPr>
                <w:rFonts w:ascii="宋体" w:hAnsi="宋体"/>
                <w:sz w:val="21"/>
                <w:szCs w:val="21"/>
              </w:rPr>
              <w:t>3天</w:t>
            </w:r>
          </w:p>
        </w:tc>
        <w:tc>
          <w:tcPr>
            <w:tcW w:w="0" w:type="auto"/>
            <w:tcBorders>
              <w:top w:val="single" w:color="auto" w:sz="12" w:space="0"/>
            </w:tcBorders>
            <w:vAlign w:val="center"/>
          </w:tcPr>
          <w:p w14:paraId="7EDD6D0C">
            <w:pPr>
              <w:ind w:firstLine="0" w:firstLineChars="0"/>
              <w:jc w:val="center"/>
              <w:rPr>
                <w:rFonts w:hint="eastAsia" w:ascii="宋体" w:hAnsi="宋体"/>
                <w:sz w:val="21"/>
                <w:szCs w:val="21"/>
              </w:rPr>
            </w:pPr>
            <w:r>
              <w:rPr>
                <w:rFonts w:ascii="宋体" w:hAnsi="宋体"/>
                <w:sz w:val="21"/>
                <w:szCs w:val="21"/>
              </w:rPr>
              <w:t>岗前+每季复训</w:t>
            </w:r>
          </w:p>
        </w:tc>
        <w:tc>
          <w:tcPr>
            <w:tcW w:w="0" w:type="auto"/>
            <w:tcBorders>
              <w:top w:val="single" w:color="auto" w:sz="12" w:space="0"/>
            </w:tcBorders>
            <w:vAlign w:val="center"/>
          </w:tcPr>
          <w:p w14:paraId="0FAD5E86">
            <w:pPr>
              <w:ind w:firstLine="0" w:firstLineChars="0"/>
              <w:jc w:val="center"/>
              <w:rPr>
                <w:rFonts w:hint="eastAsia" w:ascii="宋体" w:hAnsi="宋体"/>
                <w:sz w:val="21"/>
                <w:szCs w:val="21"/>
              </w:rPr>
            </w:pPr>
            <w:r>
              <w:rPr>
                <w:rFonts w:ascii="宋体" w:hAnsi="宋体"/>
                <w:sz w:val="21"/>
                <w:szCs w:val="21"/>
              </w:rPr>
              <w:t>急救证</w:t>
            </w:r>
          </w:p>
        </w:tc>
      </w:tr>
      <w:tr w14:paraId="68D43399">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93" w:type="dxa"/>
            <w:vAlign w:val="center"/>
          </w:tcPr>
          <w:p w14:paraId="418C9916">
            <w:pPr>
              <w:ind w:firstLine="0" w:firstLineChars="0"/>
              <w:jc w:val="center"/>
              <w:rPr>
                <w:rFonts w:hint="eastAsia" w:ascii="宋体" w:hAnsi="宋体"/>
                <w:sz w:val="21"/>
                <w:szCs w:val="21"/>
              </w:rPr>
            </w:pPr>
            <w:r>
              <w:rPr>
                <w:rFonts w:ascii="宋体" w:hAnsi="宋体"/>
                <w:sz w:val="21"/>
                <w:szCs w:val="21"/>
              </w:rPr>
              <w:t>导览员</w:t>
            </w:r>
          </w:p>
        </w:tc>
        <w:tc>
          <w:tcPr>
            <w:tcW w:w="0" w:type="auto"/>
            <w:vAlign w:val="center"/>
          </w:tcPr>
          <w:p w14:paraId="49D9AE3E">
            <w:pPr>
              <w:ind w:firstLine="0" w:firstLineChars="0"/>
              <w:jc w:val="center"/>
              <w:rPr>
                <w:rFonts w:hint="eastAsia" w:ascii="宋体" w:hAnsi="宋体"/>
                <w:sz w:val="21"/>
                <w:szCs w:val="21"/>
              </w:rPr>
            </w:pPr>
            <w:r>
              <w:rPr>
                <w:rFonts w:ascii="宋体" w:hAnsi="宋体"/>
                <w:sz w:val="21"/>
                <w:szCs w:val="21"/>
              </w:rPr>
              <w:t>路线知识/服务话术/AR操作</w:t>
            </w:r>
          </w:p>
        </w:tc>
        <w:tc>
          <w:tcPr>
            <w:tcW w:w="0" w:type="auto"/>
            <w:vAlign w:val="center"/>
          </w:tcPr>
          <w:p w14:paraId="3EFE64C7">
            <w:pPr>
              <w:ind w:firstLine="0" w:firstLineChars="0"/>
              <w:jc w:val="center"/>
              <w:rPr>
                <w:rFonts w:hint="eastAsia" w:ascii="宋体" w:hAnsi="宋体"/>
                <w:sz w:val="21"/>
                <w:szCs w:val="21"/>
              </w:rPr>
            </w:pPr>
            <w:r>
              <w:rPr>
                <w:rFonts w:ascii="宋体" w:hAnsi="宋体"/>
                <w:sz w:val="21"/>
                <w:szCs w:val="21"/>
              </w:rPr>
              <w:t>2天</w:t>
            </w:r>
          </w:p>
        </w:tc>
        <w:tc>
          <w:tcPr>
            <w:tcW w:w="0" w:type="auto"/>
            <w:vAlign w:val="center"/>
          </w:tcPr>
          <w:p w14:paraId="406D017B">
            <w:pPr>
              <w:ind w:firstLine="0" w:firstLineChars="0"/>
              <w:jc w:val="center"/>
              <w:rPr>
                <w:rFonts w:hint="eastAsia" w:ascii="宋体" w:hAnsi="宋体"/>
                <w:sz w:val="21"/>
                <w:szCs w:val="21"/>
              </w:rPr>
            </w:pPr>
            <w:r>
              <w:rPr>
                <w:rFonts w:ascii="宋体" w:hAnsi="宋体"/>
                <w:sz w:val="21"/>
                <w:szCs w:val="21"/>
              </w:rPr>
              <w:t>岗前+每半年复训</w:t>
            </w:r>
          </w:p>
        </w:tc>
        <w:tc>
          <w:tcPr>
            <w:tcW w:w="0" w:type="auto"/>
            <w:vAlign w:val="center"/>
          </w:tcPr>
          <w:p w14:paraId="30DEA7B2">
            <w:pPr>
              <w:ind w:firstLine="0" w:firstLineChars="0"/>
              <w:jc w:val="center"/>
              <w:rPr>
                <w:rFonts w:hint="eastAsia" w:ascii="宋体" w:hAnsi="宋体"/>
                <w:sz w:val="21"/>
                <w:szCs w:val="21"/>
              </w:rPr>
            </w:pPr>
            <w:r>
              <w:rPr>
                <w:rFonts w:ascii="宋体" w:hAnsi="宋体"/>
                <w:sz w:val="21"/>
                <w:szCs w:val="21"/>
              </w:rPr>
              <w:t>内部导览证</w:t>
            </w:r>
          </w:p>
        </w:tc>
      </w:tr>
      <w:tr w14:paraId="4B0EB22B">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93" w:type="dxa"/>
            <w:vAlign w:val="center"/>
          </w:tcPr>
          <w:p w14:paraId="2FCC6FEA">
            <w:pPr>
              <w:ind w:firstLine="0" w:firstLineChars="0"/>
              <w:jc w:val="center"/>
              <w:rPr>
                <w:rFonts w:hint="eastAsia" w:ascii="宋体" w:hAnsi="宋体"/>
                <w:sz w:val="21"/>
                <w:szCs w:val="21"/>
              </w:rPr>
            </w:pPr>
            <w:r>
              <w:rPr>
                <w:rFonts w:ascii="宋体" w:hAnsi="宋体"/>
                <w:sz w:val="21"/>
                <w:szCs w:val="21"/>
              </w:rPr>
              <w:t>采摘服务人员</w:t>
            </w:r>
          </w:p>
        </w:tc>
        <w:tc>
          <w:tcPr>
            <w:tcW w:w="0" w:type="auto"/>
            <w:vAlign w:val="center"/>
          </w:tcPr>
          <w:p w14:paraId="50EE3D19">
            <w:pPr>
              <w:ind w:firstLine="0" w:firstLineChars="0"/>
              <w:jc w:val="center"/>
              <w:rPr>
                <w:rFonts w:hint="eastAsia" w:ascii="宋体" w:hAnsi="宋体"/>
                <w:sz w:val="21"/>
                <w:szCs w:val="21"/>
              </w:rPr>
            </w:pPr>
            <w:r>
              <w:rPr>
                <w:rFonts w:ascii="宋体" w:hAnsi="宋体"/>
                <w:sz w:val="21"/>
                <w:szCs w:val="21"/>
              </w:rPr>
              <w:t>采摘规范/品级识别/服务礼仪</w:t>
            </w:r>
          </w:p>
        </w:tc>
        <w:tc>
          <w:tcPr>
            <w:tcW w:w="0" w:type="auto"/>
            <w:vAlign w:val="center"/>
          </w:tcPr>
          <w:p w14:paraId="5EAAC0CC">
            <w:pPr>
              <w:ind w:firstLine="0" w:firstLineChars="0"/>
              <w:jc w:val="center"/>
              <w:rPr>
                <w:rFonts w:hint="eastAsia" w:ascii="宋体" w:hAnsi="宋体"/>
                <w:sz w:val="21"/>
                <w:szCs w:val="21"/>
              </w:rPr>
            </w:pPr>
            <w:r>
              <w:rPr>
                <w:rFonts w:ascii="宋体" w:hAnsi="宋体"/>
                <w:sz w:val="21"/>
                <w:szCs w:val="21"/>
              </w:rPr>
              <w:t>2天</w:t>
            </w:r>
          </w:p>
        </w:tc>
        <w:tc>
          <w:tcPr>
            <w:tcW w:w="0" w:type="auto"/>
            <w:vAlign w:val="center"/>
          </w:tcPr>
          <w:p w14:paraId="57B32E58">
            <w:pPr>
              <w:ind w:firstLine="0" w:firstLineChars="0"/>
              <w:jc w:val="center"/>
              <w:rPr>
                <w:rFonts w:hint="eastAsia" w:ascii="宋体" w:hAnsi="宋体"/>
                <w:sz w:val="21"/>
                <w:szCs w:val="21"/>
              </w:rPr>
            </w:pPr>
            <w:r>
              <w:rPr>
                <w:rFonts w:ascii="宋体" w:hAnsi="宋体"/>
                <w:sz w:val="21"/>
                <w:szCs w:val="21"/>
              </w:rPr>
              <w:t>采摘季前</w:t>
            </w:r>
          </w:p>
        </w:tc>
        <w:tc>
          <w:tcPr>
            <w:tcW w:w="0" w:type="auto"/>
            <w:vAlign w:val="center"/>
          </w:tcPr>
          <w:p w14:paraId="1005D6D0">
            <w:pPr>
              <w:ind w:firstLine="0" w:firstLineChars="0"/>
              <w:jc w:val="center"/>
              <w:rPr>
                <w:rFonts w:hint="eastAsia" w:ascii="宋体" w:hAnsi="宋体"/>
                <w:sz w:val="21"/>
                <w:szCs w:val="21"/>
              </w:rPr>
            </w:pPr>
            <w:r>
              <w:rPr>
                <w:rFonts w:ascii="宋体" w:hAnsi="宋体"/>
                <w:sz w:val="21"/>
                <w:szCs w:val="21"/>
              </w:rPr>
              <w:t>—</w:t>
            </w:r>
          </w:p>
        </w:tc>
      </w:tr>
      <w:tr w14:paraId="02E629C8">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93" w:type="dxa"/>
            <w:vAlign w:val="center"/>
          </w:tcPr>
          <w:p w14:paraId="0DD5F5D7">
            <w:pPr>
              <w:ind w:firstLine="0" w:firstLineChars="0"/>
              <w:jc w:val="center"/>
              <w:rPr>
                <w:rFonts w:hint="eastAsia" w:ascii="宋体" w:hAnsi="宋体"/>
                <w:sz w:val="21"/>
                <w:szCs w:val="21"/>
              </w:rPr>
            </w:pPr>
            <w:r>
              <w:rPr>
                <w:rFonts w:ascii="宋体" w:hAnsi="宋体"/>
                <w:sz w:val="21"/>
                <w:szCs w:val="21"/>
              </w:rPr>
              <w:t>农事教学讲师</w:t>
            </w:r>
          </w:p>
        </w:tc>
        <w:tc>
          <w:tcPr>
            <w:tcW w:w="0" w:type="auto"/>
            <w:vAlign w:val="center"/>
          </w:tcPr>
          <w:p w14:paraId="6444E0E4">
            <w:pPr>
              <w:ind w:firstLine="0" w:firstLineChars="0"/>
              <w:jc w:val="center"/>
              <w:rPr>
                <w:rFonts w:hint="eastAsia" w:ascii="宋体" w:hAnsi="宋体"/>
                <w:sz w:val="21"/>
                <w:szCs w:val="21"/>
              </w:rPr>
            </w:pPr>
            <w:r>
              <w:rPr>
                <w:rFonts w:ascii="宋体" w:hAnsi="宋体"/>
                <w:sz w:val="21"/>
                <w:szCs w:val="21"/>
              </w:rPr>
              <w:t>课程设计/教学方法/安全须知</w:t>
            </w:r>
          </w:p>
        </w:tc>
        <w:tc>
          <w:tcPr>
            <w:tcW w:w="0" w:type="auto"/>
            <w:vAlign w:val="center"/>
          </w:tcPr>
          <w:p w14:paraId="417475FA">
            <w:pPr>
              <w:ind w:firstLine="0" w:firstLineChars="0"/>
              <w:jc w:val="center"/>
              <w:rPr>
                <w:rFonts w:hint="eastAsia" w:ascii="宋体" w:hAnsi="宋体"/>
                <w:sz w:val="21"/>
                <w:szCs w:val="21"/>
              </w:rPr>
            </w:pPr>
            <w:r>
              <w:rPr>
                <w:rFonts w:ascii="宋体" w:hAnsi="宋体"/>
                <w:sz w:val="21"/>
                <w:szCs w:val="21"/>
              </w:rPr>
              <w:t>1天</w:t>
            </w:r>
          </w:p>
        </w:tc>
        <w:tc>
          <w:tcPr>
            <w:tcW w:w="0" w:type="auto"/>
            <w:vAlign w:val="center"/>
          </w:tcPr>
          <w:p w14:paraId="2BDEC7EC">
            <w:pPr>
              <w:ind w:firstLine="0" w:firstLineChars="0"/>
              <w:jc w:val="center"/>
              <w:rPr>
                <w:rFonts w:hint="eastAsia" w:ascii="宋体" w:hAnsi="宋体"/>
                <w:sz w:val="21"/>
                <w:szCs w:val="21"/>
              </w:rPr>
            </w:pPr>
            <w:r>
              <w:rPr>
                <w:rFonts w:ascii="宋体" w:hAnsi="宋体"/>
                <w:sz w:val="21"/>
                <w:szCs w:val="21"/>
              </w:rPr>
              <w:t>研学季前</w:t>
            </w:r>
          </w:p>
        </w:tc>
        <w:tc>
          <w:tcPr>
            <w:tcW w:w="0" w:type="auto"/>
            <w:vAlign w:val="center"/>
          </w:tcPr>
          <w:p w14:paraId="1CA862E2">
            <w:pPr>
              <w:ind w:firstLine="0" w:firstLineChars="0"/>
              <w:jc w:val="center"/>
              <w:rPr>
                <w:rFonts w:hint="eastAsia" w:ascii="宋体" w:hAnsi="宋体"/>
                <w:sz w:val="21"/>
                <w:szCs w:val="21"/>
              </w:rPr>
            </w:pPr>
            <w:r>
              <w:rPr>
                <w:rFonts w:ascii="宋体" w:hAnsi="宋体"/>
                <w:sz w:val="21"/>
                <w:szCs w:val="21"/>
              </w:rPr>
              <w:t>—</w:t>
            </w:r>
          </w:p>
        </w:tc>
      </w:tr>
    </w:tbl>
    <w:p w14:paraId="52DDA18A">
      <w:pPr>
        <w:ind w:firstLine="420"/>
        <w:rPr>
          <w:rFonts w:hint="eastAsia" w:ascii="宋体" w:hAnsi="宋体"/>
          <w:sz w:val="21"/>
          <w:szCs w:val="21"/>
        </w:rPr>
      </w:pPr>
      <w:r>
        <w:rPr>
          <w:rFonts w:ascii="宋体" w:hAnsi="宋体"/>
          <w:sz w:val="21"/>
          <w:szCs w:val="21"/>
        </w:rPr>
        <w:t>其他保障机制要点：</w:t>
      </w:r>
    </w:p>
    <w:p w14:paraId="1B8B1AB5">
      <w:pPr>
        <w:ind w:firstLine="420"/>
        <w:rPr>
          <w:rFonts w:hint="eastAsia" w:ascii="宋体" w:hAnsi="宋体"/>
          <w:sz w:val="21"/>
          <w:szCs w:val="21"/>
        </w:rPr>
      </w:pPr>
      <w:r>
        <w:rPr>
          <w:rFonts w:hint="eastAsia" w:ascii="宋体" w:hAnsi="宋体"/>
          <w:sz w:val="21"/>
          <w:szCs w:val="21"/>
        </w:rPr>
        <w:t>（1）</w:t>
      </w:r>
      <w:r>
        <w:rPr>
          <w:rFonts w:ascii="宋体" w:hAnsi="宋体"/>
          <w:sz w:val="21"/>
          <w:szCs w:val="21"/>
        </w:rPr>
        <w:t>政策合规审查：每季度全面审查一次，新活动前专项审查，输出审查报告存档</w:t>
      </w:r>
    </w:p>
    <w:p w14:paraId="428C47A1">
      <w:pPr>
        <w:ind w:firstLine="420"/>
        <w:rPr>
          <w:rFonts w:hint="eastAsia" w:ascii="宋体" w:hAnsi="宋体"/>
          <w:sz w:val="21"/>
          <w:szCs w:val="21"/>
        </w:rPr>
      </w:pPr>
      <w:r>
        <w:rPr>
          <w:rFonts w:hint="eastAsia" w:ascii="宋体" w:hAnsi="宋体"/>
          <w:sz w:val="21"/>
          <w:szCs w:val="21"/>
        </w:rPr>
        <w:t>（2）</w:t>
      </w:r>
      <w:r>
        <w:rPr>
          <w:rFonts w:ascii="宋体" w:hAnsi="宋体"/>
          <w:sz w:val="21"/>
          <w:szCs w:val="21"/>
        </w:rPr>
        <w:t>安全预案：路线分级标识、每500米里程桩、急救箱配置、大型活动48小时天气评估</w:t>
      </w:r>
    </w:p>
    <w:p w14:paraId="1AA4B5F8">
      <w:pPr>
        <w:ind w:firstLine="420"/>
        <w:rPr>
          <w:rFonts w:hint="eastAsia" w:ascii="宋体" w:hAnsi="宋体"/>
          <w:sz w:val="21"/>
          <w:szCs w:val="21"/>
        </w:rPr>
      </w:pPr>
      <w:r>
        <w:rPr>
          <w:rFonts w:hint="eastAsia" w:ascii="宋体" w:hAnsi="宋体"/>
          <w:sz w:val="21"/>
          <w:szCs w:val="21"/>
        </w:rPr>
        <w:t>（3）</w:t>
      </w:r>
      <w:r>
        <w:rPr>
          <w:rFonts w:ascii="宋体" w:hAnsi="宋体"/>
          <w:sz w:val="21"/>
          <w:szCs w:val="21"/>
        </w:rPr>
        <w:t>生态监测：水质每月1次、土壤每季1次、碳减排每日估算，数据同步小程序生态看板</w:t>
      </w:r>
    </w:p>
    <w:p w14:paraId="3BE5B3B3">
      <w:pPr>
        <w:ind w:firstLine="420"/>
        <w:rPr>
          <w:rFonts w:hint="eastAsia" w:ascii="宋体" w:hAnsi="宋体"/>
          <w:sz w:val="21"/>
          <w:szCs w:val="21"/>
        </w:rPr>
      </w:pPr>
      <w:r>
        <w:rPr>
          <w:rFonts w:hint="eastAsia" w:ascii="宋体" w:hAnsi="宋体"/>
          <w:sz w:val="21"/>
          <w:szCs w:val="21"/>
        </w:rPr>
        <w:t>（4）</w:t>
      </w:r>
      <w:r>
        <w:rPr>
          <w:rFonts w:ascii="宋体" w:hAnsi="宋体"/>
          <w:sz w:val="21"/>
          <w:szCs w:val="21"/>
        </w:rPr>
        <w:t>运营手册：《东庄运营手册》涵盖接待规范、服务话术、安全操作、投诉处理、应急流程</w:t>
      </w:r>
    </w:p>
    <w:p w14:paraId="762BB43D">
      <w:pPr>
        <w:pStyle w:val="3"/>
        <w:bidi w:val="0"/>
        <w:rPr>
          <w:rFonts w:hint="eastAsia"/>
        </w:rPr>
      </w:pPr>
      <w:bookmarkStart w:id="167" w:name="_Toc3742"/>
      <w:r>
        <w:t>9.6 政策合规逐条对照</w:t>
      </w:r>
      <w:bookmarkEnd w:id="167"/>
    </w:p>
    <w:p w14:paraId="05AE7CAD">
      <w:pPr>
        <w:ind w:firstLine="420"/>
        <w:rPr>
          <w:rFonts w:hint="eastAsia" w:ascii="宋体" w:hAnsi="宋体"/>
          <w:sz w:val="21"/>
          <w:szCs w:val="21"/>
        </w:rPr>
      </w:pPr>
      <w:r>
        <w:rPr>
          <w:rFonts w:ascii="宋体" w:hAnsi="宋体"/>
          <w:sz w:val="21"/>
          <w:szCs w:val="21"/>
        </w:rPr>
        <w:t>本项目所有活动严格在《中华人民共和国水污染防治法》及《北京市水污染防治条例》规定的“可行事项”范围内设计。以下逐项审查各活动的政策合规性</w:t>
      </w:r>
      <w:r>
        <w:rPr>
          <w:rFonts w:hint="eastAsia" w:ascii="宋体" w:hAnsi="宋体"/>
          <w:sz w:val="21"/>
          <w:szCs w:val="21"/>
        </w:rPr>
        <w:t>。</w:t>
      </w:r>
      <w:r>
        <w:rPr>
          <w:rFonts w:ascii="宋体" w:hAnsi="宋体"/>
          <w:sz w:val="21"/>
          <w:szCs w:val="21"/>
        </w:rPr>
        <w:t xml:space="preserve"> </w:t>
      </w:r>
    </w:p>
    <w:p w14:paraId="5A6E04DA">
      <w:pPr>
        <w:ind w:firstLine="420"/>
        <w:rPr>
          <w:rFonts w:hint="eastAsia" w:ascii="宋体" w:hAnsi="宋体"/>
          <w:sz w:val="21"/>
          <w:szCs w:val="21"/>
        </w:rPr>
      </w:pPr>
      <w:r>
        <w:rPr>
          <w:rFonts w:hint="eastAsia" w:ascii="宋体" w:hAnsi="宋体"/>
          <w:sz w:val="21"/>
          <w:szCs w:val="21"/>
        </w:rPr>
        <w:t>政策合规审查的三个关键结论：</w:t>
      </w:r>
    </w:p>
    <w:p w14:paraId="49BD120F">
      <w:pPr>
        <w:ind w:firstLine="420"/>
        <w:rPr>
          <w:rFonts w:hint="eastAsia" w:ascii="宋体" w:hAnsi="宋体"/>
          <w:sz w:val="21"/>
          <w:szCs w:val="21"/>
        </w:rPr>
      </w:pPr>
      <w:r>
        <w:rPr>
          <w:rFonts w:hint="eastAsia" w:ascii="宋体" w:hAnsi="宋体"/>
          <w:sz w:val="21"/>
          <w:szCs w:val="21"/>
        </w:rPr>
        <w:t>第一，无</w:t>
      </w:r>
      <w:r>
        <w:rPr>
          <w:rFonts w:hint="eastAsia" w:ascii="宋体" w:hAnsi="宋体"/>
          <w:b/>
          <w:bCs/>
          <w:sz w:val="21"/>
          <w:szCs w:val="21"/>
        </w:rPr>
        <w:t>“高风险”</w:t>
      </w:r>
      <w:r>
        <w:rPr>
          <w:rFonts w:hint="eastAsia" w:ascii="宋体" w:hAnsi="宋体"/>
          <w:sz w:val="21"/>
          <w:szCs w:val="21"/>
        </w:rPr>
        <w:t>项。所有活动的合规审查结果均为“无风险”、“低风险”或“中风险”，没有一项活动触碰政策红线。这说明方案设计阶段的政策合规意识是充分的。</w:t>
      </w:r>
    </w:p>
    <w:p w14:paraId="756AB4BE">
      <w:pPr>
        <w:ind w:firstLine="420"/>
        <w:rPr>
          <w:rFonts w:hint="eastAsia" w:ascii="宋体" w:hAnsi="宋体"/>
          <w:sz w:val="21"/>
          <w:szCs w:val="21"/>
        </w:rPr>
      </w:pPr>
      <w:r>
        <w:rPr>
          <w:rFonts w:hint="eastAsia" w:ascii="宋体" w:hAnsi="宋体"/>
          <w:sz w:val="21"/>
          <w:szCs w:val="21"/>
        </w:rPr>
        <w:t>第二，</w:t>
      </w:r>
      <w:r>
        <w:rPr>
          <w:rFonts w:hint="eastAsia" w:ascii="宋体" w:hAnsi="宋体"/>
          <w:b/>
          <w:bCs/>
          <w:sz w:val="21"/>
          <w:szCs w:val="21"/>
        </w:rPr>
        <w:t>“中风险”项需重点管控</w:t>
      </w:r>
      <w:r>
        <w:rPr>
          <w:rFonts w:hint="eastAsia" w:ascii="宋体" w:hAnsi="宋体"/>
          <w:sz w:val="21"/>
          <w:szCs w:val="21"/>
        </w:rPr>
        <w:t>。露营活动、骑行赛事、音乐节/集市被评为“中风险”，不是因为它们不合规，而是因为它们的合规</w:t>
      </w:r>
      <w:r>
        <w:rPr>
          <w:rFonts w:hint="eastAsia" w:ascii="宋体" w:hAnsi="宋体"/>
          <w:b/>
          <w:bCs/>
          <w:sz w:val="21"/>
          <w:szCs w:val="21"/>
        </w:rPr>
        <w:t>依赖于严格的执行管控</w:t>
      </w:r>
      <w:r>
        <w:rPr>
          <w:rFonts w:hint="eastAsia" w:ascii="宋体" w:hAnsi="宋体"/>
          <w:sz w:val="21"/>
          <w:szCs w:val="21"/>
        </w:rPr>
        <w:t>——露营必须远离水库岸线、赛事必须做好垃圾清理、音乐节必须控制噪音。这些活动需要制定专项管控方案。</w:t>
      </w:r>
    </w:p>
    <w:p w14:paraId="19A4E16D">
      <w:pPr>
        <w:ind w:firstLine="420"/>
        <w:rPr>
          <w:rFonts w:hint="eastAsia" w:ascii="宋体" w:hAnsi="宋体"/>
          <w:sz w:val="21"/>
          <w:szCs w:val="21"/>
        </w:rPr>
      </w:pPr>
      <w:r>
        <w:rPr>
          <w:rFonts w:hint="eastAsia" w:ascii="宋体" w:hAnsi="宋体"/>
          <w:sz w:val="21"/>
          <w:szCs w:val="21"/>
        </w:rPr>
        <w:t>第三，</w:t>
      </w:r>
      <w:r>
        <w:rPr>
          <w:rFonts w:hint="eastAsia" w:ascii="宋体" w:hAnsi="宋体"/>
          <w:b/>
          <w:bCs/>
          <w:sz w:val="21"/>
          <w:szCs w:val="21"/>
        </w:rPr>
        <w:t>“可移动”是关键词</w:t>
      </w:r>
      <w:r>
        <w:rPr>
          <w:rFonts w:hint="eastAsia" w:ascii="宋体" w:hAnsi="宋体"/>
          <w:sz w:val="21"/>
          <w:szCs w:val="21"/>
        </w:rPr>
        <w:t>。本项目的合规策略核心是</w:t>
      </w:r>
      <w:r>
        <w:rPr>
          <w:rFonts w:hint="eastAsia" w:ascii="宋体" w:hAnsi="宋体"/>
          <w:b/>
          <w:bCs/>
          <w:sz w:val="21"/>
          <w:szCs w:val="21"/>
        </w:rPr>
        <w:t>“轻资产、可移动、可恢复”</w:t>
      </w:r>
      <w:r>
        <w:rPr>
          <w:rFonts w:hint="eastAsia" w:ascii="宋体" w:hAnsi="宋体"/>
          <w:sz w:val="21"/>
          <w:szCs w:val="21"/>
        </w:rPr>
        <w:t>——所有新增设施（标识牌、帐篷、售卖车）都是可移动的，所有临时活动都是可恢复场地的。这一策略确保在任何时候都不会触犯“新建永久性建筑”的红线。</w:t>
      </w:r>
      <w:r>
        <w:rPr>
          <w:rFonts w:ascii="宋体" w:hAnsi="宋体"/>
          <w:sz w:val="21"/>
          <w:szCs w:val="21"/>
        </w:rPr>
        <w:t>合规审查结论：无“高风险”项，所有活动均通过政策合规审查。露营活动和骑行赛事被评为“中风险”，需制定专项管控方案（露营远离岸线、赛事做好垃圾清理）。核心合规策略是“轻资产、可移动、可恢复”——所有新增设施均可移动，所有临时活动均可恢复场地。</w:t>
      </w:r>
    </w:p>
    <w:p w14:paraId="6568C493">
      <w:pPr>
        <w:ind w:firstLine="562"/>
        <w:rPr>
          <w:rFonts w:hint="eastAsia" w:ascii="宋体" w:hAnsi="宋体"/>
          <w:b/>
          <w:bCs/>
          <w:sz w:val="28"/>
          <w:szCs w:val="28"/>
        </w:rPr>
      </w:pPr>
      <w:r>
        <w:rPr>
          <w:rFonts w:ascii="宋体" w:hAnsi="宋体"/>
          <w:b/>
          <w:bCs/>
          <w:sz w:val="28"/>
          <w:szCs w:val="28"/>
        </w:rPr>
        <w:t>9.7 风险分析与应对措施</w:t>
      </w:r>
    </w:p>
    <w:p w14:paraId="7F4A1B28">
      <w:pPr>
        <w:ind w:firstLine="420"/>
        <w:rPr>
          <w:rFonts w:hint="eastAsia" w:ascii="宋体" w:hAnsi="宋体"/>
          <w:sz w:val="21"/>
          <w:szCs w:val="21"/>
        </w:rPr>
      </w:pPr>
      <w:r>
        <w:rPr>
          <w:rFonts w:hint="eastAsia" w:ascii="宋体" w:hAnsi="宋体"/>
          <w:sz w:val="21"/>
          <w:szCs w:val="21"/>
        </w:rPr>
        <w:t>团队针对本项目</w:t>
      </w:r>
      <w:r>
        <w:rPr>
          <w:rFonts w:ascii="宋体" w:hAnsi="宋体"/>
          <w:sz w:val="21"/>
          <w:szCs w:val="21"/>
        </w:rPr>
        <w:t>识别</w:t>
      </w:r>
      <w:r>
        <w:rPr>
          <w:rFonts w:hint="eastAsia" w:ascii="宋体" w:hAnsi="宋体"/>
          <w:sz w:val="21"/>
          <w:szCs w:val="21"/>
        </w:rPr>
        <w:t>了</w:t>
      </w:r>
      <w:r>
        <w:rPr>
          <w:rFonts w:ascii="宋体" w:hAnsi="宋体"/>
          <w:sz w:val="21"/>
          <w:szCs w:val="21"/>
        </w:rPr>
        <w:t>七类风险，</w:t>
      </w:r>
      <w:r>
        <w:rPr>
          <w:rFonts w:hint="eastAsia" w:ascii="宋体" w:hAnsi="宋体"/>
          <w:sz w:val="21"/>
          <w:szCs w:val="21"/>
        </w:rPr>
        <w:t>并</w:t>
      </w:r>
      <w:r>
        <w:rPr>
          <w:rFonts w:ascii="宋体" w:hAnsi="宋体"/>
          <w:sz w:val="21"/>
          <w:szCs w:val="21"/>
        </w:rPr>
        <w:t>评估等级</w:t>
      </w:r>
      <w:r>
        <w:rPr>
          <w:rFonts w:hint="eastAsia" w:ascii="宋体" w:hAnsi="宋体"/>
          <w:sz w:val="21"/>
          <w:szCs w:val="21"/>
        </w:rPr>
        <w:t>和</w:t>
      </w:r>
      <w:r>
        <w:rPr>
          <w:rFonts w:ascii="宋体" w:hAnsi="宋体"/>
          <w:sz w:val="21"/>
          <w:szCs w:val="21"/>
        </w:rPr>
        <w:t>制定应对措施。</w:t>
      </w:r>
    </w:p>
    <w:p w14:paraId="19E08533">
      <w:pPr>
        <w:ind w:firstLine="420"/>
        <w:rPr>
          <w:rFonts w:hint="eastAsia" w:ascii="宋体" w:hAnsi="宋体"/>
          <w:sz w:val="21"/>
          <w:szCs w:val="21"/>
        </w:rPr>
      </w:pPr>
      <w:r>
        <w:rPr>
          <w:rFonts w:ascii="宋体" w:hAnsi="宋体"/>
          <w:sz w:val="21"/>
          <w:szCs w:val="21"/>
        </w:rPr>
        <w:t>风险矩阵的核心发现：</w:t>
      </w:r>
    </w:p>
    <w:p w14:paraId="5562AAF3">
      <w:pPr>
        <w:ind w:firstLine="420"/>
        <w:rPr>
          <w:rFonts w:hint="eastAsia" w:ascii="宋体" w:hAnsi="宋体"/>
          <w:sz w:val="21"/>
          <w:szCs w:val="21"/>
        </w:rPr>
      </w:pPr>
      <w:r>
        <w:rPr>
          <w:rFonts w:ascii="宋体" w:hAnsi="宋体"/>
          <w:sz w:val="21"/>
          <w:szCs w:val="21"/>
        </w:rPr>
        <w:t>第一，</w:t>
      </w:r>
      <w:r>
        <w:rPr>
          <w:rFonts w:ascii="宋体" w:hAnsi="宋体"/>
          <w:b/>
          <w:bCs/>
          <w:sz w:val="21"/>
          <w:szCs w:val="21"/>
        </w:rPr>
        <w:t>四项“高风险”需重点布防</w:t>
      </w:r>
      <w:r>
        <w:rPr>
          <w:rFonts w:ascii="宋体" w:hAnsi="宋体"/>
          <w:sz w:val="21"/>
          <w:szCs w:val="21"/>
        </w:rPr>
        <w:t>。政策合规、市场、季节、运营交接四项被评为高风险（高影响×中/低概率）。其中政策合规和运营交接是“生死线”——前者决定项目能否合法存在，后者决定项目能否持续。这两项必须在项目启动阶段就建立管控机制。</w:t>
      </w:r>
    </w:p>
    <w:p w14:paraId="454519AC">
      <w:pPr>
        <w:ind w:firstLine="420"/>
        <w:rPr>
          <w:rFonts w:hint="eastAsia" w:ascii="宋体" w:hAnsi="宋体"/>
          <w:sz w:val="21"/>
          <w:szCs w:val="21"/>
        </w:rPr>
      </w:pPr>
      <w:r>
        <w:rPr>
          <w:rFonts w:ascii="宋体" w:hAnsi="宋体"/>
          <w:sz w:val="21"/>
          <w:szCs w:val="21"/>
        </w:rPr>
        <w:t>第二，</w:t>
      </w:r>
      <w:r>
        <w:rPr>
          <w:rFonts w:ascii="宋体" w:hAnsi="宋体"/>
          <w:b/>
          <w:bCs/>
          <w:sz w:val="21"/>
          <w:szCs w:val="21"/>
        </w:rPr>
        <w:t>季节风险的“四季对冲”策略</w:t>
      </w:r>
      <w:r>
        <w:rPr>
          <w:rFonts w:ascii="宋体" w:hAnsi="宋体"/>
          <w:sz w:val="21"/>
          <w:szCs w:val="21"/>
        </w:rPr>
        <w:t>。非樱桃季营收断档是传统采摘园的通病。本项目的应对不是简单的“多搞几个活动”，而是系统性的四季产品矩阵——秋季丰收节（9-10月）、冬季火炕+年货（11-2月）、春季樱花+认养（3-4月）。目标是第3年非樱桃季收入占比达到40%以上。</w:t>
      </w:r>
    </w:p>
    <w:p w14:paraId="06F6BCD2">
      <w:pPr>
        <w:ind w:firstLine="420"/>
        <w:rPr>
          <w:rFonts w:hint="eastAsia" w:ascii="宋体" w:hAnsi="宋体"/>
          <w:sz w:val="21"/>
          <w:szCs w:val="21"/>
        </w:rPr>
      </w:pPr>
      <w:r>
        <w:rPr>
          <w:rFonts w:ascii="宋体" w:hAnsi="宋体"/>
          <w:sz w:val="21"/>
          <w:szCs w:val="21"/>
        </w:rPr>
        <w:t>第三，</w:t>
      </w:r>
      <w:r>
        <w:rPr>
          <w:rFonts w:ascii="宋体" w:hAnsi="宋体"/>
          <w:b/>
          <w:bCs/>
          <w:sz w:val="21"/>
          <w:szCs w:val="21"/>
        </w:rPr>
        <w:t>运营交接风险的“三件套”</w:t>
      </w:r>
      <w:r>
        <w:rPr>
          <w:rFonts w:ascii="宋体" w:hAnsi="宋体"/>
          <w:sz w:val="21"/>
          <w:szCs w:val="21"/>
        </w:rPr>
        <w:t>。团队毕业后的运营交接是高校乡村振兴项目的共性难题。本项目的应对是“三件套”：运营手册（标准化流程）+ 数字平台（降低操作门槛）+ 乡村运营师（引入专业人才）。交接过渡期不少于3个月，确保“扶上马、送一程”。</w:t>
      </w:r>
    </w:p>
    <w:p w14:paraId="42B675E4">
      <w:pPr>
        <w:ind w:firstLine="420"/>
        <w:rPr>
          <w:rFonts w:hint="eastAsia" w:ascii="宋体" w:hAnsi="宋体"/>
          <w:sz w:val="21"/>
          <w:szCs w:val="21"/>
        </w:rPr>
      </w:pPr>
      <w:r>
        <w:rPr>
          <w:rFonts w:ascii="宋体" w:hAnsi="宋体"/>
          <w:sz w:val="21"/>
          <w:szCs w:val="21"/>
        </w:rPr>
        <w:t>第四，</w:t>
      </w:r>
      <w:r>
        <w:rPr>
          <w:rFonts w:ascii="宋体" w:hAnsi="宋体"/>
          <w:b/>
          <w:bCs/>
          <w:sz w:val="21"/>
          <w:szCs w:val="21"/>
        </w:rPr>
        <w:t>技术风险的“低成本高可用”策略</w:t>
      </w:r>
      <w:r>
        <w:rPr>
          <w:rFonts w:ascii="宋体" w:hAnsi="宋体"/>
          <w:sz w:val="21"/>
          <w:szCs w:val="21"/>
        </w:rPr>
        <w:t>。采用微信云开发架构，无需自建服务器，运维成本低至0.5万元/年，同时享受微信级的高可用保障。每日自动备份+2小时内应急恢复的预案确保数据安全。</w:t>
      </w:r>
    </w:p>
    <w:p w14:paraId="6CD58F1B">
      <w:pPr>
        <w:pStyle w:val="3"/>
        <w:bidi w:val="0"/>
      </w:pPr>
      <w:bookmarkStart w:id="168" w:name="_Toc20109"/>
      <w:r>
        <w:t>9.8 村委会最小投入原则核查表</w:t>
      </w:r>
      <w:bookmarkEnd w:id="168"/>
    </w:p>
    <w:p w14:paraId="57DFF27F">
      <w:pPr>
        <w:ind w:firstLine="440"/>
      </w:pPr>
      <w:r>
        <w:rPr>
          <w:rFonts w:ascii="宋体" w:hAnsi="宋体"/>
          <w:sz w:val="22"/>
        </w:rPr>
        <w:t>在水源保护区政策硬约束与村集体低投入高产出的真实诉求下,本项目对所有新增业务模块的投入来源进行逐项核查,回答评委可能提出的'这笔钱从哪里来'问题,确保每一项设计都能真正落地。</w:t>
      </w:r>
    </w:p>
    <w:p w14:paraId="4566DD5C">
      <w:pPr>
        <w:ind w:firstLine="440"/>
      </w:pPr>
      <w:r>
        <w:rPr>
          <w:rFonts w:ascii="宋体" w:hAnsi="宋体"/>
          <w:sz w:val="22"/>
        </w:rPr>
        <w:t>九项核查</w:t>
      </w:r>
      <w:r>
        <w:rPr>
          <w:rFonts w:hint="eastAsia" w:ascii="宋体" w:hAnsi="宋体"/>
          <w:sz w:val="22"/>
        </w:rPr>
        <w:t>表</w:t>
      </w:r>
      <w:r>
        <w:rPr>
          <w:rFonts w:ascii="宋体" w:hAnsi="宋体"/>
          <w:sz w:val="22"/>
        </w:rPr>
        <w:t>明确回答了钱从哪里来的问题:所有新增模块的投入要么由外部主体承担、要么由用户付费覆盖、要么由既有专项资金消化、要么由团队竞赛期过渡提供。村委会在项目全周期内不需要新增现金支出,也不承担额外的经营责任,这是项目在村集体最小投入约束下的底层设计。</w:t>
      </w:r>
    </w:p>
    <w:p w14:paraId="366F78F8">
      <w:pPr>
        <w:ind w:firstLine="420"/>
        <w:rPr>
          <w:rFonts w:hint="eastAsia" w:ascii="宋体" w:hAnsi="宋体"/>
          <w:sz w:val="21"/>
          <w:szCs w:val="21"/>
        </w:rPr>
      </w:pPr>
    </w:p>
    <w:p w14:paraId="69F63B36">
      <w:pPr>
        <w:ind w:firstLine="420"/>
        <w:rPr>
          <w:rFonts w:hint="eastAsia" w:ascii="宋体" w:hAnsi="宋体"/>
          <w:sz w:val="21"/>
          <w:szCs w:val="21"/>
        </w:rPr>
      </w:pPr>
    </w:p>
    <w:p w14:paraId="08D7F71A">
      <w:pPr>
        <w:ind w:firstLine="420"/>
        <w:jc w:val="center"/>
      </w:pPr>
      <w:r>
        <w:rPr>
          <w:rFonts w:hint="eastAsia" w:ascii="宋体" w:hAnsi="宋体"/>
          <w:sz w:val="21"/>
          <w:szCs w:val="21"/>
        </w:rPr>
        <w:t xml:space="preserve">  </w:t>
      </w:r>
    </w:p>
    <w:p w14:paraId="24652C95">
      <w:pPr>
        <w:ind w:firstLine="480"/>
      </w:pPr>
    </w:p>
    <w:p w14:paraId="06BD775F">
      <w:pPr>
        <w:ind w:firstLine="480"/>
      </w:pPr>
    </w:p>
    <w:p w14:paraId="39459F99">
      <w:pPr>
        <w:ind w:firstLine="480"/>
      </w:pPr>
    </w:p>
    <w:p w14:paraId="4582451B">
      <w:pPr>
        <w:ind w:firstLine="480"/>
      </w:pPr>
    </w:p>
    <w:p w14:paraId="6F2BCBBF">
      <w:pPr>
        <w:ind w:firstLine="480"/>
        <w:rPr>
          <w:rFonts w:hint="eastAsia"/>
        </w:rPr>
      </w:pPr>
    </w:p>
    <w:p w14:paraId="69A28B9A">
      <w:pPr>
        <w:ind w:firstLine="480"/>
      </w:pPr>
    </w:p>
    <w:p w14:paraId="48F78401">
      <w:pPr>
        <w:pStyle w:val="2"/>
        <w:jc w:val="center"/>
        <w:rPr>
          <w:sz w:val="32"/>
          <w:szCs w:val="32"/>
        </w:rPr>
      </w:pPr>
    </w:p>
    <w:p w14:paraId="28F685E1">
      <w:pPr>
        <w:pStyle w:val="2"/>
        <w:bidi w:val="0"/>
      </w:pPr>
      <w:bookmarkStart w:id="169" w:name="_Toc95"/>
      <w:r>
        <w:t>第十章 财务分析与效益评估</w:t>
      </w:r>
      <w:bookmarkEnd w:id="169"/>
    </w:p>
    <w:p w14:paraId="4D2E9152">
      <w:pPr>
        <w:ind w:firstLine="480"/>
      </w:pPr>
      <w:r>
        <w:rPr>
          <w:rFonts w:hint="eastAsia"/>
        </w:rPr>
        <w:t>本章是方案可行性论证的核心。基于杨家东庄村“经济薄弱村、政府资金支持极少、村委会要求低成本可盈利”的现实约束，团队首先明确财务测算的基本假设——</w:t>
      </w:r>
      <w:r>
        <w:rPr>
          <w:rFonts w:hint="eastAsia"/>
          <w:b/>
          <w:bCs/>
        </w:rPr>
        <w:t>所有假设均来源于实地调研数据</w:t>
      </w:r>
      <w:r>
        <w:rPr>
          <w:rFonts w:hint="eastAsia"/>
        </w:rPr>
        <w:t>，然后逐项拆解投入成本和收入来源，建立三年财务预测模型，并通过盈亏平衡分析和敏感性分析验证方案的财务稳健性，最后从经济、社会、生态三个维度评估项目的综合效益。本章主要贯穿一个核心判断：在“</w:t>
      </w:r>
      <w:r>
        <w:rPr>
          <w:rFonts w:hint="eastAsia"/>
          <w:b/>
          <w:bCs/>
        </w:rPr>
        <w:t>村不经营、组织变现”的运营逻辑</w:t>
      </w:r>
      <w:r>
        <w:rPr>
          <w:rFonts w:hint="eastAsia"/>
        </w:rPr>
        <w:t>下，村集体以</w:t>
      </w:r>
      <w:r>
        <w:rPr>
          <w:rFonts w:hint="eastAsia"/>
          <w:b/>
          <w:bCs/>
        </w:rPr>
        <w:t>资产出租、组织召集、品牌授权三种方式</w:t>
      </w:r>
      <w:r>
        <w:rPr>
          <w:rFonts w:hint="eastAsia"/>
        </w:rPr>
        <w:t>参与收益分配，无需新增经营主体和现金投入，即可实现从2025年约20万元到第三年超300万元的收入跃升。</w:t>
      </w:r>
    </w:p>
    <w:p w14:paraId="6FA39C41">
      <w:pPr>
        <w:pStyle w:val="3"/>
        <w:bidi w:val="0"/>
      </w:pPr>
      <w:bookmarkStart w:id="170" w:name="_Toc20347"/>
      <w:r>
        <w:t>10.1 财务测算基本假设</w:t>
      </w:r>
      <w:bookmarkEnd w:id="170"/>
    </w:p>
    <w:p w14:paraId="72AE4E50">
      <w:pPr>
        <w:ind w:firstLine="480"/>
      </w:pPr>
      <w:r>
        <w:t>本财务模型</w:t>
      </w:r>
      <w:r>
        <w:rPr>
          <w:rFonts w:hint="eastAsia"/>
        </w:rPr>
        <w:t>主要</w:t>
      </w:r>
      <w:r>
        <w:t>基于以下核心假设，所有假设均有实地调研数据支撑或合理推演依据。需特别说明的是，</w:t>
      </w:r>
      <w:r>
        <w:rPr>
          <w:rFonts w:hint="eastAsia"/>
        </w:rPr>
        <w:t>因</w:t>
      </w:r>
      <w:r>
        <w:t>受一级水源保护区政策硬约束，本项目的收入结构</w:t>
      </w:r>
      <w:r>
        <w:rPr>
          <w:b/>
          <w:bCs/>
        </w:rPr>
        <w:t>不以扩大种植面积或新建商业设施为前提</w:t>
      </w:r>
      <w:r>
        <w:t>，而是通过品牌溢价、认养订阅、联盟分润、林菌补充四条路径实现增收。</w:t>
      </w:r>
    </w:p>
    <w:p w14:paraId="23FF5810">
      <w:pPr>
        <w:pStyle w:val="6"/>
        <w:ind w:firstLine="400"/>
      </w:pPr>
      <w:r>
        <w:t>表10-1 财务测算基本假设</w:t>
      </w:r>
    </w:p>
    <w:tbl>
      <w:tblPr>
        <w:tblStyle w:val="29"/>
        <w:tblW w:w="5260" w:type="pct"/>
        <w:tblInd w:w="0" w:type="dxa"/>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6"/>
        <w:gridCol w:w="3738"/>
        <w:gridCol w:w="3151"/>
      </w:tblGrid>
      <w:tr w14:paraId="5449CD08">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158" w:type="pct"/>
            <w:tcBorders>
              <w:bottom w:val="single" w:color="auto" w:sz="12" w:space="0"/>
            </w:tcBorders>
            <w:vAlign w:val="center"/>
          </w:tcPr>
          <w:p w14:paraId="15E2212D">
            <w:pPr>
              <w:ind w:firstLine="0" w:firstLineChars="0"/>
              <w:jc w:val="center"/>
              <w:rPr>
                <w:b/>
                <w:bCs/>
              </w:rPr>
            </w:pPr>
            <w:r>
              <w:rPr>
                <w:b/>
                <w:bCs/>
              </w:rPr>
              <w:t>假设项目</w:t>
            </w:r>
          </w:p>
        </w:tc>
        <w:tc>
          <w:tcPr>
            <w:tcW w:w="2085" w:type="pct"/>
            <w:tcBorders>
              <w:bottom w:val="single" w:color="auto" w:sz="12" w:space="0"/>
            </w:tcBorders>
            <w:vAlign w:val="center"/>
          </w:tcPr>
          <w:p w14:paraId="1F1F7A24">
            <w:pPr>
              <w:ind w:firstLine="0" w:firstLineChars="0"/>
              <w:jc w:val="center"/>
              <w:rPr>
                <w:b/>
                <w:bCs/>
              </w:rPr>
            </w:pPr>
            <w:r>
              <w:rPr>
                <w:b/>
                <w:bCs/>
              </w:rPr>
              <w:t>假设值</w:t>
            </w:r>
          </w:p>
        </w:tc>
        <w:tc>
          <w:tcPr>
            <w:tcW w:w="1757" w:type="pct"/>
            <w:tcBorders>
              <w:bottom w:val="single" w:color="auto" w:sz="12" w:space="0"/>
            </w:tcBorders>
            <w:vAlign w:val="center"/>
          </w:tcPr>
          <w:p w14:paraId="159D72CD">
            <w:pPr>
              <w:ind w:firstLine="0" w:firstLineChars="0"/>
              <w:jc w:val="center"/>
              <w:rPr>
                <w:b/>
                <w:bCs/>
              </w:rPr>
            </w:pPr>
            <w:r>
              <w:rPr>
                <w:b/>
                <w:bCs/>
              </w:rPr>
              <w:t>数据来源/推演依据</w:t>
            </w:r>
          </w:p>
        </w:tc>
      </w:tr>
      <w:tr w14:paraId="10CCA22D">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158" w:type="pct"/>
            <w:tcBorders>
              <w:top w:val="single" w:color="auto" w:sz="12" w:space="0"/>
            </w:tcBorders>
            <w:vAlign w:val="center"/>
          </w:tcPr>
          <w:p w14:paraId="2E4B8C57">
            <w:pPr>
              <w:ind w:firstLine="0" w:firstLineChars="0"/>
              <w:jc w:val="center"/>
            </w:pPr>
            <w:r>
              <w:t>樱桃种植面积</w:t>
            </w:r>
          </w:p>
        </w:tc>
        <w:tc>
          <w:tcPr>
            <w:tcW w:w="2085" w:type="pct"/>
            <w:tcBorders>
              <w:top w:val="single" w:color="auto" w:sz="12" w:space="0"/>
            </w:tcBorders>
            <w:vAlign w:val="center"/>
          </w:tcPr>
          <w:p w14:paraId="2353B6AE">
            <w:pPr>
              <w:ind w:firstLine="0" w:firstLineChars="0"/>
              <w:jc w:val="center"/>
            </w:pPr>
            <w:r>
              <w:t>60—70亩（原150亩，因水库蓄水淹没五六十亩）</w:t>
            </w:r>
          </w:p>
        </w:tc>
        <w:tc>
          <w:tcPr>
            <w:tcW w:w="1757" w:type="pct"/>
            <w:tcBorders>
              <w:top w:val="single" w:color="auto" w:sz="12" w:space="0"/>
            </w:tcBorders>
            <w:vAlign w:val="center"/>
          </w:tcPr>
          <w:p w14:paraId="5D93F937">
            <w:pPr>
              <w:ind w:firstLine="0" w:firstLineChars="0"/>
              <w:jc w:val="center"/>
            </w:pPr>
            <w:r>
              <w:t>村委会实地沟通+调研影像确认</w:t>
            </w:r>
          </w:p>
        </w:tc>
      </w:tr>
      <w:tr w14:paraId="384B8862">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158" w:type="pct"/>
            <w:vAlign w:val="center"/>
          </w:tcPr>
          <w:p w14:paraId="1576611B">
            <w:pPr>
              <w:ind w:firstLine="0" w:firstLineChars="0"/>
              <w:jc w:val="center"/>
            </w:pPr>
            <w:r>
              <w:t>樱桃树数量</w:t>
            </w:r>
          </w:p>
        </w:tc>
        <w:tc>
          <w:tcPr>
            <w:tcW w:w="2085" w:type="pct"/>
            <w:vAlign w:val="center"/>
          </w:tcPr>
          <w:p w14:paraId="79780A98">
            <w:pPr>
              <w:ind w:firstLine="0" w:firstLineChars="0"/>
              <w:jc w:val="center"/>
            </w:pPr>
            <w:r>
              <w:t>约4000棵，多为2008年以来种植的老树</w:t>
            </w:r>
          </w:p>
        </w:tc>
        <w:tc>
          <w:tcPr>
            <w:tcW w:w="1757" w:type="pct"/>
            <w:vAlign w:val="center"/>
          </w:tcPr>
          <w:p w14:paraId="0D3B557E">
            <w:pPr>
              <w:ind w:firstLine="0" w:firstLineChars="0"/>
              <w:jc w:val="center"/>
            </w:pPr>
            <w:r>
              <w:t>村委会访谈</w:t>
            </w:r>
          </w:p>
        </w:tc>
      </w:tr>
      <w:tr w14:paraId="1E8F3066">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158" w:type="pct"/>
            <w:vAlign w:val="center"/>
          </w:tcPr>
          <w:p w14:paraId="44BBE7A0">
            <w:pPr>
              <w:ind w:firstLine="0" w:firstLineChars="0"/>
              <w:jc w:val="center"/>
            </w:pPr>
            <w:r>
              <w:t>当前实际亩产</w:t>
            </w:r>
          </w:p>
        </w:tc>
        <w:tc>
          <w:tcPr>
            <w:tcW w:w="2085" w:type="pct"/>
            <w:vAlign w:val="center"/>
          </w:tcPr>
          <w:p w14:paraId="77B1BEA9">
            <w:pPr>
              <w:ind w:firstLine="0" w:firstLineChars="0"/>
              <w:jc w:val="center"/>
            </w:pPr>
            <w:r>
              <w:t>约500—550公斤/亩（老树产量呈下降趋势）</w:t>
            </w:r>
          </w:p>
        </w:tc>
        <w:tc>
          <w:tcPr>
            <w:tcW w:w="1757" w:type="pct"/>
            <w:vAlign w:val="center"/>
          </w:tcPr>
          <w:p w14:paraId="78EC5BEB">
            <w:pPr>
              <w:ind w:firstLine="0" w:firstLineChars="0"/>
              <w:jc w:val="center"/>
            </w:pPr>
            <w:r>
              <w:t>2025年实际产出约20万元反推+村委会反馈</w:t>
            </w:r>
          </w:p>
        </w:tc>
      </w:tr>
      <w:tr w14:paraId="75EB1C6E">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158" w:type="pct"/>
            <w:vAlign w:val="center"/>
          </w:tcPr>
          <w:p w14:paraId="76406D6D">
            <w:pPr>
              <w:ind w:firstLine="0" w:firstLineChars="0"/>
              <w:jc w:val="center"/>
            </w:pPr>
            <w:r>
              <w:t>产量年改善目标</w:t>
            </w:r>
          </w:p>
        </w:tc>
        <w:tc>
          <w:tcPr>
            <w:tcW w:w="2085" w:type="pct"/>
            <w:vAlign w:val="center"/>
          </w:tcPr>
          <w:p w14:paraId="20B2ED87">
            <w:pPr>
              <w:ind w:firstLine="0" w:firstLineChars="0"/>
              <w:jc w:val="center"/>
            </w:pPr>
            <w:r>
              <w:t>Y1:550→Y2:600→Y3:650公斤/亩（提质增效，不扩面积）</w:t>
            </w:r>
          </w:p>
        </w:tc>
        <w:tc>
          <w:tcPr>
            <w:tcW w:w="1757" w:type="pct"/>
            <w:vAlign w:val="center"/>
          </w:tcPr>
          <w:p w14:paraId="0B4F227F">
            <w:pPr>
              <w:ind w:firstLine="0" w:firstLineChars="0"/>
              <w:jc w:val="center"/>
            </w:pPr>
            <w:r>
              <w:t>对接农科院防冻技术+科学管护</w:t>
            </w:r>
          </w:p>
        </w:tc>
      </w:tr>
      <w:tr w14:paraId="7E861757">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158" w:type="pct"/>
            <w:vAlign w:val="center"/>
          </w:tcPr>
          <w:p w14:paraId="57AE8DF0">
            <w:pPr>
              <w:ind w:firstLine="0" w:firstLineChars="0"/>
              <w:jc w:val="center"/>
            </w:pPr>
            <w:r>
              <w:t>滞销率</w:t>
            </w:r>
          </w:p>
        </w:tc>
        <w:tc>
          <w:tcPr>
            <w:tcW w:w="2085" w:type="pct"/>
            <w:vAlign w:val="center"/>
          </w:tcPr>
          <w:p w14:paraId="5E881244">
            <w:pPr>
              <w:ind w:firstLine="0" w:firstLineChars="0"/>
              <w:jc w:val="center"/>
            </w:pPr>
            <w:r>
              <w:t>历史数据约0%（当天采完），但售价偏低</w:t>
            </w:r>
          </w:p>
        </w:tc>
        <w:tc>
          <w:tcPr>
            <w:tcW w:w="1757" w:type="pct"/>
            <w:vAlign w:val="center"/>
          </w:tcPr>
          <w:p w14:paraId="2531B1FE">
            <w:pPr>
              <w:ind w:firstLine="0" w:firstLineChars="0"/>
              <w:jc w:val="center"/>
            </w:pPr>
            <w:r>
              <w:t>村委会访谈——核心问题不是滞销而是单价低</w:t>
            </w:r>
          </w:p>
        </w:tc>
      </w:tr>
      <w:tr w14:paraId="785EF791">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158" w:type="pct"/>
            <w:vAlign w:val="center"/>
          </w:tcPr>
          <w:p w14:paraId="354C0F85">
            <w:pPr>
              <w:ind w:firstLine="0" w:firstLineChars="0"/>
              <w:jc w:val="center"/>
            </w:pPr>
            <w:r>
              <w:t>鲜果均价</w:t>
            </w:r>
          </w:p>
          <w:p w14:paraId="793A5C0A">
            <w:pPr>
              <w:ind w:firstLine="0" w:firstLineChars="0"/>
              <w:jc w:val="center"/>
            </w:pPr>
            <w:r>
              <w:t>（品牌化前）</w:t>
            </w:r>
          </w:p>
        </w:tc>
        <w:tc>
          <w:tcPr>
            <w:tcW w:w="2085" w:type="pct"/>
            <w:vAlign w:val="center"/>
          </w:tcPr>
          <w:p w14:paraId="4EE9DA27">
            <w:pPr>
              <w:ind w:firstLine="0" w:firstLineChars="0"/>
              <w:jc w:val="center"/>
            </w:pPr>
            <w:r>
              <w:t>约16—20元/公斤（2025年实际水平）</w:t>
            </w:r>
          </w:p>
        </w:tc>
        <w:tc>
          <w:tcPr>
            <w:tcW w:w="1757" w:type="pct"/>
            <w:vAlign w:val="center"/>
          </w:tcPr>
          <w:p w14:paraId="7C62E102">
            <w:pPr>
              <w:ind w:firstLine="0" w:firstLineChars="0"/>
              <w:jc w:val="center"/>
            </w:pPr>
            <w:r>
              <w:t>2025年销售额约20万元÷约1.1万公斤可售量</w:t>
            </w:r>
          </w:p>
        </w:tc>
      </w:tr>
      <w:tr w14:paraId="449DF8C4">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158" w:type="pct"/>
            <w:vAlign w:val="center"/>
          </w:tcPr>
          <w:p w14:paraId="2D5A2F75">
            <w:pPr>
              <w:ind w:firstLine="0" w:firstLineChars="0"/>
              <w:jc w:val="center"/>
            </w:pPr>
            <w:r>
              <w:t>鲜果均价</w:t>
            </w:r>
          </w:p>
          <w:p w14:paraId="6E4C80F7">
            <w:pPr>
              <w:ind w:firstLine="0" w:firstLineChars="0"/>
              <w:jc w:val="center"/>
            </w:pPr>
            <w:r>
              <w:t>（品牌化后）</w:t>
            </w:r>
          </w:p>
        </w:tc>
        <w:tc>
          <w:tcPr>
            <w:tcW w:w="2085" w:type="pct"/>
            <w:vAlign w:val="center"/>
          </w:tcPr>
          <w:p w14:paraId="07FC7759">
            <w:pPr>
              <w:ind w:firstLine="0" w:firstLineChars="0"/>
              <w:jc w:val="center"/>
            </w:pPr>
            <w:r>
              <w:t>Y1:22→Y2:28→Y3:32元/公斤</w:t>
            </w:r>
          </w:p>
        </w:tc>
        <w:tc>
          <w:tcPr>
            <w:tcW w:w="1757" w:type="pct"/>
            <w:vAlign w:val="center"/>
          </w:tcPr>
          <w:p w14:paraId="7B7B4F4B">
            <w:pPr>
              <w:ind w:firstLine="0" w:firstLineChars="0"/>
              <w:jc w:val="center"/>
            </w:pPr>
            <w:r>
              <w:t>品牌溢价+产品分级+认养锁定（参考同类品牌30—50%溢价）</w:t>
            </w:r>
          </w:p>
        </w:tc>
      </w:tr>
      <w:tr w14:paraId="273FA3B1">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158" w:type="pct"/>
            <w:vAlign w:val="center"/>
          </w:tcPr>
          <w:p w14:paraId="7B5D4F3E">
            <w:pPr>
              <w:ind w:firstLine="0" w:firstLineChars="0"/>
              <w:jc w:val="center"/>
            </w:pPr>
            <w:r>
              <w:t>年游客量</w:t>
            </w:r>
          </w:p>
        </w:tc>
        <w:tc>
          <w:tcPr>
            <w:tcW w:w="2085" w:type="pct"/>
            <w:vAlign w:val="center"/>
          </w:tcPr>
          <w:p w14:paraId="45B5E7C6">
            <w:pPr>
              <w:ind w:firstLine="0" w:firstLineChars="0"/>
              <w:jc w:val="center"/>
            </w:pPr>
            <w:r>
              <w:t>Y1:0.8万→Y2:1.5万→Y3:2万人次</w:t>
            </w:r>
          </w:p>
        </w:tc>
        <w:tc>
          <w:tcPr>
            <w:tcW w:w="1757" w:type="pct"/>
            <w:vAlign w:val="center"/>
          </w:tcPr>
          <w:p w14:paraId="6E896048">
            <w:pPr>
              <w:ind w:firstLine="0" w:firstLineChars="0"/>
              <w:jc w:val="center"/>
            </w:pPr>
            <w:r>
              <w:t>骑行引流+内容营销+口碑积累（保守测算，见6.8）</w:t>
            </w:r>
          </w:p>
        </w:tc>
      </w:tr>
      <w:tr w14:paraId="1B072860">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158" w:type="pct"/>
            <w:vAlign w:val="center"/>
          </w:tcPr>
          <w:p w14:paraId="4F7788C1">
            <w:pPr>
              <w:ind w:firstLine="0" w:firstLineChars="0"/>
              <w:jc w:val="center"/>
            </w:pPr>
            <w:r>
              <w:t>骑行过境驻留转化率</w:t>
            </w:r>
          </w:p>
        </w:tc>
        <w:tc>
          <w:tcPr>
            <w:tcW w:w="2085" w:type="pct"/>
            <w:vAlign w:val="center"/>
          </w:tcPr>
          <w:p w14:paraId="37C62A95">
            <w:pPr>
              <w:ind w:firstLine="0" w:firstLineChars="0"/>
              <w:jc w:val="center"/>
            </w:pPr>
            <w:r>
              <w:t>15%—25%</w:t>
            </w:r>
          </w:p>
        </w:tc>
        <w:tc>
          <w:tcPr>
            <w:tcW w:w="1757" w:type="pct"/>
            <w:vAlign w:val="center"/>
          </w:tcPr>
          <w:p w14:paraId="485C6122">
            <w:pPr>
              <w:ind w:firstLine="0" w:firstLineChars="0"/>
              <w:jc w:val="center"/>
            </w:pPr>
            <w:r>
              <w:t>驿站截流+打卡激励+联盟路线设计</w:t>
            </w:r>
          </w:p>
        </w:tc>
      </w:tr>
      <w:tr w14:paraId="50A7BDDD">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158" w:type="pct"/>
            <w:vAlign w:val="center"/>
          </w:tcPr>
          <w:p w14:paraId="7CA4A83D">
            <w:pPr>
              <w:ind w:firstLine="0" w:firstLineChars="0"/>
              <w:jc w:val="center"/>
            </w:pPr>
            <w:r>
              <w:t>认养计划规模</w:t>
            </w:r>
          </w:p>
        </w:tc>
        <w:tc>
          <w:tcPr>
            <w:tcW w:w="2085" w:type="pct"/>
            <w:vAlign w:val="center"/>
          </w:tcPr>
          <w:p w14:paraId="53D7234C">
            <w:pPr>
              <w:ind w:firstLine="0" w:firstLineChars="0"/>
              <w:jc w:val="center"/>
            </w:pPr>
            <w:r>
              <w:t>Y1:80棵→Y2:250棵→Y3:450棵</w:t>
            </w:r>
          </w:p>
        </w:tc>
        <w:tc>
          <w:tcPr>
            <w:tcW w:w="1757" w:type="pct"/>
            <w:vAlign w:val="center"/>
          </w:tcPr>
          <w:p w14:paraId="7F71ED40">
            <w:pPr>
              <w:ind w:firstLine="0" w:firstLineChars="0"/>
              <w:jc w:val="center"/>
            </w:pPr>
            <w:r>
              <w:t>分阶段推广+续费积累（详见5.3.7）</w:t>
            </w:r>
          </w:p>
        </w:tc>
      </w:tr>
      <w:tr w14:paraId="42C940EF">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158" w:type="pct"/>
            <w:vAlign w:val="center"/>
          </w:tcPr>
          <w:p w14:paraId="4E2BACD0">
            <w:pPr>
              <w:ind w:firstLine="0" w:firstLineChars="0"/>
              <w:jc w:val="center"/>
            </w:pPr>
            <w:r>
              <w:t>认养平均客单价（含增值包）</w:t>
            </w:r>
          </w:p>
        </w:tc>
        <w:tc>
          <w:tcPr>
            <w:tcW w:w="2085" w:type="pct"/>
            <w:vAlign w:val="center"/>
          </w:tcPr>
          <w:p w14:paraId="7C91861E">
            <w:pPr>
              <w:ind w:firstLine="0" w:firstLineChars="0"/>
              <w:jc w:val="center"/>
            </w:pPr>
            <w:r>
              <w:t>Y1:1200→Y2:1500→Y3:1800元/棵·年</w:t>
            </w:r>
          </w:p>
        </w:tc>
        <w:tc>
          <w:tcPr>
            <w:tcW w:w="1757" w:type="pct"/>
            <w:vAlign w:val="center"/>
          </w:tcPr>
          <w:p w14:paraId="75D335F0">
            <w:pPr>
              <w:ind w:firstLine="0" w:firstLineChars="0"/>
              <w:jc w:val="center"/>
            </w:pPr>
            <w:r>
              <w:t>三档定价+互动增值包+续费升档</w:t>
            </w:r>
          </w:p>
        </w:tc>
      </w:tr>
      <w:tr w14:paraId="31B7CCAF">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158" w:type="pct"/>
            <w:vAlign w:val="center"/>
          </w:tcPr>
          <w:p w14:paraId="003D6FD5">
            <w:pPr>
              <w:ind w:firstLine="0" w:firstLineChars="0"/>
              <w:jc w:val="center"/>
            </w:pPr>
            <w:r>
              <w:t>水源林菌</w:t>
            </w:r>
          </w:p>
          <w:p w14:paraId="3DCCD755">
            <w:pPr>
              <w:ind w:firstLine="0" w:firstLineChars="0"/>
              <w:jc w:val="center"/>
            </w:pPr>
            <w:r>
              <w:t>试种面积</w:t>
            </w:r>
          </w:p>
        </w:tc>
        <w:tc>
          <w:tcPr>
            <w:tcW w:w="2085" w:type="pct"/>
            <w:vAlign w:val="center"/>
          </w:tcPr>
          <w:p w14:paraId="766DAECB">
            <w:pPr>
              <w:ind w:firstLine="0" w:firstLineChars="0"/>
              <w:jc w:val="center"/>
            </w:pPr>
            <w:r>
              <w:t>Y1:10—15亩→Y2:25—35亩→Y3:40—55亩</w:t>
            </w:r>
          </w:p>
        </w:tc>
        <w:tc>
          <w:tcPr>
            <w:tcW w:w="1757" w:type="pct"/>
            <w:vAlign w:val="center"/>
          </w:tcPr>
          <w:p w14:paraId="68D7968F">
            <w:pPr>
              <w:ind w:firstLine="0" w:firstLineChars="0"/>
              <w:jc w:val="center"/>
            </w:pPr>
            <w:r>
              <w:t>村委会林下经济专项资金已到位（实地调研确认）</w:t>
            </w:r>
          </w:p>
        </w:tc>
      </w:tr>
      <w:tr w14:paraId="1801546F">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158" w:type="pct"/>
            <w:vAlign w:val="center"/>
          </w:tcPr>
          <w:p w14:paraId="73341C27">
            <w:pPr>
              <w:ind w:firstLine="0" w:firstLineChars="0"/>
              <w:jc w:val="center"/>
            </w:pPr>
            <w:r>
              <w:t>无人驿站数量</w:t>
            </w:r>
          </w:p>
        </w:tc>
        <w:tc>
          <w:tcPr>
            <w:tcW w:w="2085" w:type="pct"/>
            <w:vAlign w:val="center"/>
          </w:tcPr>
          <w:p w14:paraId="3129086B">
            <w:pPr>
              <w:ind w:firstLine="0" w:firstLineChars="0"/>
              <w:jc w:val="center"/>
            </w:pPr>
            <w:r>
              <w:t>Y1:1点→Y2:2点→Y3:3点</w:t>
            </w:r>
          </w:p>
        </w:tc>
        <w:tc>
          <w:tcPr>
            <w:tcW w:w="1757" w:type="pct"/>
            <w:vAlign w:val="center"/>
          </w:tcPr>
          <w:p w14:paraId="0E34BB47">
            <w:pPr>
              <w:ind w:firstLine="0" w:firstLineChars="0"/>
              <w:jc w:val="center"/>
            </w:pPr>
            <w:r>
              <w:t>外部运营商承担设备，村委会仅出场地</w:t>
            </w:r>
          </w:p>
        </w:tc>
      </w:tr>
      <w:tr w14:paraId="048370C6">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158" w:type="pct"/>
            <w:vAlign w:val="center"/>
          </w:tcPr>
          <w:p w14:paraId="0610DE4D">
            <w:pPr>
              <w:ind w:firstLine="0" w:firstLineChars="0"/>
              <w:jc w:val="center"/>
            </w:pPr>
            <w:r>
              <w:t>骑行联盟加盟村数量</w:t>
            </w:r>
          </w:p>
        </w:tc>
        <w:tc>
          <w:tcPr>
            <w:tcW w:w="2085" w:type="pct"/>
            <w:vAlign w:val="center"/>
          </w:tcPr>
          <w:p w14:paraId="502CD762">
            <w:pPr>
              <w:ind w:firstLine="0" w:firstLineChars="0"/>
              <w:jc w:val="center"/>
            </w:pPr>
            <w:r>
              <w:t>Y1:2村（铠甲村试点）→Y2:3村→Y3:4—5村</w:t>
            </w:r>
          </w:p>
        </w:tc>
        <w:tc>
          <w:tcPr>
            <w:tcW w:w="1757" w:type="pct"/>
            <w:vAlign w:val="center"/>
          </w:tcPr>
          <w:p w14:paraId="634FB945">
            <w:pPr>
              <w:ind w:firstLine="0" w:firstLineChars="0"/>
              <w:jc w:val="center"/>
            </w:pPr>
            <w:r>
              <w:t>双村试点→北片全域（详见6.9.4）</w:t>
            </w:r>
          </w:p>
        </w:tc>
      </w:tr>
      <w:tr w14:paraId="5FB4D59B">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158" w:type="pct"/>
            <w:vAlign w:val="center"/>
          </w:tcPr>
          <w:p w14:paraId="418A1433">
            <w:pPr>
              <w:ind w:firstLine="0" w:firstLineChars="0"/>
              <w:jc w:val="center"/>
            </w:pPr>
            <w:r>
              <w:t>品牌授权代工</w:t>
            </w:r>
          </w:p>
        </w:tc>
        <w:tc>
          <w:tcPr>
            <w:tcW w:w="2085" w:type="pct"/>
            <w:vAlign w:val="center"/>
          </w:tcPr>
          <w:p w14:paraId="6935D22D">
            <w:pPr>
              <w:ind w:firstLine="0" w:firstLineChars="0"/>
              <w:jc w:val="center"/>
            </w:pPr>
            <w:r>
              <w:t>Y1:试产→Y2-Y3:放量</w:t>
            </w:r>
          </w:p>
        </w:tc>
        <w:tc>
          <w:tcPr>
            <w:tcW w:w="1757" w:type="pct"/>
            <w:vAlign w:val="center"/>
          </w:tcPr>
          <w:p w14:paraId="50CCE688">
            <w:pPr>
              <w:ind w:firstLine="0" w:firstLineChars="0"/>
              <w:jc w:val="center"/>
            </w:pPr>
            <w:r>
              <w:t>外部食品代工厂合作，村集体收授权费</w:t>
            </w:r>
          </w:p>
        </w:tc>
      </w:tr>
      <w:tr w14:paraId="74EFC403">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158" w:type="pct"/>
            <w:vAlign w:val="center"/>
          </w:tcPr>
          <w:p w14:paraId="37739238">
            <w:pPr>
              <w:ind w:firstLine="0" w:firstLineChars="0"/>
              <w:jc w:val="center"/>
            </w:pPr>
            <w:r>
              <w:t>政府资金支持</w:t>
            </w:r>
          </w:p>
        </w:tc>
        <w:tc>
          <w:tcPr>
            <w:tcW w:w="2085" w:type="pct"/>
            <w:vAlign w:val="center"/>
          </w:tcPr>
          <w:p w14:paraId="67BD524C">
            <w:pPr>
              <w:ind w:firstLine="0" w:firstLineChars="0"/>
              <w:jc w:val="center"/>
            </w:pPr>
            <w:r>
              <w:t>极少（调研明确反馈）</w:t>
            </w:r>
          </w:p>
        </w:tc>
        <w:tc>
          <w:tcPr>
            <w:tcW w:w="1757" w:type="pct"/>
            <w:vAlign w:val="center"/>
          </w:tcPr>
          <w:p w14:paraId="650B1349">
            <w:pPr>
              <w:ind w:firstLine="0" w:firstLineChars="0"/>
              <w:jc w:val="center"/>
            </w:pPr>
            <w:r>
              <w:t>依赖专项资金申请+赛事奖金+经营现金流自循环</w:t>
            </w:r>
          </w:p>
        </w:tc>
      </w:tr>
      <w:tr w14:paraId="3E0700E6">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158" w:type="pct"/>
            <w:vAlign w:val="center"/>
          </w:tcPr>
          <w:p w14:paraId="2A4F1756">
            <w:pPr>
              <w:ind w:firstLine="0" w:firstLineChars="0"/>
              <w:jc w:val="center"/>
              <w:rPr>
                <w:rFonts w:cs="Times New Roman"/>
              </w:rPr>
            </w:pPr>
            <w:r>
              <w:rPr>
                <w:rStyle w:val="17"/>
                <w:rFonts w:cs="Times New Roman"/>
                <w:b w:val="0"/>
                <w:bCs w:val="0"/>
                <w:color w:val="0F1115"/>
              </w:rPr>
              <w:t>核心客群占比与预期转化率</w:t>
            </w:r>
          </w:p>
        </w:tc>
        <w:tc>
          <w:tcPr>
            <w:tcW w:w="2085" w:type="pct"/>
            <w:vAlign w:val="center"/>
          </w:tcPr>
          <w:p w14:paraId="373F0487">
            <w:pPr>
              <w:ind w:firstLine="0" w:firstLineChars="0"/>
              <w:jc w:val="center"/>
              <w:rPr>
                <w:rFonts w:cs="Times New Roman"/>
              </w:rPr>
            </w:pPr>
            <w:r>
              <w:rPr>
                <w:rFonts w:cs="Times New Roman"/>
                <w:color w:val="0F1115"/>
              </w:rPr>
              <w:t>核心客群57.5%（转化率18%）+ 潜力客群42.5%（转化率5%）→ 综合预期转化率约12.5%</w:t>
            </w:r>
          </w:p>
        </w:tc>
        <w:tc>
          <w:tcPr>
            <w:tcW w:w="1757" w:type="pct"/>
            <w:vAlign w:val="center"/>
          </w:tcPr>
          <w:p w14:paraId="079D710F">
            <w:pPr>
              <w:ind w:firstLine="0" w:firstLineChars="0"/>
              <w:jc w:val="center"/>
              <w:rPr>
                <w:rFonts w:cs="Times New Roman"/>
              </w:rPr>
            </w:pPr>
            <w:r>
              <w:rPr>
                <w:rFonts w:cs="Times New Roman"/>
                <w:color w:val="0F1115"/>
              </w:rPr>
              <w:t> 基于消费者问卷Logistic回归分析，产品概念认知（OR=1.95）为最强预测因子，据此测算首期认养预售转化基准</w:t>
            </w:r>
          </w:p>
        </w:tc>
      </w:tr>
    </w:tbl>
    <w:p w14:paraId="74D4B50F">
      <w:pPr>
        <w:ind w:firstLine="480"/>
      </w:pPr>
      <w:r>
        <w:rPr>
          <w:rFonts w:hint="eastAsia"/>
        </w:rPr>
        <w:t>从表10-1可以看出，本项目的财务测算主要建立在</w:t>
      </w:r>
      <w:r>
        <w:rPr>
          <w:rFonts w:hint="eastAsia"/>
          <w:b/>
          <w:bCs/>
        </w:rPr>
        <w:t>“提质增效而不扩面积、品牌溢价而不拼产量、外部合作而不增投入”</w:t>
      </w:r>
      <w:r>
        <w:rPr>
          <w:rFonts w:hint="eastAsia"/>
        </w:rPr>
        <w:t>的三条核心原则之上。所有假设均直接回应了村委会</w:t>
      </w:r>
      <w:r>
        <w:rPr>
          <w:rFonts w:hint="eastAsia"/>
          <w:b/>
          <w:bCs/>
        </w:rPr>
        <w:t>“低成本、可落地、可盈利”的核心诉求</w:t>
      </w:r>
      <w:r>
        <w:rPr>
          <w:rFonts w:hint="eastAsia"/>
        </w:rPr>
        <w:t>，也严格遵循了一级水源保护区的政策边界。接下来，本章将分别从投入预算、收入预测、成本结构、盈利分析、盈亏平衡、敏感性分析以及综合效益评估等维度，对项目的财务可行性展开系统论证。</w:t>
      </w:r>
    </w:p>
    <w:p w14:paraId="2F36B963">
      <w:pPr>
        <w:pStyle w:val="3"/>
      </w:pPr>
      <w:bookmarkStart w:id="171" w:name="_Toc18467"/>
      <w:r>
        <w:t>10.2 投入预算</w:t>
      </w:r>
      <w:bookmarkEnd w:id="171"/>
    </w:p>
    <w:p w14:paraId="6172E3C1">
      <w:pPr>
        <w:ind w:firstLine="480"/>
      </w:pPr>
      <w:r>
        <w:t>本项目</w:t>
      </w:r>
      <w:r>
        <w:rPr>
          <w:rFonts w:hint="eastAsia"/>
        </w:rPr>
        <w:t>主要</w:t>
      </w:r>
      <w:r>
        <w:t>采用</w:t>
      </w:r>
      <w:r>
        <w:rPr>
          <w:b/>
          <w:bCs/>
        </w:rPr>
        <w:t>“轻投入、重运营”</w:t>
      </w:r>
      <w:r>
        <w:t>的资金使用策略，将有限的启动资金集中于品牌物料、数字化平台开发、骑行标识系统等必要的基础设施建设，而将驿站设备、深加工生产等重资产环节全部交由外部合作方承担。整个初始投入预算控制在10.5万元以内，且村委会不新增任何现金支出——各项投入分别由专项资金、赛事奖金、团队自建能力或收入回笼资金予以覆盖。</w:t>
      </w:r>
    </w:p>
    <w:p w14:paraId="7B2870C4">
      <w:pPr>
        <w:pStyle w:val="6"/>
        <w:ind w:firstLine="400"/>
      </w:pPr>
      <w:r>
        <w:t>表10-2 投入预算明细</w:t>
      </w:r>
    </w:p>
    <w:tbl>
      <w:tblPr>
        <w:tblStyle w:val="29"/>
        <w:tblW w:w="8789" w:type="dxa"/>
        <w:tblInd w:w="0" w:type="dxa"/>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03"/>
        <w:gridCol w:w="1734"/>
        <w:gridCol w:w="1775"/>
        <w:gridCol w:w="2477"/>
      </w:tblGrid>
      <w:tr w14:paraId="597F838A">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03" w:type="dxa"/>
            <w:vAlign w:val="center"/>
          </w:tcPr>
          <w:p w14:paraId="597AF794">
            <w:pPr>
              <w:ind w:firstLine="0" w:firstLineChars="0"/>
              <w:jc w:val="center"/>
              <w:rPr>
                <w:b/>
                <w:bCs/>
              </w:rPr>
            </w:pPr>
            <w:r>
              <w:rPr>
                <w:b/>
                <w:bCs/>
              </w:rPr>
              <w:t>类别</w:t>
            </w:r>
          </w:p>
        </w:tc>
        <w:tc>
          <w:tcPr>
            <w:tcW w:w="1734" w:type="dxa"/>
            <w:vAlign w:val="center"/>
          </w:tcPr>
          <w:p w14:paraId="5320DF4E">
            <w:pPr>
              <w:ind w:firstLine="0" w:firstLineChars="0"/>
              <w:jc w:val="center"/>
              <w:rPr>
                <w:b/>
                <w:bCs/>
              </w:rPr>
            </w:pPr>
            <w:r>
              <w:rPr>
                <w:b/>
                <w:bCs/>
              </w:rPr>
              <w:t>金额</w:t>
            </w:r>
          </w:p>
          <w:p w14:paraId="5D78C3A7">
            <w:pPr>
              <w:ind w:firstLine="0" w:firstLineChars="0"/>
              <w:jc w:val="center"/>
              <w:rPr>
                <w:b/>
                <w:bCs/>
              </w:rPr>
            </w:pPr>
            <w:r>
              <w:rPr>
                <w:b/>
                <w:bCs/>
              </w:rPr>
              <w:t>（万元）</w:t>
            </w:r>
          </w:p>
        </w:tc>
        <w:tc>
          <w:tcPr>
            <w:tcW w:w="1775" w:type="dxa"/>
            <w:vAlign w:val="center"/>
          </w:tcPr>
          <w:p w14:paraId="7CF6C42B">
            <w:pPr>
              <w:ind w:firstLine="0" w:firstLineChars="0"/>
              <w:jc w:val="center"/>
              <w:rPr>
                <w:b/>
                <w:bCs/>
              </w:rPr>
            </w:pPr>
            <w:r>
              <w:rPr>
                <w:b/>
                <w:bCs/>
              </w:rPr>
              <w:t>资金来源</w:t>
            </w:r>
          </w:p>
        </w:tc>
        <w:tc>
          <w:tcPr>
            <w:tcW w:w="2477" w:type="dxa"/>
            <w:vAlign w:val="center"/>
          </w:tcPr>
          <w:p w14:paraId="21D0920B">
            <w:pPr>
              <w:ind w:firstLine="0" w:firstLineChars="0"/>
              <w:jc w:val="center"/>
              <w:rPr>
                <w:b/>
                <w:bCs/>
              </w:rPr>
            </w:pPr>
            <w:r>
              <w:rPr>
                <w:b/>
                <w:bCs/>
              </w:rPr>
              <w:t>村委会是否垫资</w:t>
            </w:r>
          </w:p>
        </w:tc>
      </w:tr>
      <w:tr w14:paraId="258DC3FC">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03" w:type="dxa"/>
            <w:tcBorders>
              <w:top w:val="single" w:color="auto" w:sz="12" w:space="0"/>
            </w:tcBorders>
            <w:vAlign w:val="center"/>
          </w:tcPr>
          <w:p w14:paraId="02EE7D62">
            <w:pPr>
              <w:ind w:firstLine="0" w:firstLineChars="0"/>
              <w:jc w:val="center"/>
            </w:pPr>
            <w:r>
              <w:t>品牌物料制作</w:t>
            </w:r>
          </w:p>
          <w:p w14:paraId="0BE63348">
            <w:pPr>
              <w:ind w:firstLine="0" w:firstLineChars="0"/>
              <w:jc w:val="center"/>
            </w:pPr>
            <w:r>
              <w:t>（VI/文创/包装增补）</w:t>
            </w:r>
          </w:p>
        </w:tc>
        <w:tc>
          <w:tcPr>
            <w:tcW w:w="1734" w:type="dxa"/>
            <w:tcBorders>
              <w:top w:val="single" w:color="auto" w:sz="12" w:space="0"/>
            </w:tcBorders>
            <w:vAlign w:val="center"/>
          </w:tcPr>
          <w:p w14:paraId="194A0516">
            <w:pPr>
              <w:ind w:firstLine="0" w:firstLineChars="0"/>
              <w:jc w:val="center"/>
            </w:pPr>
            <w:r>
              <w:t>2.0</w:t>
            </w:r>
          </w:p>
        </w:tc>
        <w:tc>
          <w:tcPr>
            <w:tcW w:w="1775" w:type="dxa"/>
            <w:tcBorders>
              <w:top w:val="single" w:color="auto" w:sz="12" w:space="0"/>
            </w:tcBorders>
            <w:vAlign w:val="center"/>
          </w:tcPr>
          <w:p w14:paraId="47B1CBBF">
            <w:pPr>
              <w:ind w:firstLine="0" w:firstLineChars="0"/>
              <w:jc w:val="center"/>
            </w:pPr>
            <w:r>
              <w:t>村集体+赛事奖金</w:t>
            </w:r>
          </w:p>
        </w:tc>
        <w:tc>
          <w:tcPr>
            <w:tcW w:w="2477" w:type="dxa"/>
            <w:tcBorders>
              <w:top w:val="single" w:color="auto" w:sz="12" w:space="0"/>
            </w:tcBorders>
            <w:vAlign w:val="center"/>
          </w:tcPr>
          <w:p w14:paraId="0AE2456B">
            <w:pPr>
              <w:ind w:firstLine="0" w:firstLineChars="0"/>
              <w:jc w:val="center"/>
            </w:pPr>
            <w:r>
              <w:t>已有包装复用+少量新增</w:t>
            </w:r>
          </w:p>
        </w:tc>
      </w:tr>
      <w:tr w14:paraId="15FFC119">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03" w:type="dxa"/>
            <w:vAlign w:val="center"/>
          </w:tcPr>
          <w:p w14:paraId="291557BB">
            <w:pPr>
              <w:ind w:firstLine="0" w:firstLineChars="0"/>
              <w:jc w:val="center"/>
            </w:pPr>
            <w:r>
              <w:t>小程序开发</w:t>
            </w:r>
          </w:p>
          <w:p w14:paraId="4AA4512B">
            <w:pPr>
              <w:ind w:firstLine="0" w:firstLineChars="0"/>
              <w:jc w:val="center"/>
            </w:pPr>
            <w:r>
              <w:t>（含云服务一年）</w:t>
            </w:r>
          </w:p>
        </w:tc>
        <w:tc>
          <w:tcPr>
            <w:tcW w:w="1734" w:type="dxa"/>
            <w:vAlign w:val="center"/>
          </w:tcPr>
          <w:p w14:paraId="1CCAC86C">
            <w:pPr>
              <w:ind w:firstLine="0" w:firstLineChars="0"/>
              <w:jc w:val="center"/>
            </w:pPr>
            <w:r>
              <w:t>0.5</w:t>
            </w:r>
          </w:p>
        </w:tc>
        <w:tc>
          <w:tcPr>
            <w:tcW w:w="1775" w:type="dxa"/>
            <w:vAlign w:val="center"/>
          </w:tcPr>
          <w:p w14:paraId="2A779CFF">
            <w:pPr>
              <w:ind w:firstLine="0" w:firstLineChars="0"/>
              <w:jc w:val="center"/>
            </w:pPr>
            <w:r>
              <w:t>团队自建</w:t>
            </w:r>
          </w:p>
        </w:tc>
        <w:tc>
          <w:tcPr>
            <w:tcW w:w="2477" w:type="dxa"/>
            <w:vAlign w:val="center"/>
          </w:tcPr>
          <w:p w14:paraId="7C944642">
            <w:pPr>
              <w:ind w:firstLine="0" w:firstLineChars="0"/>
              <w:jc w:val="center"/>
            </w:pPr>
            <w:r>
              <w:t>否</w:t>
            </w:r>
          </w:p>
          <w:p w14:paraId="49CE9A3C">
            <w:pPr>
              <w:ind w:firstLine="0" w:firstLineChars="0"/>
              <w:jc w:val="center"/>
            </w:pPr>
            <w:r>
              <w:t>（团队全栈自研）</w:t>
            </w:r>
          </w:p>
        </w:tc>
      </w:tr>
      <w:tr w14:paraId="45834964">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03" w:type="dxa"/>
            <w:vAlign w:val="center"/>
          </w:tcPr>
          <w:p w14:paraId="0F9F92A2">
            <w:pPr>
              <w:ind w:firstLine="0" w:firstLineChars="0"/>
              <w:jc w:val="center"/>
            </w:pPr>
            <w:r>
              <w:t>骑行标识/打卡桩/联盟品牌物料</w:t>
            </w:r>
          </w:p>
        </w:tc>
        <w:tc>
          <w:tcPr>
            <w:tcW w:w="1734" w:type="dxa"/>
            <w:vAlign w:val="center"/>
          </w:tcPr>
          <w:p w14:paraId="77C90D51">
            <w:pPr>
              <w:ind w:firstLine="0" w:firstLineChars="0"/>
              <w:jc w:val="center"/>
            </w:pPr>
            <w:r>
              <w:t>1.5</w:t>
            </w:r>
          </w:p>
        </w:tc>
        <w:tc>
          <w:tcPr>
            <w:tcW w:w="1775" w:type="dxa"/>
            <w:vAlign w:val="center"/>
          </w:tcPr>
          <w:p w14:paraId="7710CCAA">
            <w:pPr>
              <w:ind w:firstLine="0" w:firstLineChars="0"/>
              <w:jc w:val="center"/>
            </w:pPr>
            <w:r>
              <w:t>政府扶持资金+赛事奖金</w:t>
            </w:r>
          </w:p>
        </w:tc>
        <w:tc>
          <w:tcPr>
            <w:tcW w:w="2477" w:type="dxa"/>
            <w:vAlign w:val="center"/>
          </w:tcPr>
          <w:p w14:paraId="5AF0B979">
            <w:pPr>
              <w:ind w:firstLine="0" w:firstLineChars="0"/>
              <w:jc w:val="center"/>
            </w:pPr>
            <w:r>
              <w:t>否</w:t>
            </w:r>
          </w:p>
          <w:p w14:paraId="5A8899DB">
            <w:pPr>
              <w:ind w:firstLine="0" w:firstLineChars="0"/>
              <w:jc w:val="center"/>
            </w:pPr>
            <w:r>
              <w:t>（可移动可拆卸）</w:t>
            </w:r>
          </w:p>
        </w:tc>
      </w:tr>
      <w:tr w14:paraId="366CD835">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03" w:type="dxa"/>
            <w:vAlign w:val="center"/>
          </w:tcPr>
          <w:p w14:paraId="58A34B35">
            <w:pPr>
              <w:ind w:firstLine="0" w:firstLineChars="0"/>
              <w:jc w:val="center"/>
            </w:pPr>
            <w:r>
              <w:t>无人驿站场地改造</w:t>
            </w:r>
          </w:p>
        </w:tc>
        <w:tc>
          <w:tcPr>
            <w:tcW w:w="1734" w:type="dxa"/>
            <w:vAlign w:val="center"/>
          </w:tcPr>
          <w:p w14:paraId="373DDD6A">
            <w:pPr>
              <w:ind w:firstLine="0" w:firstLineChars="0"/>
              <w:jc w:val="center"/>
            </w:pPr>
            <w:r>
              <w:t>0</w:t>
            </w:r>
          </w:p>
          <w:p w14:paraId="0B890DD8">
            <w:pPr>
              <w:ind w:firstLine="0" w:firstLineChars="0"/>
              <w:jc w:val="center"/>
            </w:pPr>
            <w:r>
              <w:t>（外部承担）</w:t>
            </w:r>
          </w:p>
        </w:tc>
        <w:tc>
          <w:tcPr>
            <w:tcW w:w="1775" w:type="dxa"/>
            <w:vAlign w:val="center"/>
          </w:tcPr>
          <w:p w14:paraId="23E4C5ED">
            <w:pPr>
              <w:ind w:firstLine="0" w:firstLineChars="0"/>
              <w:jc w:val="center"/>
            </w:pPr>
            <w:r>
              <w:t>外部运营商</w:t>
            </w:r>
          </w:p>
        </w:tc>
        <w:tc>
          <w:tcPr>
            <w:tcW w:w="2477" w:type="dxa"/>
            <w:vAlign w:val="center"/>
          </w:tcPr>
          <w:p w14:paraId="1A89E041">
            <w:pPr>
              <w:ind w:firstLine="0" w:firstLineChars="0"/>
              <w:jc w:val="center"/>
            </w:pPr>
            <w:r>
              <w:t>否（运营商全资）</w:t>
            </w:r>
          </w:p>
        </w:tc>
      </w:tr>
      <w:tr w14:paraId="7C3B3F68">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03" w:type="dxa"/>
            <w:vAlign w:val="center"/>
          </w:tcPr>
          <w:p w14:paraId="2979D54E">
            <w:pPr>
              <w:ind w:firstLine="0" w:firstLineChars="0"/>
              <w:jc w:val="center"/>
            </w:pPr>
            <w:r>
              <w:t>首年活动运营</w:t>
            </w:r>
          </w:p>
          <w:p w14:paraId="08AF44BF">
            <w:pPr>
              <w:ind w:firstLine="0" w:firstLineChars="0"/>
              <w:jc w:val="center"/>
            </w:pPr>
            <w:r>
              <w:t>（联盟赛事/研学试点）</w:t>
            </w:r>
          </w:p>
        </w:tc>
        <w:tc>
          <w:tcPr>
            <w:tcW w:w="1734" w:type="dxa"/>
            <w:vAlign w:val="center"/>
          </w:tcPr>
          <w:p w14:paraId="46ECFE8C">
            <w:pPr>
              <w:ind w:firstLine="0" w:firstLineChars="0"/>
              <w:jc w:val="center"/>
            </w:pPr>
            <w:r>
              <w:t>1.5</w:t>
            </w:r>
          </w:p>
        </w:tc>
        <w:tc>
          <w:tcPr>
            <w:tcW w:w="1775" w:type="dxa"/>
            <w:vAlign w:val="center"/>
          </w:tcPr>
          <w:p w14:paraId="0CEE0C51">
            <w:pPr>
              <w:ind w:firstLine="0" w:firstLineChars="0"/>
              <w:jc w:val="center"/>
            </w:pPr>
            <w:r>
              <w:t>收入回笼+赛事奖金</w:t>
            </w:r>
          </w:p>
        </w:tc>
        <w:tc>
          <w:tcPr>
            <w:tcW w:w="2477" w:type="dxa"/>
            <w:vAlign w:val="center"/>
          </w:tcPr>
          <w:p w14:paraId="37641B57">
            <w:pPr>
              <w:ind w:firstLine="0" w:firstLineChars="0"/>
              <w:jc w:val="center"/>
            </w:pPr>
            <w:r>
              <w:t>否</w:t>
            </w:r>
          </w:p>
          <w:p w14:paraId="235B2F88">
            <w:pPr>
              <w:ind w:firstLine="0" w:firstLineChars="0"/>
              <w:jc w:val="center"/>
            </w:pPr>
            <w:r>
              <w:t>（报名费覆盖为主）</w:t>
            </w:r>
          </w:p>
        </w:tc>
      </w:tr>
      <w:tr w14:paraId="1C79A9AC">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03" w:type="dxa"/>
            <w:vAlign w:val="center"/>
          </w:tcPr>
          <w:p w14:paraId="07FC722B">
            <w:pPr>
              <w:ind w:firstLine="0" w:firstLineChars="0"/>
              <w:jc w:val="center"/>
            </w:pPr>
            <w:r>
              <w:t>林下经济菌种+培训</w:t>
            </w:r>
          </w:p>
        </w:tc>
        <w:tc>
          <w:tcPr>
            <w:tcW w:w="1734" w:type="dxa"/>
            <w:vAlign w:val="center"/>
          </w:tcPr>
          <w:p w14:paraId="7AB498FC">
            <w:pPr>
              <w:ind w:firstLine="0" w:firstLineChars="0"/>
              <w:jc w:val="center"/>
            </w:pPr>
            <w:r>
              <w:t>5.0</w:t>
            </w:r>
          </w:p>
        </w:tc>
        <w:tc>
          <w:tcPr>
            <w:tcW w:w="1775" w:type="dxa"/>
            <w:vAlign w:val="center"/>
          </w:tcPr>
          <w:p w14:paraId="7D5DF2AE">
            <w:pPr>
              <w:ind w:firstLine="0" w:firstLineChars="0"/>
              <w:jc w:val="center"/>
            </w:pPr>
            <w:r>
              <w:t>林下经济专项资金</w:t>
            </w:r>
          </w:p>
        </w:tc>
        <w:tc>
          <w:tcPr>
            <w:tcW w:w="2477" w:type="dxa"/>
            <w:vAlign w:val="center"/>
          </w:tcPr>
          <w:p w14:paraId="53F0C5E8">
            <w:pPr>
              <w:ind w:firstLine="0" w:firstLineChars="0"/>
              <w:jc w:val="center"/>
            </w:pPr>
            <w:r>
              <w:t>否</w:t>
            </w:r>
          </w:p>
          <w:p w14:paraId="1833F639">
            <w:pPr>
              <w:ind w:firstLine="0" w:firstLineChars="0"/>
              <w:jc w:val="center"/>
            </w:pPr>
            <w:r>
              <w:t>（专项资金已到位）</w:t>
            </w:r>
          </w:p>
        </w:tc>
      </w:tr>
      <w:tr w14:paraId="0AF273D9">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03" w:type="dxa"/>
            <w:vAlign w:val="center"/>
          </w:tcPr>
          <w:p w14:paraId="026EF179">
            <w:pPr>
              <w:ind w:firstLine="0" w:firstLineChars="0"/>
              <w:jc w:val="center"/>
            </w:pPr>
            <w:r>
              <w:rPr>
                <w:b/>
                <w:bCs/>
              </w:rPr>
              <w:t>合计</w:t>
            </w:r>
          </w:p>
        </w:tc>
        <w:tc>
          <w:tcPr>
            <w:tcW w:w="1734" w:type="dxa"/>
            <w:vAlign w:val="center"/>
          </w:tcPr>
          <w:p w14:paraId="75325518">
            <w:pPr>
              <w:ind w:firstLine="0" w:firstLineChars="0"/>
              <w:jc w:val="center"/>
            </w:pPr>
            <w:r>
              <w:rPr>
                <w:b/>
                <w:bCs/>
              </w:rPr>
              <w:t>10.5</w:t>
            </w:r>
          </w:p>
        </w:tc>
        <w:tc>
          <w:tcPr>
            <w:tcW w:w="1775" w:type="dxa"/>
            <w:vAlign w:val="center"/>
          </w:tcPr>
          <w:p w14:paraId="26F76505">
            <w:pPr>
              <w:ind w:firstLine="0" w:firstLineChars="0"/>
              <w:jc w:val="center"/>
            </w:pPr>
            <w:r>
              <w:t>多元化资金组合</w:t>
            </w:r>
          </w:p>
        </w:tc>
        <w:tc>
          <w:tcPr>
            <w:tcW w:w="2477" w:type="dxa"/>
            <w:vAlign w:val="center"/>
          </w:tcPr>
          <w:p w14:paraId="32EE572F">
            <w:pPr>
              <w:ind w:firstLine="0" w:firstLineChars="0"/>
              <w:jc w:val="center"/>
              <w:rPr>
                <w:b/>
                <w:bCs/>
              </w:rPr>
            </w:pPr>
            <w:r>
              <w:rPr>
                <w:b/>
                <w:bCs/>
              </w:rPr>
              <w:t>村委会零新增</w:t>
            </w:r>
          </w:p>
          <w:p w14:paraId="7BEB3F90">
            <w:pPr>
              <w:ind w:firstLine="0" w:firstLineChars="0"/>
              <w:jc w:val="center"/>
            </w:pPr>
            <w:r>
              <w:rPr>
                <w:b/>
                <w:bCs/>
              </w:rPr>
              <w:t>现金支出</w:t>
            </w:r>
          </w:p>
        </w:tc>
      </w:tr>
    </w:tbl>
    <w:p w14:paraId="7C8BD8B7">
      <w:pPr>
        <w:ind w:firstLine="480"/>
      </w:pPr>
      <w:r>
        <w:t>本项目的资金组织逻辑</w:t>
      </w:r>
      <w:r>
        <w:rPr>
          <w:rFonts w:hint="eastAsia"/>
        </w:rPr>
        <w:t>如下：凡是</w:t>
      </w:r>
      <w:r>
        <w:t>能够由市场主体的承担的（驿站设备），交由市场主体承担；凡是能够以团队能力替代的（软件开发），以团队能力替代；凡是已有专项资金覆盖的（林下经济），不再重复列支；凡是能够通过经营收入自循环的（活动运营），则控制风险敞口。这一逻辑确保了项目在最有限的资源条件下仍然具备启动条件，也为后续的收入增长释放了更大的利润空间</w:t>
      </w:r>
    </w:p>
    <w:p w14:paraId="43B746A4">
      <w:pPr>
        <w:pStyle w:val="3"/>
      </w:pPr>
      <w:bookmarkStart w:id="172" w:name="_Toc12580"/>
      <w:r>
        <w:t>10.3 三年收入预测</w:t>
      </w:r>
      <w:bookmarkEnd w:id="172"/>
    </w:p>
    <w:p w14:paraId="691DE30F">
      <w:pPr>
        <w:ind w:firstLine="480"/>
      </w:pPr>
      <w:r>
        <w:t>基于前述各项假设，本节</w:t>
      </w:r>
      <w:r>
        <w:rPr>
          <w:rFonts w:hint="eastAsia"/>
        </w:rPr>
        <w:t>将</w:t>
      </w:r>
      <w:r>
        <w:t>对樱桃鲜果销售、水源林菌销售、骑行及体验服务、认养计划、电商及其他收入共五大板块进行三年期收入预测。需要特别指出的是，本项目的</w:t>
      </w:r>
      <w:r>
        <w:rPr>
          <w:b/>
          <w:bCs/>
        </w:rPr>
        <w:t>收入结构与传统采摘园存在本质差异</w:t>
      </w:r>
      <w:r>
        <w:t>：鲜果销售占比从第一年的半数以上逐年下降至第三年的不足三分之一，而认养订阅、骑行联盟与驿站分润、林菌电商等高毛利、抗周期业务的收入贡献率则持续上升，收入来源的多元化和稳定性显著增强。</w:t>
      </w:r>
    </w:p>
    <w:p w14:paraId="3A9C9C5A">
      <w:pPr>
        <w:pStyle w:val="4"/>
      </w:pPr>
      <w:bookmarkStart w:id="173" w:name="_Toc11874"/>
      <w:r>
        <w:rPr>
          <w:rFonts w:hint="eastAsia"/>
        </w:rPr>
        <w:t>10.3.1</w:t>
      </w:r>
      <w:r>
        <w:t>樱桃鲜果销售</w:t>
      </w:r>
      <w:bookmarkEnd w:id="173"/>
    </w:p>
    <w:p w14:paraId="252703BC">
      <w:pPr>
        <w:ind w:firstLine="480"/>
      </w:pPr>
      <w:r>
        <w:rPr>
          <w:rFonts w:hint="eastAsia"/>
        </w:rPr>
        <w:t>本项目的</w:t>
      </w:r>
      <w:r>
        <w:t>樱桃鲜果销售的收入测算逻辑较为直观</w:t>
      </w:r>
      <w:r>
        <w:rPr>
          <w:rFonts w:hint="eastAsia"/>
        </w:rPr>
        <w:t>，</w:t>
      </w:r>
      <w:r>
        <w:t>总产量由种植面积与亩产相乘得出，由于历史滞销率极低（盛果期当天采摘当天售罄），可售量基本等同于总产量，收入即为可售量乘以品牌化后的均价。表10-3展示了三年的预测结果。</w:t>
      </w:r>
    </w:p>
    <w:p w14:paraId="64C7115F">
      <w:pPr>
        <w:pStyle w:val="6"/>
        <w:ind w:firstLine="400"/>
      </w:pPr>
      <w:r>
        <w:t>表10-3 樱桃鲜果销售三年预测</w:t>
      </w:r>
    </w:p>
    <w:tbl>
      <w:tblPr>
        <w:tblStyle w:val="29"/>
        <w:tblW w:w="5000" w:type="pct"/>
        <w:tblInd w:w="0" w:type="dxa"/>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78"/>
        <w:gridCol w:w="1515"/>
        <w:gridCol w:w="1515"/>
        <w:gridCol w:w="1514"/>
      </w:tblGrid>
      <w:tr w14:paraId="2D2A9A3F">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34" w:type="pct"/>
            <w:vAlign w:val="center"/>
          </w:tcPr>
          <w:p w14:paraId="43F24DB1">
            <w:pPr>
              <w:ind w:firstLine="0" w:firstLineChars="0"/>
              <w:jc w:val="center"/>
              <w:rPr>
                <w:b/>
                <w:bCs/>
              </w:rPr>
            </w:pPr>
            <w:r>
              <w:rPr>
                <w:b/>
                <w:bCs/>
              </w:rPr>
              <w:t>指标</w:t>
            </w:r>
          </w:p>
        </w:tc>
        <w:tc>
          <w:tcPr>
            <w:tcW w:w="889" w:type="pct"/>
            <w:vAlign w:val="center"/>
          </w:tcPr>
          <w:p w14:paraId="419B5385">
            <w:pPr>
              <w:ind w:firstLine="0" w:firstLineChars="0"/>
              <w:jc w:val="center"/>
              <w:rPr>
                <w:b/>
                <w:bCs/>
              </w:rPr>
            </w:pPr>
            <w:r>
              <w:rPr>
                <w:b/>
                <w:bCs/>
              </w:rPr>
              <w:t>第1年</w:t>
            </w:r>
          </w:p>
        </w:tc>
        <w:tc>
          <w:tcPr>
            <w:tcW w:w="889" w:type="pct"/>
            <w:vAlign w:val="center"/>
          </w:tcPr>
          <w:p w14:paraId="7EDFF572">
            <w:pPr>
              <w:ind w:firstLine="0" w:firstLineChars="0"/>
              <w:jc w:val="center"/>
              <w:rPr>
                <w:b/>
                <w:bCs/>
              </w:rPr>
            </w:pPr>
            <w:r>
              <w:rPr>
                <w:b/>
                <w:bCs/>
              </w:rPr>
              <w:t>第2年</w:t>
            </w:r>
          </w:p>
        </w:tc>
        <w:tc>
          <w:tcPr>
            <w:tcW w:w="889" w:type="pct"/>
            <w:vAlign w:val="center"/>
          </w:tcPr>
          <w:p w14:paraId="70D81856">
            <w:pPr>
              <w:ind w:firstLine="0" w:firstLineChars="0"/>
              <w:jc w:val="center"/>
              <w:rPr>
                <w:b/>
                <w:bCs/>
              </w:rPr>
            </w:pPr>
            <w:r>
              <w:rPr>
                <w:b/>
                <w:bCs/>
              </w:rPr>
              <w:t>第3年</w:t>
            </w:r>
          </w:p>
        </w:tc>
      </w:tr>
      <w:tr w14:paraId="11AE3E6A">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34" w:type="pct"/>
            <w:tcBorders>
              <w:top w:val="single" w:color="auto" w:sz="12" w:space="0"/>
            </w:tcBorders>
            <w:vAlign w:val="center"/>
          </w:tcPr>
          <w:p w14:paraId="566C383B">
            <w:pPr>
              <w:ind w:firstLine="0" w:firstLineChars="0"/>
              <w:jc w:val="center"/>
            </w:pPr>
            <w:r>
              <w:t>亩产（公斤）</w:t>
            </w:r>
          </w:p>
        </w:tc>
        <w:tc>
          <w:tcPr>
            <w:tcW w:w="889" w:type="pct"/>
            <w:tcBorders>
              <w:top w:val="single" w:color="auto" w:sz="12" w:space="0"/>
            </w:tcBorders>
            <w:vAlign w:val="center"/>
          </w:tcPr>
          <w:p w14:paraId="10B60501">
            <w:pPr>
              <w:ind w:firstLine="0" w:firstLineChars="0"/>
              <w:jc w:val="center"/>
            </w:pPr>
            <w:r>
              <w:t>550</w:t>
            </w:r>
          </w:p>
        </w:tc>
        <w:tc>
          <w:tcPr>
            <w:tcW w:w="889" w:type="pct"/>
            <w:tcBorders>
              <w:top w:val="single" w:color="auto" w:sz="12" w:space="0"/>
            </w:tcBorders>
            <w:vAlign w:val="center"/>
          </w:tcPr>
          <w:p w14:paraId="31EABB79">
            <w:pPr>
              <w:ind w:firstLine="0" w:firstLineChars="0"/>
              <w:jc w:val="center"/>
            </w:pPr>
            <w:r>
              <w:t>600</w:t>
            </w:r>
          </w:p>
        </w:tc>
        <w:tc>
          <w:tcPr>
            <w:tcW w:w="889" w:type="pct"/>
            <w:tcBorders>
              <w:top w:val="single" w:color="auto" w:sz="12" w:space="0"/>
            </w:tcBorders>
            <w:vAlign w:val="center"/>
          </w:tcPr>
          <w:p w14:paraId="1526EF12">
            <w:pPr>
              <w:ind w:firstLine="0" w:firstLineChars="0"/>
              <w:jc w:val="center"/>
            </w:pPr>
            <w:r>
              <w:t>650</w:t>
            </w:r>
          </w:p>
        </w:tc>
      </w:tr>
      <w:tr w14:paraId="4F007EF9">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34" w:type="pct"/>
            <w:vAlign w:val="center"/>
          </w:tcPr>
          <w:p w14:paraId="649D16D0">
            <w:pPr>
              <w:ind w:firstLine="0" w:firstLineChars="0"/>
              <w:jc w:val="center"/>
            </w:pPr>
            <w:r>
              <w:t>总产量（万公斤）</w:t>
            </w:r>
          </w:p>
        </w:tc>
        <w:tc>
          <w:tcPr>
            <w:tcW w:w="889" w:type="pct"/>
            <w:vAlign w:val="center"/>
          </w:tcPr>
          <w:p w14:paraId="79810D24">
            <w:pPr>
              <w:ind w:firstLine="0" w:firstLineChars="0"/>
              <w:jc w:val="center"/>
            </w:pPr>
            <w:r>
              <w:t>3.6</w:t>
            </w:r>
          </w:p>
        </w:tc>
        <w:tc>
          <w:tcPr>
            <w:tcW w:w="889" w:type="pct"/>
            <w:vAlign w:val="center"/>
          </w:tcPr>
          <w:p w14:paraId="66E20747">
            <w:pPr>
              <w:ind w:firstLine="0" w:firstLineChars="0"/>
              <w:jc w:val="center"/>
            </w:pPr>
            <w:r>
              <w:t>3.9</w:t>
            </w:r>
          </w:p>
        </w:tc>
        <w:tc>
          <w:tcPr>
            <w:tcW w:w="889" w:type="pct"/>
            <w:vAlign w:val="center"/>
          </w:tcPr>
          <w:p w14:paraId="083E0989">
            <w:pPr>
              <w:ind w:firstLine="0" w:firstLineChars="0"/>
              <w:jc w:val="center"/>
            </w:pPr>
            <w:r>
              <w:t>4.2</w:t>
            </w:r>
          </w:p>
        </w:tc>
      </w:tr>
      <w:tr w14:paraId="3A0881EC">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34" w:type="pct"/>
            <w:vAlign w:val="center"/>
          </w:tcPr>
          <w:p w14:paraId="6113E4C1">
            <w:pPr>
              <w:ind w:firstLine="0" w:firstLineChars="0"/>
              <w:jc w:val="center"/>
            </w:pPr>
            <w:r>
              <w:t>可售量（万公斤）</w:t>
            </w:r>
          </w:p>
        </w:tc>
        <w:tc>
          <w:tcPr>
            <w:tcW w:w="889" w:type="pct"/>
            <w:vAlign w:val="center"/>
          </w:tcPr>
          <w:p w14:paraId="533BB932">
            <w:pPr>
              <w:ind w:firstLine="0" w:firstLineChars="0"/>
              <w:jc w:val="center"/>
            </w:pPr>
            <w:r>
              <w:t>3.6</w:t>
            </w:r>
          </w:p>
        </w:tc>
        <w:tc>
          <w:tcPr>
            <w:tcW w:w="889" w:type="pct"/>
            <w:vAlign w:val="center"/>
          </w:tcPr>
          <w:p w14:paraId="353CA162">
            <w:pPr>
              <w:ind w:firstLine="0" w:firstLineChars="0"/>
              <w:jc w:val="center"/>
            </w:pPr>
            <w:r>
              <w:t>3.9</w:t>
            </w:r>
          </w:p>
        </w:tc>
        <w:tc>
          <w:tcPr>
            <w:tcW w:w="889" w:type="pct"/>
            <w:vAlign w:val="center"/>
          </w:tcPr>
          <w:p w14:paraId="72080DDB">
            <w:pPr>
              <w:ind w:firstLine="0" w:firstLineChars="0"/>
              <w:jc w:val="center"/>
            </w:pPr>
            <w:r>
              <w:t>4.2</w:t>
            </w:r>
          </w:p>
        </w:tc>
      </w:tr>
      <w:tr w14:paraId="58339FF1">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34" w:type="pct"/>
            <w:vAlign w:val="center"/>
          </w:tcPr>
          <w:p w14:paraId="736CFBD8">
            <w:pPr>
              <w:ind w:firstLine="0" w:firstLineChars="0"/>
              <w:jc w:val="center"/>
            </w:pPr>
            <w:r>
              <w:t>品牌均价（元/公斤）</w:t>
            </w:r>
          </w:p>
        </w:tc>
        <w:tc>
          <w:tcPr>
            <w:tcW w:w="889" w:type="pct"/>
            <w:vAlign w:val="center"/>
          </w:tcPr>
          <w:p w14:paraId="370687C1">
            <w:pPr>
              <w:ind w:firstLine="0" w:firstLineChars="0"/>
              <w:jc w:val="center"/>
            </w:pPr>
            <w:r>
              <w:t>22</w:t>
            </w:r>
          </w:p>
        </w:tc>
        <w:tc>
          <w:tcPr>
            <w:tcW w:w="889" w:type="pct"/>
            <w:vAlign w:val="center"/>
          </w:tcPr>
          <w:p w14:paraId="1092BB60">
            <w:pPr>
              <w:ind w:firstLine="0" w:firstLineChars="0"/>
              <w:jc w:val="center"/>
            </w:pPr>
            <w:r>
              <w:t>28</w:t>
            </w:r>
          </w:p>
        </w:tc>
        <w:tc>
          <w:tcPr>
            <w:tcW w:w="889" w:type="pct"/>
            <w:vAlign w:val="center"/>
          </w:tcPr>
          <w:p w14:paraId="682B178E">
            <w:pPr>
              <w:ind w:firstLine="0" w:firstLineChars="0"/>
              <w:jc w:val="center"/>
            </w:pPr>
            <w:r>
              <w:t>32</w:t>
            </w:r>
          </w:p>
        </w:tc>
      </w:tr>
      <w:tr w14:paraId="20D41392">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334" w:type="pct"/>
            <w:vAlign w:val="center"/>
          </w:tcPr>
          <w:p w14:paraId="4F8BB5F8">
            <w:pPr>
              <w:ind w:firstLine="0" w:firstLineChars="0"/>
              <w:jc w:val="center"/>
            </w:pPr>
            <w:r>
              <w:rPr>
                <w:b/>
                <w:bCs/>
              </w:rPr>
              <w:t>鲜果收入（万元）</w:t>
            </w:r>
          </w:p>
        </w:tc>
        <w:tc>
          <w:tcPr>
            <w:tcW w:w="889" w:type="pct"/>
            <w:vAlign w:val="center"/>
          </w:tcPr>
          <w:p w14:paraId="3DD0C7A1">
            <w:pPr>
              <w:ind w:firstLine="0" w:firstLineChars="0"/>
              <w:jc w:val="center"/>
            </w:pPr>
            <w:r>
              <w:rPr>
                <w:b/>
                <w:bCs/>
              </w:rPr>
              <w:t>79</w:t>
            </w:r>
          </w:p>
        </w:tc>
        <w:tc>
          <w:tcPr>
            <w:tcW w:w="889" w:type="pct"/>
            <w:vAlign w:val="center"/>
          </w:tcPr>
          <w:p w14:paraId="0D8751D8">
            <w:pPr>
              <w:ind w:firstLine="0" w:firstLineChars="0"/>
              <w:jc w:val="center"/>
            </w:pPr>
            <w:r>
              <w:rPr>
                <w:b/>
                <w:bCs/>
              </w:rPr>
              <w:t>109</w:t>
            </w:r>
          </w:p>
        </w:tc>
        <w:tc>
          <w:tcPr>
            <w:tcW w:w="889" w:type="pct"/>
            <w:vAlign w:val="center"/>
          </w:tcPr>
          <w:p w14:paraId="1B5B8398">
            <w:pPr>
              <w:ind w:firstLine="0" w:firstLineChars="0"/>
              <w:jc w:val="center"/>
            </w:pPr>
            <w:r>
              <w:rPr>
                <w:b/>
                <w:bCs/>
              </w:rPr>
              <w:t>134</w:t>
            </w:r>
          </w:p>
        </w:tc>
      </w:tr>
    </w:tbl>
    <w:p w14:paraId="02FF881B">
      <w:pPr>
        <w:ind w:firstLine="480"/>
      </w:pPr>
      <w:r>
        <w:t>从表10-3可以看出，</w:t>
      </w:r>
      <w:r>
        <w:rPr>
          <w:rFonts w:hint="eastAsia"/>
        </w:rPr>
        <w:t>本项目的</w:t>
      </w:r>
      <w:r>
        <w:t>樱桃鲜果收入从第一年的79万元增长至第三年的134万元，增幅主要来自两个驱动因素。其一</w:t>
      </w:r>
      <w:r>
        <w:rPr>
          <w:b/>
          <w:bCs/>
        </w:rPr>
        <w:t>是亩产的逐步恢复</w:t>
      </w:r>
      <w:r>
        <w:t>——通过对接农科院防冻技术指导和科学管护，老树产量从当前的每年约550公斤回升至650公斤，接近北方甜樱桃的行业参考水平</w:t>
      </w:r>
      <w:r>
        <w:rPr>
          <w:rFonts w:hint="eastAsia"/>
        </w:rPr>
        <w:t>；</w:t>
      </w:r>
      <w:r>
        <w:t>其二是</w:t>
      </w:r>
      <w:r>
        <w:rPr>
          <w:b/>
          <w:bCs/>
        </w:rPr>
        <w:t>品牌均价的持续提升</w:t>
      </w:r>
      <w:r>
        <w:t>——从第一年的每公斤22元到第三年的32元，累计涨幅约45%，这得益于产品分级体系（A级精品礼盒与B级标准装的差异化定价）、溯源二维码与樱桃身份证建立的品质信任，以及认养计划锁定部分产量后形成的稀缺性溢价。值得注意的是，2020年樱桃销售的峰值收入约为60万元，当时是在</w:t>
      </w:r>
      <w:r>
        <w:rPr>
          <w:b/>
          <w:bCs/>
        </w:rPr>
        <w:t>无品牌溢价、无分级销售条件下的自然流量收入</w:t>
      </w:r>
      <w:r>
        <w:t>；本项目第三年134万元的预测收入约为峰值的2.2倍，且全部增量来自单价提升与产量恢复，不涉及种植面积的扩大，完全符合水源保护区的政策要求。</w:t>
      </w:r>
    </w:p>
    <w:p w14:paraId="201532E7">
      <w:pPr>
        <w:pStyle w:val="4"/>
      </w:pPr>
      <w:bookmarkStart w:id="174" w:name="_Toc14936"/>
      <w:r>
        <w:rPr>
          <w:rFonts w:hint="eastAsia"/>
        </w:rPr>
        <w:t>10.3.2</w:t>
      </w:r>
      <w:r>
        <w:t>水源林菌</w:t>
      </w:r>
      <w:bookmarkEnd w:id="174"/>
    </w:p>
    <w:p w14:paraId="684E7925">
      <w:pPr>
        <w:ind w:firstLine="480"/>
      </w:pPr>
      <w:r>
        <w:rPr>
          <w:rFonts w:hint="eastAsia"/>
        </w:rPr>
        <w:t>由于</w:t>
      </w:r>
      <w:r>
        <w:t>受一级水源保护区政策限制，</w:t>
      </w:r>
      <w:r>
        <w:rPr>
          <w:rFonts w:hint="eastAsia"/>
        </w:rPr>
        <w:t>本项目的</w:t>
      </w:r>
      <w:r>
        <w:t>樱桃深加工不能在村内落地——既不能新建加工厂房，也无法申办食品生产许可。本项目以村委会已启动的林下菌菇试种为基础，将</w:t>
      </w:r>
      <w:r>
        <w:rPr>
          <w:b/>
          <w:bCs/>
        </w:rPr>
        <w:t>“水源林菌”</w:t>
      </w:r>
      <w:r>
        <w:t>打造为一条独立的电商产品线，既填补了非樱桃季的产品空白，又在认养合同绝产年份承担等额替代的风险对冲功能。</w:t>
      </w:r>
      <w:r>
        <w:rPr>
          <w:rFonts w:hint="eastAsia"/>
        </w:rPr>
        <w:t>而其</w:t>
      </w:r>
      <w:r>
        <w:t>品类结构以大球盖菇为主力（种植面积占比约80%），以羊肚菌为高端试验品类（占比约20%），干制后销售以解决鲜菇保鲜期短、物流窗口窄的问题。表10-4展示了三年的产销预测。</w:t>
      </w:r>
    </w:p>
    <w:p w14:paraId="258A7E3F">
      <w:pPr>
        <w:pStyle w:val="6"/>
        <w:ind w:firstLine="400"/>
      </w:pPr>
      <w:r>
        <w:t>表10-4 水源林菌三年预测</w:t>
      </w:r>
    </w:p>
    <w:tbl>
      <w:tblPr>
        <w:tblStyle w:val="29"/>
        <w:tblW w:w="5000" w:type="pct"/>
        <w:tblInd w:w="0" w:type="dxa"/>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07"/>
        <w:gridCol w:w="1638"/>
        <w:gridCol w:w="1638"/>
        <w:gridCol w:w="1639"/>
      </w:tblGrid>
      <w:tr w14:paraId="1D6BDCC1">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16" w:type="pct"/>
            <w:tcBorders>
              <w:bottom w:val="single" w:color="auto" w:sz="12" w:space="0"/>
            </w:tcBorders>
            <w:vAlign w:val="center"/>
          </w:tcPr>
          <w:p w14:paraId="4D1A0FC0">
            <w:pPr>
              <w:ind w:firstLine="0" w:firstLineChars="0"/>
              <w:jc w:val="center"/>
              <w:rPr>
                <w:b/>
                <w:bCs/>
              </w:rPr>
            </w:pPr>
            <w:r>
              <w:rPr>
                <w:b/>
                <w:bCs/>
              </w:rPr>
              <w:t>指标</w:t>
            </w:r>
          </w:p>
        </w:tc>
        <w:tc>
          <w:tcPr>
            <w:tcW w:w="961" w:type="pct"/>
            <w:tcBorders>
              <w:bottom w:val="single" w:color="auto" w:sz="12" w:space="0"/>
            </w:tcBorders>
            <w:vAlign w:val="center"/>
          </w:tcPr>
          <w:p w14:paraId="7BDB22EC">
            <w:pPr>
              <w:ind w:firstLine="0" w:firstLineChars="0"/>
              <w:jc w:val="center"/>
              <w:rPr>
                <w:b/>
                <w:bCs/>
              </w:rPr>
            </w:pPr>
            <w:r>
              <w:rPr>
                <w:b/>
                <w:bCs/>
              </w:rPr>
              <w:t>第1年</w:t>
            </w:r>
          </w:p>
        </w:tc>
        <w:tc>
          <w:tcPr>
            <w:tcW w:w="961" w:type="pct"/>
            <w:tcBorders>
              <w:bottom w:val="single" w:color="auto" w:sz="12" w:space="0"/>
            </w:tcBorders>
            <w:vAlign w:val="center"/>
          </w:tcPr>
          <w:p w14:paraId="20D7A056">
            <w:pPr>
              <w:ind w:firstLine="0" w:firstLineChars="0"/>
              <w:jc w:val="center"/>
              <w:rPr>
                <w:b/>
                <w:bCs/>
              </w:rPr>
            </w:pPr>
            <w:r>
              <w:rPr>
                <w:b/>
                <w:bCs/>
              </w:rPr>
              <w:t>第2年</w:t>
            </w:r>
          </w:p>
        </w:tc>
        <w:tc>
          <w:tcPr>
            <w:tcW w:w="961" w:type="pct"/>
            <w:tcBorders>
              <w:bottom w:val="single" w:color="auto" w:sz="12" w:space="0"/>
            </w:tcBorders>
            <w:vAlign w:val="center"/>
          </w:tcPr>
          <w:p w14:paraId="0B2ECC9A">
            <w:pPr>
              <w:ind w:firstLine="0" w:firstLineChars="0"/>
              <w:jc w:val="center"/>
              <w:rPr>
                <w:b/>
                <w:bCs/>
              </w:rPr>
            </w:pPr>
            <w:r>
              <w:rPr>
                <w:b/>
                <w:bCs/>
              </w:rPr>
              <w:t>第3年</w:t>
            </w:r>
          </w:p>
        </w:tc>
      </w:tr>
      <w:tr w14:paraId="291B8D51">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16" w:type="pct"/>
            <w:tcBorders>
              <w:top w:val="single" w:color="auto" w:sz="12" w:space="0"/>
            </w:tcBorders>
            <w:vAlign w:val="center"/>
          </w:tcPr>
          <w:p w14:paraId="4E00A36A">
            <w:pPr>
              <w:ind w:firstLine="0" w:firstLineChars="0"/>
              <w:jc w:val="center"/>
            </w:pPr>
            <w:r>
              <w:t>林菌种植面积（亩）</w:t>
            </w:r>
          </w:p>
        </w:tc>
        <w:tc>
          <w:tcPr>
            <w:tcW w:w="961" w:type="pct"/>
            <w:tcBorders>
              <w:top w:val="single" w:color="auto" w:sz="12" w:space="0"/>
            </w:tcBorders>
            <w:vAlign w:val="center"/>
          </w:tcPr>
          <w:p w14:paraId="098A0868">
            <w:pPr>
              <w:ind w:firstLine="0" w:firstLineChars="0"/>
              <w:jc w:val="center"/>
            </w:pPr>
            <w:r>
              <w:t>12</w:t>
            </w:r>
          </w:p>
        </w:tc>
        <w:tc>
          <w:tcPr>
            <w:tcW w:w="961" w:type="pct"/>
            <w:tcBorders>
              <w:top w:val="single" w:color="auto" w:sz="12" w:space="0"/>
            </w:tcBorders>
            <w:vAlign w:val="center"/>
          </w:tcPr>
          <w:p w14:paraId="0F712AAB">
            <w:pPr>
              <w:ind w:firstLine="0" w:firstLineChars="0"/>
              <w:jc w:val="center"/>
            </w:pPr>
            <w:r>
              <w:t>30</w:t>
            </w:r>
          </w:p>
        </w:tc>
        <w:tc>
          <w:tcPr>
            <w:tcW w:w="961" w:type="pct"/>
            <w:tcBorders>
              <w:top w:val="single" w:color="auto" w:sz="12" w:space="0"/>
            </w:tcBorders>
            <w:vAlign w:val="center"/>
          </w:tcPr>
          <w:p w14:paraId="037E8E08">
            <w:pPr>
              <w:ind w:firstLine="0" w:firstLineChars="0"/>
              <w:jc w:val="center"/>
            </w:pPr>
            <w:r>
              <w:t>50</w:t>
            </w:r>
          </w:p>
        </w:tc>
      </w:tr>
      <w:tr w14:paraId="720EE453">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16" w:type="pct"/>
            <w:vAlign w:val="center"/>
          </w:tcPr>
          <w:p w14:paraId="2109300C">
            <w:pPr>
              <w:ind w:firstLine="0" w:firstLineChars="0"/>
              <w:jc w:val="center"/>
            </w:pPr>
            <w:r>
              <w:t>干菇总产量（公斤）</w:t>
            </w:r>
          </w:p>
        </w:tc>
        <w:tc>
          <w:tcPr>
            <w:tcW w:w="961" w:type="pct"/>
            <w:vAlign w:val="center"/>
          </w:tcPr>
          <w:p w14:paraId="78850B1B">
            <w:pPr>
              <w:ind w:firstLine="0" w:firstLineChars="0"/>
              <w:jc w:val="center"/>
            </w:pPr>
            <w:r>
              <w:t>400</w:t>
            </w:r>
          </w:p>
        </w:tc>
        <w:tc>
          <w:tcPr>
            <w:tcW w:w="961" w:type="pct"/>
            <w:vAlign w:val="center"/>
          </w:tcPr>
          <w:p w14:paraId="23080757">
            <w:pPr>
              <w:ind w:firstLine="0" w:firstLineChars="0"/>
              <w:jc w:val="center"/>
            </w:pPr>
            <w:r>
              <w:t>1,200</w:t>
            </w:r>
          </w:p>
        </w:tc>
        <w:tc>
          <w:tcPr>
            <w:tcW w:w="961" w:type="pct"/>
            <w:vAlign w:val="center"/>
          </w:tcPr>
          <w:p w14:paraId="060E6A41">
            <w:pPr>
              <w:ind w:firstLine="0" w:firstLineChars="0"/>
              <w:jc w:val="center"/>
            </w:pPr>
            <w:r>
              <w:t>2,500</w:t>
            </w:r>
          </w:p>
        </w:tc>
      </w:tr>
      <w:tr w14:paraId="4CF4B8EE">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16" w:type="pct"/>
            <w:vAlign w:val="center"/>
          </w:tcPr>
          <w:p w14:paraId="405A4481">
            <w:pPr>
              <w:ind w:firstLine="0" w:firstLineChars="0"/>
              <w:jc w:val="center"/>
            </w:pPr>
            <w:r>
              <w:t>综合均价（元/公斤）</w:t>
            </w:r>
          </w:p>
        </w:tc>
        <w:tc>
          <w:tcPr>
            <w:tcW w:w="961" w:type="pct"/>
            <w:vAlign w:val="center"/>
          </w:tcPr>
          <w:p w14:paraId="6202E88C">
            <w:pPr>
              <w:ind w:firstLine="0" w:firstLineChars="0"/>
              <w:jc w:val="center"/>
            </w:pPr>
            <w:r>
              <w:t>130</w:t>
            </w:r>
          </w:p>
        </w:tc>
        <w:tc>
          <w:tcPr>
            <w:tcW w:w="961" w:type="pct"/>
            <w:vAlign w:val="center"/>
          </w:tcPr>
          <w:p w14:paraId="24A01AFA">
            <w:pPr>
              <w:ind w:firstLine="0" w:firstLineChars="0"/>
              <w:jc w:val="center"/>
            </w:pPr>
            <w:r>
              <w:t>135</w:t>
            </w:r>
          </w:p>
        </w:tc>
        <w:tc>
          <w:tcPr>
            <w:tcW w:w="961" w:type="pct"/>
            <w:vAlign w:val="center"/>
          </w:tcPr>
          <w:p w14:paraId="2D37B3AD">
            <w:pPr>
              <w:ind w:firstLine="0" w:firstLineChars="0"/>
              <w:jc w:val="center"/>
            </w:pPr>
            <w:r>
              <w:t>140</w:t>
            </w:r>
          </w:p>
        </w:tc>
      </w:tr>
      <w:tr w14:paraId="0A053BDD">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16" w:type="pct"/>
            <w:vAlign w:val="center"/>
          </w:tcPr>
          <w:p w14:paraId="63676E6E">
            <w:pPr>
              <w:ind w:firstLine="0" w:firstLineChars="0"/>
              <w:jc w:val="center"/>
            </w:pPr>
            <w:r>
              <w:rPr>
                <w:b/>
                <w:bCs/>
              </w:rPr>
              <w:t>林菌销售收入（万元）</w:t>
            </w:r>
          </w:p>
        </w:tc>
        <w:tc>
          <w:tcPr>
            <w:tcW w:w="961" w:type="pct"/>
            <w:vAlign w:val="center"/>
          </w:tcPr>
          <w:p w14:paraId="1204685A">
            <w:pPr>
              <w:ind w:firstLine="0" w:firstLineChars="0"/>
              <w:jc w:val="center"/>
            </w:pPr>
            <w:r>
              <w:rPr>
                <w:b/>
                <w:bCs/>
              </w:rPr>
              <w:t>5.2</w:t>
            </w:r>
          </w:p>
        </w:tc>
        <w:tc>
          <w:tcPr>
            <w:tcW w:w="961" w:type="pct"/>
            <w:vAlign w:val="center"/>
          </w:tcPr>
          <w:p w14:paraId="4E23F7DF">
            <w:pPr>
              <w:ind w:firstLine="0" w:firstLineChars="0"/>
              <w:jc w:val="center"/>
            </w:pPr>
            <w:r>
              <w:rPr>
                <w:b/>
                <w:bCs/>
              </w:rPr>
              <w:t>16.2</w:t>
            </w:r>
          </w:p>
        </w:tc>
        <w:tc>
          <w:tcPr>
            <w:tcW w:w="961" w:type="pct"/>
            <w:vAlign w:val="center"/>
          </w:tcPr>
          <w:p w14:paraId="54E9022C">
            <w:pPr>
              <w:ind w:firstLine="0" w:firstLineChars="0"/>
              <w:jc w:val="center"/>
            </w:pPr>
            <w:r>
              <w:rPr>
                <w:b/>
                <w:bCs/>
              </w:rPr>
              <w:t>35.0</w:t>
            </w:r>
          </w:p>
        </w:tc>
      </w:tr>
    </w:tbl>
    <w:p w14:paraId="535838F5">
      <w:pPr>
        <w:ind w:firstLine="480"/>
      </w:pPr>
      <w:r>
        <w:t>从表10-4可见，</w:t>
      </w:r>
      <w:r>
        <w:rPr>
          <w:rFonts w:hint="eastAsia"/>
        </w:rPr>
        <w:t>本项目的</w:t>
      </w:r>
      <w:r>
        <w:t>水源林菌的</w:t>
      </w:r>
      <w:r>
        <w:rPr>
          <w:rFonts w:hint="eastAsia"/>
        </w:rPr>
        <w:t>预测</w:t>
      </w:r>
      <w:r>
        <w:t>收入</w:t>
      </w:r>
      <w:r>
        <w:rPr>
          <w:rFonts w:hint="eastAsia"/>
        </w:rPr>
        <w:t>将</w:t>
      </w:r>
      <w:r>
        <w:t>从第一年的5.2万元增长至第三年的35万元，增长曲线与种植面积的扩展同步。</w:t>
      </w:r>
      <w:r>
        <w:rPr>
          <w:rFonts w:hint="eastAsia"/>
        </w:rPr>
        <w:t>其</w:t>
      </w:r>
      <w:r>
        <w:t>综合均价的温和上涨（从每公斤130元至140元）反映了产品结构的变化——随着羊肚菌等高价值品类的种植技术逐步成熟，</w:t>
      </w:r>
      <w:r>
        <w:rPr>
          <w:rFonts w:hint="eastAsia"/>
          <w:b/>
          <w:bCs/>
        </w:rPr>
        <w:t>水源林菌</w:t>
      </w:r>
      <w:r>
        <w:rPr>
          <w:b/>
          <w:bCs/>
        </w:rPr>
        <w:t>在总产量中的占比将有所提升</w:t>
      </w:r>
      <w:r>
        <w:t>。</w:t>
      </w:r>
    </w:p>
    <w:p w14:paraId="05D633A7">
      <w:pPr>
        <w:ind w:firstLine="480"/>
      </w:pPr>
      <w:r>
        <w:rPr>
          <w:rFonts w:hint="eastAsia"/>
        </w:rPr>
        <w:t>在</w:t>
      </w:r>
      <w:r>
        <w:t>销售渠道方面，</w:t>
      </w:r>
      <w:r>
        <w:rPr>
          <w:rFonts w:hint="eastAsia"/>
        </w:rPr>
        <w:t>本项目的水源林菌大</w:t>
      </w:r>
      <w:r>
        <w:t>约40%通过小程序商城直接销售给终端消费者，30%以“认养增值包”或“绝产替代礼包”的形式交付给认养用户，剩余30%通过本地批发或企业采购消化。“水源林菌”作为“樱动东庄”母品牌下的子品牌，</w:t>
      </w:r>
      <w:r>
        <w:rPr>
          <w:rFonts w:hint="eastAsia"/>
        </w:rPr>
        <w:t>可以</w:t>
      </w:r>
      <w:r>
        <w:rPr>
          <w:b/>
          <w:bCs/>
        </w:rPr>
        <w:t>复用已有的视觉识别体系和溯源二维码技术架构</w:t>
      </w:r>
      <w:r>
        <w:t>，</w:t>
      </w:r>
      <w:r>
        <w:rPr>
          <w:rFonts w:hint="eastAsia"/>
        </w:rPr>
        <w:t>其</w:t>
      </w:r>
      <w:r>
        <w:t>产品线启动的边际成本极低，这也是其毛利率能够维持在较高水平的重要原因。</w:t>
      </w:r>
    </w:p>
    <w:p w14:paraId="05884126">
      <w:pPr>
        <w:pStyle w:val="4"/>
      </w:pPr>
      <w:bookmarkStart w:id="175" w:name="_Toc17943"/>
      <w:r>
        <w:rPr>
          <w:rFonts w:hint="eastAsia"/>
        </w:rPr>
        <w:t xml:space="preserve">10.3.3 </w:t>
      </w:r>
      <w:r>
        <w:t>骑行及体验服务</w:t>
      </w:r>
      <w:bookmarkEnd w:id="175"/>
    </w:p>
    <w:p w14:paraId="5737FA1D">
      <w:pPr>
        <w:ind w:firstLine="480"/>
      </w:pPr>
      <w:r>
        <w:t>骑行及体验服务板块是</w:t>
      </w:r>
      <w:r>
        <w:rPr>
          <w:rFonts w:hint="eastAsia"/>
        </w:rPr>
        <w:t>本</w:t>
      </w:r>
      <w:r>
        <w:t>项目</w:t>
      </w:r>
      <w:r>
        <w:rPr>
          <w:b/>
          <w:bCs/>
        </w:rPr>
        <w:t>从“卖樱桃”转向“卖场景”的核心收入增量</w:t>
      </w:r>
      <w:r>
        <w:t>，涵盖了骑行联盟分成、无人驿站收益、企业端研学、企业团建定制、到访采摘体验以及季节性活动共六大项收入来源。表10-5汇总了各项收入的三年预测值。</w:t>
      </w:r>
    </w:p>
    <w:p w14:paraId="198303ED">
      <w:pPr>
        <w:pStyle w:val="6"/>
        <w:ind w:firstLine="400"/>
      </w:pPr>
      <w:r>
        <w:t>表10-5 骑行及体验服务三年预测</w:t>
      </w:r>
    </w:p>
    <w:tbl>
      <w:tblPr>
        <w:tblStyle w:val="29"/>
        <w:tblW w:w="0" w:type="auto"/>
        <w:tblInd w:w="0" w:type="dxa"/>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5"/>
        <w:gridCol w:w="1236"/>
        <w:gridCol w:w="1236"/>
        <w:gridCol w:w="1266"/>
        <w:gridCol w:w="3029"/>
      </w:tblGrid>
      <w:tr w14:paraId="008FF4B3">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6" w:type="dxa"/>
            <w:tcBorders>
              <w:bottom w:val="single" w:color="auto" w:sz="12" w:space="0"/>
            </w:tcBorders>
            <w:vAlign w:val="center"/>
          </w:tcPr>
          <w:p w14:paraId="523A6952">
            <w:pPr>
              <w:ind w:firstLine="0" w:firstLineChars="0"/>
              <w:jc w:val="center"/>
              <w:rPr>
                <w:b/>
                <w:bCs/>
              </w:rPr>
            </w:pPr>
            <w:r>
              <w:rPr>
                <w:b/>
                <w:bCs/>
              </w:rPr>
              <w:t>收入项</w:t>
            </w:r>
          </w:p>
        </w:tc>
        <w:tc>
          <w:tcPr>
            <w:tcW w:w="0" w:type="auto"/>
            <w:tcBorders>
              <w:bottom w:val="single" w:color="auto" w:sz="12" w:space="0"/>
            </w:tcBorders>
            <w:vAlign w:val="center"/>
          </w:tcPr>
          <w:p w14:paraId="25E760E8">
            <w:pPr>
              <w:ind w:firstLine="0" w:firstLineChars="0"/>
              <w:jc w:val="center"/>
              <w:rPr>
                <w:b/>
                <w:bCs/>
              </w:rPr>
            </w:pPr>
            <w:r>
              <w:rPr>
                <w:b/>
                <w:bCs/>
              </w:rPr>
              <w:t>第1年（万元）</w:t>
            </w:r>
          </w:p>
        </w:tc>
        <w:tc>
          <w:tcPr>
            <w:tcW w:w="0" w:type="auto"/>
            <w:tcBorders>
              <w:bottom w:val="single" w:color="auto" w:sz="12" w:space="0"/>
            </w:tcBorders>
            <w:vAlign w:val="center"/>
          </w:tcPr>
          <w:p w14:paraId="387D7042">
            <w:pPr>
              <w:ind w:firstLine="0" w:firstLineChars="0"/>
              <w:jc w:val="center"/>
              <w:rPr>
                <w:b/>
                <w:bCs/>
              </w:rPr>
            </w:pPr>
            <w:r>
              <w:rPr>
                <w:b/>
                <w:bCs/>
              </w:rPr>
              <w:t>第2年（万元）</w:t>
            </w:r>
          </w:p>
        </w:tc>
        <w:tc>
          <w:tcPr>
            <w:tcW w:w="0" w:type="auto"/>
            <w:tcBorders>
              <w:bottom w:val="single" w:color="auto" w:sz="12" w:space="0"/>
            </w:tcBorders>
            <w:vAlign w:val="center"/>
          </w:tcPr>
          <w:p w14:paraId="3F4874DC">
            <w:pPr>
              <w:ind w:firstLine="0" w:firstLineChars="0"/>
              <w:jc w:val="center"/>
              <w:rPr>
                <w:b/>
                <w:bCs/>
              </w:rPr>
            </w:pPr>
            <w:r>
              <w:rPr>
                <w:b/>
                <w:bCs/>
              </w:rPr>
              <w:t>第3年（万元）</w:t>
            </w:r>
          </w:p>
        </w:tc>
        <w:tc>
          <w:tcPr>
            <w:tcW w:w="0" w:type="auto"/>
            <w:tcBorders>
              <w:bottom w:val="single" w:color="auto" w:sz="12" w:space="0"/>
            </w:tcBorders>
            <w:vAlign w:val="center"/>
          </w:tcPr>
          <w:p w14:paraId="59B7F071">
            <w:pPr>
              <w:ind w:firstLine="0" w:firstLineChars="0"/>
              <w:jc w:val="center"/>
              <w:rPr>
                <w:b/>
                <w:bCs/>
              </w:rPr>
            </w:pPr>
            <w:r>
              <w:rPr>
                <w:b/>
                <w:bCs/>
              </w:rPr>
              <w:t>测算逻辑</w:t>
            </w:r>
          </w:p>
        </w:tc>
      </w:tr>
      <w:tr w14:paraId="004BF4CC">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6" w:type="dxa"/>
            <w:tcBorders>
              <w:top w:val="single" w:color="auto" w:sz="12" w:space="0"/>
            </w:tcBorders>
            <w:vAlign w:val="center"/>
          </w:tcPr>
          <w:p w14:paraId="2DAB1BBE">
            <w:pPr>
              <w:ind w:firstLine="0" w:firstLineChars="0"/>
              <w:jc w:val="center"/>
            </w:pPr>
            <w:r>
              <w:t>骑行联盟分成</w:t>
            </w:r>
          </w:p>
        </w:tc>
        <w:tc>
          <w:tcPr>
            <w:tcW w:w="0" w:type="auto"/>
            <w:tcBorders>
              <w:top w:val="single" w:color="auto" w:sz="12" w:space="0"/>
            </w:tcBorders>
            <w:vAlign w:val="center"/>
          </w:tcPr>
          <w:p w14:paraId="18542204">
            <w:pPr>
              <w:ind w:firstLine="0" w:firstLineChars="0"/>
              <w:jc w:val="center"/>
            </w:pPr>
            <w:r>
              <w:t>1.5</w:t>
            </w:r>
          </w:p>
        </w:tc>
        <w:tc>
          <w:tcPr>
            <w:tcW w:w="0" w:type="auto"/>
            <w:tcBorders>
              <w:top w:val="single" w:color="auto" w:sz="12" w:space="0"/>
            </w:tcBorders>
            <w:vAlign w:val="center"/>
          </w:tcPr>
          <w:p w14:paraId="6EA9B833">
            <w:pPr>
              <w:ind w:firstLine="0" w:firstLineChars="0"/>
              <w:jc w:val="center"/>
            </w:pPr>
            <w:r>
              <w:t>6.0</w:t>
            </w:r>
          </w:p>
        </w:tc>
        <w:tc>
          <w:tcPr>
            <w:tcW w:w="0" w:type="auto"/>
            <w:tcBorders>
              <w:top w:val="single" w:color="auto" w:sz="12" w:space="0"/>
            </w:tcBorders>
            <w:vAlign w:val="center"/>
          </w:tcPr>
          <w:p w14:paraId="000C5C54">
            <w:pPr>
              <w:ind w:firstLine="0" w:firstLineChars="0"/>
              <w:jc w:val="center"/>
            </w:pPr>
            <w:r>
              <w:t>13.0</w:t>
            </w:r>
          </w:p>
        </w:tc>
        <w:tc>
          <w:tcPr>
            <w:tcW w:w="0" w:type="auto"/>
            <w:tcBorders>
              <w:top w:val="single" w:color="auto" w:sz="12" w:space="0"/>
            </w:tcBorders>
            <w:vAlign w:val="center"/>
          </w:tcPr>
          <w:p w14:paraId="753EABA6">
            <w:pPr>
              <w:ind w:firstLine="0" w:firstLineChars="0"/>
              <w:jc w:val="center"/>
            </w:pPr>
            <w:r>
              <w:t>赛事报名费25%+联盟订单30%+导流技术服务费5%</w:t>
            </w:r>
          </w:p>
        </w:tc>
      </w:tr>
      <w:tr w14:paraId="0B878393">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6" w:type="dxa"/>
            <w:vAlign w:val="center"/>
          </w:tcPr>
          <w:p w14:paraId="7CFAF02D">
            <w:pPr>
              <w:ind w:firstLine="0" w:firstLineChars="0"/>
              <w:jc w:val="center"/>
            </w:pPr>
            <w:r>
              <w:t>无人驿站收益</w:t>
            </w:r>
          </w:p>
        </w:tc>
        <w:tc>
          <w:tcPr>
            <w:tcW w:w="0" w:type="auto"/>
            <w:vAlign w:val="center"/>
          </w:tcPr>
          <w:p w14:paraId="41DCE5C9">
            <w:pPr>
              <w:ind w:firstLine="0" w:firstLineChars="0"/>
              <w:jc w:val="center"/>
            </w:pPr>
            <w:r>
              <w:t>3.5</w:t>
            </w:r>
          </w:p>
        </w:tc>
        <w:tc>
          <w:tcPr>
            <w:tcW w:w="0" w:type="auto"/>
            <w:vAlign w:val="center"/>
          </w:tcPr>
          <w:p w14:paraId="52682669">
            <w:pPr>
              <w:ind w:firstLine="0" w:firstLineChars="0"/>
              <w:jc w:val="center"/>
            </w:pPr>
            <w:r>
              <w:t>8.0</w:t>
            </w:r>
          </w:p>
        </w:tc>
        <w:tc>
          <w:tcPr>
            <w:tcW w:w="0" w:type="auto"/>
            <w:vAlign w:val="center"/>
          </w:tcPr>
          <w:p w14:paraId="0096748C">
            <w:pPr>
              <w:ind w:firstLine="0" w:firstLineChars="0"/>
              <w:jc w:val="center"/>
            </w:pPr>
            <w:r>
              <w:t>18.0</w:t>
            </w:r>
          </w:p>
        </w:tc>
        <w:tc>
          <w:tcPr>
            <w:tcW w:w="0" w:type="auto"/>
            <w:vAlign w:val="center"/>
          </w:tcPr>
          <w:p w14:paraId="2701CFA4">
            <w:pPr>
              <w:ind w:firstLine="0" w:firstLineChars="0"/>
              <w:jc w:val="center"/>
            </w:pPr>
            <w:r>
              <w:t>场地租金+销售分成+广告位+代销佣金</w:t>
            </w:r>
          </w:p>
        </w:tc>
      </w:tr>
      <w:tr w14:paraId="27787D23">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6" w:type="dxa"/>
            <w:vAlign w:val="center"/>
          </w:tcPr>
          <w:p w14:paraId="24BB84CA">
            <w:pPr>
              <w:ind w:firstLine="0" w:firstLineChars="0"/>
              <w:jc w:val="center"/>
            </w:pPr>
            <w:r>
              <w:t>B端研学</w:t>
            </w:r>
            <w:r>
              <w:rPr>
                <w:rFonts w:hint="eastAsia"/>
              </w:rPr>
              <w:t>/</w:t>
            </w:r>
          </w:p>
          <w:p w14:paraId="68CF57D5">
            <w:pPr>
              <w:ind w:firstLine="0" w:firstLineChars="0"/>
              <w:jc w:val="center"/>
            </w:pPr>
            <w:r>
              <w:t>夏令营</w:t>
            </w:r>
          </w:p>
        </w:tc>
        <w:tc>
          <w:tcPr>
            <w:tcW w:w="0" w:type="auto"/>
            <w:vAlign w:val="center"/>
          </w:tcPr>
          <w:p w14:paraId="75697C20">
            <w:pPr>
              <w:ind w:firstLine="0" w:firstLineChars="0"/>
              <w:jc w:val="center"/>
            </w:pPr>
            <w:r>
              <w:t>12.0</w:t>
            </w:r>
          </w:p>
        </w:tc>
        <w:tc>
          <w:tcPr>
            <w:tcW w:w="0" w:type="auto"/>
            <w:vAlign w:val="center"/>
          </w:tcPr>
          <w:p w14:paraId="6ACBD5CD">
            <w:pPr>
              <w:ind w:firstLine="0" w:firstLineChars="0"/>
              <w:jc w:val="center"/>
            </w:pPr>
            <w:r>
              <w:t>25.0</w:t>
            </w:r>
          </w:p>
        </w:tc>
        <w:tc>
          <w:tcPr>
            <w:tcW w:w="0" w:type="auto"/>
            <w:vAlign w:val="center"/>
          </w:tcPr>
          <w:p w14:paraId="28D6152E">
            <w:pPr>
              <w:ind w:firstLine="0" w:firstLineChars="0"/>
              <w:jc w:val="center"/>
            </w:pPr>
            <w:r>
              <w:t>45.0</w:t>
            </w:r>
          </w:p>
        </w:tc>
        <w:tc>
          <w:tcPr>
            <w:tcW w:w="0" w:type="auto"/>
            <w:vAlign w:val="center"/>
          </w:tcPr>
          <w:p w14:paraId="37F75B5B">
            <w:pPr>
              <w:ind w:firstLine="0" w:firstLineChars="0"/>
              <w:jc w:val="center"/>
            </w:pPr>
            <w:r>
              <w:t>学校/机构批量采购，春秋两季接待</w:t>
            </w:r>
          </w:p>
        </w:tc>
      </w:tr>
      <w:tr w14:paraId="37C9B347">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6" w:type="dxa"/>
            <w:vAlign w:val="center"/>
          </w:tcPr>
          <w:p w14:paraId="546581B4">
            <w:pPr>
              <w:ind w:firstLine="0" w:firstLineChars="0"/>
              <w:jc w:val="center"/>
            </w:pPr>
            <w:r>
              <w:t>企业团建定制</w:t>
            </w:r>
          </w:p>
        </w:tc>
        <w:tc>
          <w:tcPr>
            <w:tcW w:w="0" w:type="auto"/>
            <w:vAlign w:val="center"/>
          </w:tcPr>
          <w:p w14:paraId="552DB600">
            <w:pPr>
              <w:ind w:firstLine="0" w:firstLineChars="0"/>
              <w:jc w:val="center"/>
            </w:pPr>
            <w:r>
              <w:t>6.0</w:t>
            </w:r>
          </w:p>
        </w:tc>
        <w:tc>
          <w:tcPr>
            <w:tcW w:w="0" w:type="auto"/>
            <w:vAlign w:val="center"/>
          </w:tcPr>
          <w:p w14:paraId="55ABEF25">
            <w:pPr>
              <w:ind w:firstLine="0" w:firstLineChars="0"/>
              <w:jc w:val="center"/>
            </w:pPr>
            <w:r>
              <w:t>15.0</w:t>
            </w:r>
          </w:p>
        </w:tc>
        <w:tc>
          <w:tcPr>
            <w:tcW w:w="0" w:type="auto"/>
            <w:vAlign w:val="center"/>
          </w:tcPr>
          <w:p w14:paraId="400253C8">
            <w:pPr>
              <w:ind w:firstLine="0" w:firstLineChars="0"/>
              <w:jc w:val="center"/>
            </w:pPr>
            <w:r>
              <w:t>28.0</w:t>
            </w:r>
          </w:p>
        </w:tc>
        <w:tc>
          <w:tcPr>
            <w:tcW w:w="0" w:type="auto"/>
            <w:vAlign w:val="center"/>
          </w:tcPr>
          <w:p w14:paraId="3454E45E">
            <w:pPr>
              <w:ind w:firstLine="0" w:firstLineChars="0"/>
              <w:jc w:val="center"/>
            </w:pPr>
            <w:r>
              <w:t>企业认养配套团建+拓展产品</w:t>
            </w:r>
          </w:p>
        </w:tc>
      </w:tr>
      <w:tr w14:paraId="45225982">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6" w:type="dxa"/>
            <w:vAlign w:val="center"/>
          </w:tcPr>
          <w:p w14:paraId="4FEF8F6C">
            <w:pPr>
              <w:ind w:firstLine="0" w:firstLineChars="0"/>
              <w:jc w:val="center"/>
            </w:pPr>
            <w:r>
              <w:t>到访采摘体验</w:t>
            </w:r>
          </w:p>
        </w:tc>
        <w:tc>
          <w:tcPr>
            <w:tcW w:w="0" w:type="auto"/>
            <w:vAlign w:val="center"/>
          </w:tcPr>
          <w:p w14:paraId="345DF9E7">
            <w:pPr>
              <w:ind w:firstLine="0" w:firstLineChars="0"/>
              <w:jc w:val="center"/>
            </w:pPr>
            <w:r>
              <w:t>8.0</w:t>
            </w:r>
          </w:p>
        </w:tc>
        <w:tc>
          <w:tcPr>
            <w:tcW w:w="0" w:type="auto"/>
            <w:vAlign w:val="center"/>
          </w:tcPr>
          <w:p w14:paraId="1448DA54">
            <w:pPr>
              <w:ind w:firstLine="0" w:firstLineChars="0"/>
              <w:jc w:val="center"/>
            </w:pPr>
            <w:r>
              <w:t>15.0</w:t>
            </w:r>
          </w:p>
        </w:tc>
        <w:tc>
          <w:tcPr>
            <w:tcW w:w="0" w:type="auto"/>
            <w:vAlign w:val="center"/>
          </w:tcPr>
          <w:p w14:paraId="49EC7FF6">
            <w:pPr>
              <w:ind w:firstLine="0" w:firstLineChars="0"/>
              <w:jc w:val="center"/>
            </w:pPr>
            <w:r>
              <w:t>22.0</w:t>
            </w:r>
          </w:p>
        </w:tc>
        <w:tc>
          <w:tcPr>
            <w:tcW w:w="0" w:type="auto"/>
            <w:vAlign w:val="center"/>
          </w:tcPr>
          <w:p w14:paraId="10F5EA18">
            <w:pPr>
              <w:ind w:firstLine="0" w:firstLineChars="0"/>
              <w:jc w:val="center"/>
            </w:pPr>
            <w:r>
              <w:t>散客+认养人到访日消费</w:t>
            </w:r>
          </w:p>
        </w:tc>
      </w:tr>
      <w:tr w14:paraId="5CECA273">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6" w:type="dxa"/>
            <w:vAlign w:val="center"/>
          </w:tcPr>
          <w:p w14:paraId="51D0B24F">
            <w:pPr>
              <w:ind w:firstLine="0" w:firstLineChars="0"/>
              <w:jc w:val="center"/>
            </w:pPr>
            <w:r>
              <w:t>季节性活动</w:t>
            </w:r>
          </w:p>
        </w:tc>
        <w:tc>
          <w:tcPr>
            <w:tcW w:w="0" w:type="auto"/>
            <w:vAlign w:val="center"/>
          </w:tcPr>
          <w:p w14:paraId="4E55519F">
            <w:pPr>
              <w:ind w:firstLine="0" w:firstLineChars="0"/>
              <w:jc w:val="center"/>
            </w:pPr>
            <w:r>
              <w:t>3.0</w:t>
            </w:r>
          </w:p>
        </w:tc>
        <w:tc>
          <w:tcPr>
            <w:tcW w:w="0" w:type="auto"/>
            <w:vAlign w:val="center"/>
          </w:tcPr>
          <w:p w14:paraId="3A292132">
            <w:pPr>
              <w:ind w:firstLine="0" w:firstLineChars="0"/>
              <w:jc w:val="center"/>
            </w:pPr>
            <w:r>
              <w:t>8.0</w:t>
            </w:r>
          </w:p>
        </w:tc>
        <w:tc>
          <w:tcPr>
            <w:tcW w:w="0" w:type="auto"/>
            <w:vAlign w:val="center"/>
          </w:tcPr>
          <w:p w14:paraId="56EB4C3C">
            <w:pPr>
              <w:ind w:firstLine="0" w:firstLineChars="0"/>
              <w:jc w:val="center"/>
            </w:pPr>
            <w:r>
              <w:t>14.0</w:t>
            </w:r>
          </w:p>
        </w:tc>
        <w:tc>
          <w:tcPr>
            <w:tcW w:w="0" w:type="auto"/>
            <w:vAlign w:val="center"/>
          </w:tcPr>
          <w:p w14:paraId="1BD8882B">
            <w:pPr>
              <w:ind w:firstLine="0" w:firstLineChars="0"/>
              <w:jc w:val="center"/>
            </w:pPr>
            <w:r>
              <w:t>骑行赛/丰收节/樱花季等节点活动</w:t>
            </w:r>
          </w:p>
        </w:tc>
      </w:tr>
      <w:tr w14:paraId="26871601">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6" w:type="dxa"/>
            <w:vAlign w:val="center"/>
          </w:tcPr>
          <w:p w14:paraId="7D2104E5">
            <w:pPr>
              <w:ind w:firstLine="0" w:firstLineChars="0"/>
              <w:jc w:val="center"/>
            </w:pPr>
            <w:r>
              <w:rPr>
                <w:b/>
                <w:bCs/>
              </w:rPr>
              <w:t>小计</w:t>
            </w:r>
          </w:p>
        </w:tc>
        <w:tc>
          <w:tcPr>
            <w:tcW w:w="0" w:type="auto"/>
            <w:vAlign w:val="center"/>
          </w:tcPr>
          <w:p w14:paraId="76C5AD57">
            <w:pPr>
              <w:ind w:firstLine="0" w:firstLineChars="0"/>
              <w:jc w:val="center"/>
            </w:pPr>
            <w:r>
              <w:rPr>
                <w:b/>
                <w:bCs/>
              </w:rPr>
              <w:t>34.0</w:t>
            </w:r>
          </w:p>
        </w:tc>
        <w:tc>
          <w:tcPr>
            <w:tcW w:w="0" w:type="auto"/>
            <w:vAlign w:val="center"/>
          </w:tcPr>
          <w:p w14:paraId="1897CF08">
            <w:pPr>
              <w:ind w:firstLine="0" w:firstLineChars="0"/>
              <w:jc w:val="center"/>
            </w:pPr>
            <w:r>
              <w:rPr>
                <w:b/>
                <w:bCs/>
              </w:rPr>
              <w:t>77.0</w:t>
            </w:r>
          </w:p>
        </w:tc>
        <w:tc>
          <w:tcPr>
            <w:tcW w:w="0" w:type="auto"/>
            <w:vAlign w:val="center"/>
          </w:tcPr>
          <w:p w14:paraId="12EE1317">
            <w:pPr>
              <w:ind w:firstLine="0" w:firstLineChars="0"/>
              <w:jc w:val="center"/>
            </w:pPr>
            <w:r>
              <w:rPr>
                <w:b/>
                <w:bCs/>
              </w:rPr>
              <w:t>140.0</w:t>
            </w:r>
          </w:p>
        </w:tc>
        <w:tc>
          <w:tcPr>
            <w:tcW w:w="0" w:type="auto"/>
            <w:vAlign w:val="center"/>
          </w:tcPr>
          <w:p w14:paraId="525F2123">
            <w:pPr>
              <w:ind w:firstLine="0" w:firstLineChars="0"/>
              <w:jc w:val="center"/>
            </w:pPr>
            <w:r>
              <w:t>—</w:t>
            </w:r>
          </w:p>
        </w:tc>
      </w:tr>
    </w:tbl>
    <w:p w14:paraId="213AC778">
      <w:pPr>
        <w:ind w:firstLine="480"/>
      </w:pPr>
      <w:r>
        <w:t>表10-5所呈现的收入增长轨迹</w:t>
      </w:r>
      <w:r>
        <w:rPr>
          <w:rFonts w:hint="eastAsia"/>
        </w:rPr>
        <w:t>可以</w:t>
      </w:r>
      <w:r>
        <w:t>反映出</w:t>
      </w:r>
      <w:r>
        <w:rPr>
          <w:rFonts w:hint="eastAsia"/>
        </w:rPr>
        <w:t>本项目</w:t>
      </w:r>
      <w:r>
        <w:t>骑行及体验服务板块的两个阶段性特征。第一年</w:t>
      </w:r>
      <w:r>
        <w:rPr>
          <w:rFonts w:hint="eastAsia"/>
        </w:rPr>
        <w:t>项目的</w:t>
      </w:r>
      <w:r>
        <w:t>收入规模较小（合计34万元），主要是因为骑行联盟尚处于</w:t>
      </w:r>
      <w:r>
        <w:rPr>
          <w:b/>
          <w:bCs/>
        </w:rPr>
        <w:t>双村试点阶段</w:t>
      </w:r>
      <w:r>
        <w:t>，赛事活动</w:t>
      </w:r>
      <w:r>
        <w:rPr>
          <w:b/>
          <w:bCs/>
        </w:rPr>
        <w:t>以验证模式为主</w:t>
      </w:r>
      <w:r>
        <w:t>而非追求规模；无人驿站仅投放1个点位，且运营时间仅覆盖旺季的7个月；研学和企业团建也处于</w:t>
      </w:r>
      <w:r>
        <w:rPr>
          <w:b/>
          <w:bCs/>
        </w:rPr>
        <w:t>产品打磨和首批客户积累期</w:t>
      </w:r>
      <w:r>
        <w:t>。</w:t>
      </w:r>
    </w:p>
    <w:p w14:paraId="2763F97C">
      <w:pPr>
        <w:ind w:firstLine="480"/>
      </w:pPr>
      <w:r>
        <w:rPr>
          <w:rFonts w:hint="eastAsia"/>
        </w:rPr>
        <w:t>在</w:t>
      </w:r>
      <w:r>
        <w:t>第二年起</w:t>
      </w:r>
      <w:r>
        <w:rPr>
          <w:rFonts w:hint="eastAsia"/>
        </w:rPr>
        <w:t>，本项目的</w:t>
      </w:r>
      <w:r>
        <w:t>各项业务开始放量</w:t>
      </w:r>
      <w:r>
        <w:rPr>
          <w:rFonts w:hint="eastAsia"/>
        </w:rPr>
        <w:t>，</w:t>
      </w:r>
      <w:r>
        <w:t>骑行联盟扩展至3个村，全年举办1至2场联盟赛事，企业端定制订单逐步稳定；无人驿站增加至2个点位，广告位出租和代销佣金收入开始显现；研学产品经过标准化后开始批量对接学校渠道</w:t>
      </w:r>
      <w:r>
        <w:rPr>
          <w:rFonts w:hint="eastAsia"/>
        </w:rPr>
        <w:t>；在</w:t>
      </w:r>
      <w:r>
        <w:t>第三年</w:t>
      </w:r>
      <w:r>
        <w:rPr>
          <w:rFonts w:hint="eastAsia"/>
        </w:rPr>
        <w:t>,本项目的</w:t>
      </w:r>
      <w:r>
        <w:t>联盟</w:t>
      </w:r>
      <w:r>
        <w:rPr>
          <w:rFonts w:hint="eastAsia"/>
        </w:rPr>
        <w:t>将</w:t>
      </w:r>
      <w:r>
        <w:t>扩展至4至5个村，驿站覆盖3个点位，形成</w:t>
      </w:r>
      <w:r>
        <w:rPr>
          <w:b/>
          <w:bCs/>
        </w:rPr>
        <w:t>“旺季全设备运营+淡季保留基础服务”</w:t>
      </w:r>
      <w:r>
        <w:t>的</w:t>
      </w:r>
      <w:r>
        <w:rPr>
          <w:b/>
          <w:bCs/>
        </w:rPr>
        <w:t>季节性运营节奏</w:t>
      </w:r>
      <w:r>
        <w:t>，全年收入</w:t>
      </w:r>
      <w:r>
        <w:rPr>
          <w:rFonts w:hint="eastAsia"/>
        </w:rPr>
        <w:t>预计</w:t>
      </w:r>
      <w:r>
        <w:t>达到140万元，成为仅次于鲜果销售的第二大收入来源。</w:t>
      </w:r>
    </w:p>
    <w:p w14:paraId="45BC4674">
      <w:pPr>
        <w:ind w:firstLine="480"/>
      </w:pPr>
      <w:r>
        <w:t>上述客单价提升路径得到消费者行为数据的直接支撑</w:t>
      </w:r>
      <w:r>
        <w:rPr>
          <w:rFonts w:hint="eastAsia"/>
        </w:rPr>
        <w:t>，</w:t>
      </w:r>
      <w:r>
        <w:t>根据问卷分析得出的停留-消费边际系数（β=138.15），游客停留时长从当前3.2小时延长至目标6小时，理论消费金额将从493元提升至约880元。本项目“</w:t>
      </w:r>
      <w:r>
        <w:rPr>
          <w:b/>
          <w:bCs/>
        </w:rPr>
        <w:t>骑行+采摘+餐饮+体验”</w:t>
      </w:r>
      <w:r>
        <w:t>套餐定价区间为300—500元/人，处于该消费增长曲线的保守区间，具备充足的上调弹性。</w:t>
      </w:r>
      <w:r>
        <w:rPr>
          <w:b/>
          <w:bCs/>
        </w:rPr>
        <w:t>骑行联盟与场景体验体系的组合设计</w:t>
      </w:r>
      <w:r>
        <w:t>，正是延长停留时长、释放消费增量的核心抓手。</w:t>
      </w:r>
    </w:p>
    <w:p w14:paraId="1F7B7898">
      <w:pPr>
        <w:pStyle w:val="4"/>
      </w:pPr>
      <w:bookmarkStart w:id="176" w:name="_Toc9184"/>
      <w:r>
        <w:rPr>
          <w:rFonts w:hint="eastAsia"/>
        </w:rPr>
        <w:t>10.3.4</w:t>
      </w:r>
      <w:r>
        <w:t>一树一人认养计划</w:t>
      </w:r>
      <w:bookmarkEnd w:id="176"/>
    </w:p>
    <w:p w14:paraId="5ECE15D7">
      <w:pPr>
        <w:ind w:firstLine="480"/>
      </w:pPr>
      <w:r>
        <w:t>认养计划是本项目所有业务线中毛利率最高、用户粘性最强、抗天气风险能力最优的板块，也是品牌升级、数字平台价值与三产融合三个命题在同一产品上的交汇点。</w:t>
      </w:r>
      <w:r>
        <w:rPr>
          <w:rFonts w:hint="eastAsia"/>
        </w:rPr>
        <w:t>该</w:t>
      </w:r>
      <w:r>
        <w:t>收入</w:t>
      </w:r>
      <w:r>
        <w:rPr>
          <w:rFonts w:hint="eastAsia"/>
        </w:rPr>
        <w:t>主要</w:t>
      </w:r>
      <w:r>
        <w:t>由两部分构成</w:t>
      </w:r>
      <w:r>
        <w:rPr>
          <w:rFonts w:hint="eastAsia"/>
        </w:rPr>
        <w:t>，一是</w:t>
      </w:r>
      <w:r>
        <w:t>基础认养费</w:t>
      </w:r>
      <w:r>
        <w:rPr>
          <w:rFonts w:hint="eastAsia"/>
        </w:rPr>
        <w:t>，</w:t>
      </w:r>
      <w:r>
        <w:t>对应三档产品的年费定价，</w:t>
      </w:r>
      <w:r>
        <w:rPr>
          <w:rFonts w:hint="eastAsia"/>
        </w:rPr>
        <w:t>二是</w:t>
      </w:r>
      <w:r>
        <w:t>互动增值包</w:t>
      </w:r>
      <w:r>
        <w:rPr>
          <w:rFonts w:hint="eastAsia"/>
        </w:rPr>
        <w:t>，</w:t>
      </w:r>
      <w:r>
        <w:t>则是认养人在认养周期内购买的加餐施肥、挂祝福牌、除虫记录等付费互动服务。表10-6展示了三年的规模与收入预测。</w:t>
      </w:r>
    </w:p>
    <w:p w14:paraId="2328C2E8">
      <w:pPr>
        <w:pStyle w:val="6"/>
        <w:ind w:firstLine="400"/>
      </w:pPr>
      <w:r>
        <w:t>表10-6 认养计划三年预测</w:t>
      </w:r>
    </w:p>
    <w:tbl>
      <w:tblPr>
        <w:tblStyle w:val="29"/>
        <w:tblW w:w="5000" w:type="pct"/>
        <w:tblInd w:w="0" w:type="dxa"/>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24"/>
        <w:gridCol w:w="1466"/>
        <w:gridCol w:w="1466"/>
        <w:gridCol w:w="1466"/>
      </w:tblGrid>
      <w:tr w14:paraId="7994B5C4">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20" w:type="pct"/>
            <w:tcBorders>
              <w:bottom w:val="single" w:color="auto" w:sz="12" w:space="0"/>
            </w:tcBorders>
            <w:vAlign w:val="center"/>
          </w:tcPr>
          <w:p w14:paraId="6DCA0409">
            <w:pPr>
              <w:ind w:firstLine="0" w:firstLineChars="0"/>
              <w:jc w:val="center"/>
            </w:pPr>
            <w:r>
              <w:t>指标</w:t>
            </w:r>
          </w:p>
        </w:tc>
        <w:tc>
          <w:tcPr>
            <w:tcW w:w="860" w:type="pct"/>
            <w:tcBorders>
              <w:bottom w:val="single" w:color="auto" w:sz="12" w:space="0"/>
            </w:tcBorders>
            <w:vAlign w:val="center"/>
          </w:tcPr>
          <w:p w14:paraId="7A09D197">
            <w:pPr>
              <w:ind w:firstLine="0" w:firstLineChars="0"/>
              <w:jc w:val="center"/>
            </w:pPr>
            <w:r>
              <w:t>第1年</w:t>
            </w:r>
          </w:p>
        </w:tc>
        <w:tc>
          <w:tcPr>
            <w:tcW w:w="860" w:type="pct"/>
            <w:tcBorders>
              <w:bottom w:val="single" w:color="auto" w:sz="12" w:space="0"/>
            </w:tcBorders>
            <w:vAlign w:val="center"/>
          </w:tcPr>
          <w:p w14:paraId="65BA85AA">
            <w:pPr>
              <w:ind w:firstLine="0" w:firstLineChars="0"/>
              <w:jc w:val="center"/>
            </w:pPr>
            <w:r>
              <w:t>第2年</w:t>
            </w:r>
          </w:p>
        </w:tc>
        <w:tc>
          <w:tcPr>
            <w:tcW w:w="860" w:type="pct"/>
            <w:tcBorders>
              <w:bottom w:val="single" w:color="auto" w:sz="12" w:space="0"/>
            </w:tcBorders>
            <w:vAlign w:val="center"/>
          </w:tcPr>
          <w:p w14:paraId="3FA6B5AE">
            <w:pPr>
              <w:ind w:firstLine="0" w:firstLineChars="0"/>
              <w:jc w:val="center"/>
            </w:pPr>
            <w:r>
              <w:t>第3年</w:t>
            </w:r>
          </w:p>
        </w:tc>
      </w:tr>
      <w:tr w14:paraId="5A19DE9B">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20" w:type="pct"/>
            <w:tcBorders>
              <w:top w:val="single" w:color="auto" w:sz="12" w:space="0"/>
            </w:tcBorders>
            <w:vAlign w:val="center"/>
          </w:tcPr>
          <w:p w14:paraId="590E0D13">
            <w:pPr>
              <w:ind w:firstLine="0" w:firstLineChars="0"/>
              <w:jc w:val="center"/>
            </w:pPr>
            <w:r>
              <w:t>新增认养（棵）</w:t>
            </w:r>
          </w:p>
        </w:tc>
        <w:tc>
          <w:tcPr>
            <w:tcW w:w="860" w:type="pct"/>
            <w:tcBorders>
              <w:top w:val="single" w:color="auto" w:sz="12" w:space="0"/>
            </w:tcBorders>
            <w:vAlign w:val="center"/>
          </w:tcPr>
          <w:p w14:paraId="0B1868E6">
            <w:pPr>
              <w:ind w:firstLine="0" w:firstLineChars="0"/>
              <w:jc w:val="center"/>
            </w:pPr>
            <w:r>
              <w:t>80</w:t>
            </w:r>
          </w:p>
        </w:tc>
        <w:tc>
          <w:tcPr>
            <w:tcW w:w="860" w:type="pct"/>
            <w:tcBorders>
              <w:top w:val="single" w:color="auto" w:sz="12" w:space="0"/>
            </w:tcBorders>
            <w:vAlign w:val="center"/>
          </w:tcPr>
          <w:p w14:paraId="427CEE9C">
            <w:pPr>
              <w:ind w:firstLine="0" w:firstLineChars="0"/>
              <w:jc w:val="center"/>
            </w:pPr>
            <w:r>
              <w:t>200</w:t>
            </w:r>
          </w:p>
        </w:tc>
        <w:tc>
          <w:tcPr>
            <w:tcW w:w="860" w:type="pct"/>
            <w:tcBorders>
              <w:top w:val="single" w:color="auto" w:sz="12" w:space="0"/>
            </w:tcBorders>
            <w:vAlign w:val="center"/>
          </w:tcPr>
          <w:p w14:paraId="4DDAB335">
            <w:pPr>
              <w:ind w:firstLine="0" w:firstLineChars="0"/>
              <w:jc w:val="center"/>
            </w:pPr>
            <w:r>
              <w:t>270</w:t>
            </w:r>
          </w:p>
        </w:tc>
      </w:tr>
      <w:tr w14:paraId="5C92BA99">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20" w:type="pct"/>
            <w:vAlign w:val="center"/>
          </w:tcPr>
          <w:p w14:paraId="2D7DBECB">
            <w:pPr>
              <w:ind w:firstLine="0" w:firstLineChars="0"/>
              <w:jc w:val="center"/>
            </w:pPr>
            <w:r>
              <w:t>续费认养（棵）</w:t>
            </w:r>
          </w:p>
        </w:tc>
        <w:tc>
          <w:tcPr>
            <w:tcW w:w="860" w:type="pct"/>
            <w:vAlign w:val="center"/>
          </w:tcPr>
          <w:p w14:paraId="4C0D4D75">
            <w:pPr>
              <w:ind w:firstLine="0" w:firstLineChars="0"/>
              <w:jc w:val="center"/>
            </w:pPr>
            <w:r>
              <w:t>0</w:t>
            </w:r>
          </w:p>
        </w:tc>
        <w:tc>
          <w:tcPr>
            <w:tcW w:w="860" w:type="pct"/>
            <w:vAlign w:val="center"/>
          </w:tcPr>
          <w:p w14:paraId="356167EF">
            <w:pPr>
              <w:ind w:firstLine="0" w:firstLineChars="0"/>
              <w:jc w:val="center"/>
            </w:pPr>
            <w:r>
              <w:t>50</w:t>
            </w:r>
          </w:p>
        </w:tc>
        <w:tc>
          <w:tcPr>
            <w:tcW w:w="860" w:type="pct"/>
            <w:vAlign w:val="center"/>
          </w:tcPr>
          <w:p w14:paraId="74DCFAE9">
            <w:pPr>
              <w:ind w:firstLine="0" w:firstLineChars="0"/>
              <w:jc w:val="center"/>
            </w:pPr>
            <w:r>
              <w:t>180</w:t>
            </w:r>
          </w:p>
        </w:tc>
      </w:tr>
      <w:tr w14:paraId="53072613">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20" w:type="pct"/>
            <w:vAlign w:val="center"/>
          </w:tcPr>
          <w:p w14:paraId="040D6676">
            <w:pPr>
              <w:ind w:firstLine="0" w:firstLineChars="0"/>
              <w:jc w:val="center"/>
            </w:pPr>
            <w:r>
              <w:t>总认养（棵）</w:t>
            </w:r>
          </w:p>
        </w:tc>
        <w:tc>
          <w:tcPr>
            <w:tcW w:w="860" w:type="pct"/>
            <w:vAlign w:val="center"/>
          </w:tcPr>
          <w:p w14:paraId="11207F68">
            <w:pPr>
              <w:ind w:firstLine="0" w:firstLineChars="0"/>
              <w:jc w:val="center"/>
            </w:pPr>
            <w:r>
              <w:t>80</w:t>
            </w:r>
          </w:p>
        </w:tc>
        <w:tc>
          <w:tcPr>
            <w:tcW w:w="860" w:type="pct"/>
            <w:vAlign w:val="center"/>
          </w:tcPr>
          <w:p w14:paraId="26C477A6">
            <w:pPr>
              <w:ind w:firstLine="0" w:firstLineChars="0"/>
              <w:jc w:val="center"/>
            </w:pPr>
            <w:r>
              <w:t>250</w:t>
            </w:r>
          </w:p>
        </w:tc>
        <w:tc>
          <w:tcPr>
            <w:tcW w:w="860" w:type="pct"/>
            <w:vAlign w:val="center"/>
          </w:tcPr>
          <w:p w14:paraId="5A2EDDFD">
            <w:pPr>
              <w:ind w:firstLine="0" w:firstLineChars="0"/>
              <w:jc w:val="center"/>
            </w:pPr>
            <w:r>
              <w:t>450</w:t>
            </w:r>
          </w:p>
        </w:tc>
      </w:tr>
      <w:tr w14:paraId="69C41921">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20" w:type="pct"/>
            <w:vAlign w:val="center"/>
          </w:tcPr>
          <w:p w14:paraId="544C87B5">
            <w:pPr>
              <w:ind w:firstLine="0" w:firstLineChars="0"/>
              <w:jc w:val="center"/>
            </w:pPr>
            <w:r>
              <w:t>平均客单价（含增值包，元）</w:t>
            </w:r>
          </w:p>
        </w:tc>
        <w:tc>
          <w:tcPr>
            <w:tcW w:w="860" w:type="pct"/>
            <w:vAlign w:val="center"/>
          </w:tcPr>
          <w:p w14:paraId="16FF1EAC">
            <w:pPr>
              <w:ind w:firstLine="0" w:firstLineChars="0"/>
              <w:jc w:val="center"/>
            </w:pPr>
            <w:r>
              <w:t>1,200</w:t>
            </w:r>
          </w:p>
        </w:tc>
        <w:tc>
          <w:tcPr>
            <w:tcW w:w="860" w:type="pct"/>
            <w:vAlign w:val="center"/>
          </w:tcPr>
          <w:p w14:paraId="54485FE2">
            <w:pPr>
              <w:ind w:firstLine="0" w:firstLineChars="0"/>
              <w:jc w:val="center"/>
            </w:pPr>
            <w:r>
              <w:t>1,500</w:t>
            </w:r>
          </w:p>
        </w:tc>
        <w:tc>
          <w:tcPr>
            <w:tcW w:w="860" w:type="pct"/>
            <w:vAlign w:val="center"/>
          </w:tcPr>
          <w:p w14:paraId="7793522A">
            <w:pPr>
              <w:ind w:firstLine="0" w:firstLineChars="0"/>
              <w:jc w:val="center"/>
            </w:pPr>
            <w:r>
              <w:t>1,800</w:t>
            </w:r>
          </w:p>
        </w:tc>
      </w:tr>
      <w:tr w14:paraId="2F6D49AA">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20" w:type="pct"/>
            <w:vAlign w:val="center"/>
          </w:tcPr>
          <w:p w14:paraId="2304FB34">
            <w:pPr>
              <w:ind w:firstLine="0" w:firstLineChars="0"/>
              <w:jc w:val="center"/>
            </w:pPr>
            <w:r>
              <w:t>互动增值包收入（万元）</w:t>
            </w:r>
          </w:p>
        </w:tc>
        <w:tc>
          <w:tcPr>
            <w:tcW w:w="860" w:type="pct"/>
            <w:vAlign w:val="center"/>
          </w:tcPr>
          <w:p w14:paraId="1125C92B">
            <w:pPr>
              <w:ind w:firstLine="0" w:firstLineChars="0"/>
              <w:jc w:val="center"/>
            </w:pPr>
            <w:r>
              <w:t>2.0</w:t>
            </w:r>
          </w:p>
        </w:tc>
        <w:tc>
          <w:tcPr>
            <w:tcW w:w="860" w:type="pct"/>
            <w:vAlign w:val="center"/>
          </w:tcPr>
          <w:p w14:paraId="71A330D6">
            <w:pPr>
              <w:ind w:firstLine="0" w:firstLineChars="0"/>
              <w:jc w:val="center"/>
            </w:pPr>
            <w:r>
              <w:t>7.5</w:t>
            </w:r>
          </w:p>
        </w:tc>
        <w:tc>
          <w:tcPr>
            <w:tcW w:w="860" w:type="pct"/>
            <w:vAlign w:val="center"/>
          </w:tcPr>
          <w:p w14:paraId="1C95871E">
            <w:pPr>
              <w:ind w:firstLine="0" w:firstLineChars="0"/>
              <w:jc w:val="center"/>
            </w:pPr>
            <w:r>
              <w:t>16.2</w:t>
            </w:r>
          </w:p>
        </w:tc>
      </w:tr>
      <w:tr w14:paraId="77532388">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20" w:type="pct"/>
            <w:vAlign w:val="center"/>
          </w:tcPr>
          <w:p w14:paraId="0EAFC857">
            <w:pPr>
              <w:ind w:firstLine="0" w:firstLineChars="0"/>
              <w:jc w:val="center"/>
            </w:pPr>
            <w:r>
              <w:t>认养板块收入（万元）</w:t>
            </w:r>
          </w:p>
        </w:tc>
        <w:tc>
          <w:tcPr>
            <w:tcW w:w="860" w:type="pct"/>
            <w:vAlign w:val="center"/>
          </w:tcPr>
          <w:p w14:paraId="08A57352">
            <w:pPr>
              <w:ind w:firstLine="0" w:firstLineChars="0"/>
              <w:jc w:val="center"/>
            </w:pPr>
            <w:r>
              <w:rPr>
                <w:b/>
                <w:bCs/>
              </w:rPr>
              <w:t>9.6</w:t>
            </w:r>
          </w:p>
        </w:tc>
        <w:tc>
          <w:tcPr>
            <w:tcW w:w="860" w:type="pct"/>
            <w:vAlign w:val="center"/>
          </w:tcPr>
          <w:p w14:paraId="4E45CFBA">
            <w:pPr>
              <w:ind w:firstLine="0" w:firstLineChars="0"/>
              <w:jc w:val="center"/>
            </w:pPr>
            <w:r>
              <w:rPr>
                <w:b/>
                <w:bCs/>
              </w:rPr>
              <w:t>37.5</w:t>
            </w:r>
          </w:p>
        </w:tc>
        <w:tc>
          <w:tcPr>
            <w:tcW w:w="860" w:type="pct"/>
            <w:vAlign w:val="center"/>
          </w:tcPr>
          <w:p w14:paraId="673F0296">
            <w:pPr>
              <w:ind w:firstLine="0" w:firstLineChars="0"/>
              <w:jc w:val="center"/>
            </w:pPr>
            <w:r>
              <w:rPr>
                <w:b/>
                <w:bCs/>
              </w:rPr>
              <w:t>81.0</w:t>
            </w:r>
          </w:p>
        </w:tc>
      </w:tr>
    </w:tbl>
    <w:p w14:paraId="4B871FF3">
      <w:pPr>
        <w:ind w:firstLine="480"/>
      </w:pPr>
      <w:r>
        <w:t>从表10-6可以看到</w:t>
      </w:r>
      <w:r>
        <w:rPr>
          <w:rFonts w:hint="eastAsia"/>
        </w:rPr>
        <w:t>，本项目的</w:t>
      </w:r>
      <w:r>
        <w:t>认养业务</w:t>
      </w:r>
      <w:r>
        <w:rPr>
          <w:rFonts w:hint="eastAsia"/>
        </w:rPr>
        <w:t>具有</w:t>
      </w:r>
      <w:r>
        <w:rPr>
          <w:b/>
          <w:bCs/>
        </w:rPr>
        <w:t>“滚雪球”效应</w:t>
      </w:r>
      <w:r>
        <w:rPr>
          <w:rFonts w:hint="eastAsia"/>
        </w:rPr>
        <w:t>，</w:t>
      </w:r>
      <w:r>
        <w:t>第一年</w:t>
      </w:r>
      <w:r>
        <w:rPr>
          <w:rFonts w:hint="eastAsia"/>
        </w:rPr>
        <w:t>的</w:t>
      </w:r>
      <w:r>
        <w:t>80棵的规模主要用于验证产品——通过团队成员所在高校的人脉圈层、指导老师的合作网络以及既有帮扶企业关系完成种子用户的积累，收入规模虽然不大（9.6万元），但足以跑通从下单、数字孪生更新、互动服务执行到采摘季履约的完整链路。第二年进入快速增长期，新增认养200棵，加上第一年续费的50棵（续费率约62.5%，略高于行业平均的50%至60%区间），总规模达到250棵，收入跃升至37.5万元。第三年续费率进一步提升至约65%，续费存量达到180棵，叠加新增270棵，总规模达到450棵，收入突破80万元。互动增值包的收入占比</w:t>
      </w:r>
      <w:r>
        <w:rPr>
          <w:rFonts w:hint="eastAsia"/>
        </w:rPr>
        <w:t>将</w:t>
      </w:r>
      <w:r>
        <w:t>从第一年的约21%提升至第三年的约20%，</w:t>
      </w:r>
      <w:r>
        <w:rPr>
          <w:rFonts w:hint="eastAsia"/>
        </w:rPr>
        <w:t>而</w:t>
      </w:r>
      <w:r>
        <w:t>绝对金额则从2万元增长至16.2万元，成为认养板块利润的重要放大器——互动服务的边际成本仅涉及管家人工，毛利率超过90%。</w:t>
      </w:r>
    </w:p>
    <w:p w14:paraId="19E19DBF">
      <w:pPr>
        <w:ind w:firstLine="480"/>
      </w:pPr>
      <w:r>
        <w:t>认养业务的另一重财务价值在于</w:t>
      </w:r>
      <w:r>
        <w:rPr>
          <w:b/>
          <w:bCs/>
        </w:rPr>
        <w:t>其订阅制的收入确认模式</w:t>
      </w:r>
      <w:r>
        <w:t>。不同于鲜果销售集中在每年5至6月的单一收款窗口，认养费在用户签约时即全额收取，为项目提供了宝贵的预售现金流，有效缓解了樱桃季前的管护投入和活动筹备的资金压力。在风险管理层面，认养合同中的天气不可抗力条款将绝产年的履约方式明确为</w:t>
      </w:r>
      <w:r>
        <w:rPr>
          <w:b/>
          <w:bCs/>
        </w:rPr>
        <w:t>“认养权顺延一年+水源林菌慰问礼包+次年到访体验券”</w:t>
      </w:r>
      <w:r>
        <w:t>，避免了集中退款对现金流的冲击，这也是认养业务在敏感性分析中波动最小的结构性原因。</w:t>
      </w:r>
    </w:p>
    <w:p w14:paraId="7F6D7483">
      <w:pPr>
        <w:pStyle w:val="4"/>
      </w:pPr>
      <w:bookmarkStart w:id="177" w:name="_Toc6050"/>
      <w:r>
        <w:rPr>
          <w:rFonts w:hint="eastAsia"/>
        </w:rPr>
        <w:t>10.3.5</w:t>
      </w:r>
      <w:r>
        <w:t>电商及其他</w:t>
      </w:r>
      <w:bookmarkEnd w:id="177"/>
    </w:p>
    <w:p w14:paraId="251BB469">
      <w:pPr>
        <w:ind w:firstLine="480"/>
      </w:pPr>
      <w:r>
        <w:t>电商及其他收入板块</w:t>
      </w:r>
      <w:r>
        <w:rPr>
          <w:rFonts w:hint="eastAsia"/>
        </w:rPr>
        <w:t>则</w:t>
      </w:r>
      <w:r>
        <w:t>汇集了</w:t>
      </w:r>
      <w:r>
        <w:rPr>
          <w:rFonts w:hint="eastAsia"/>
        </w:rPr>
        <w:t>本项目的</w:t>
      </w:r>
      <w:r>
        <w:t>小程序商城零售、品牌授权代工、文创衍生品销售以及内容与直播带货等多元化收入来源。表10-7展示了三年的预测值。</w:t>
      </w:r>
    </w:p>
    <w:p w14:paraId="32E4EC7F">
      <w:pPr>
        <w:pStyle w:val="6"/>
        <w:ind w:firstLine="400"/>
      </w:pPr>
      <w:r>
        <w:t>表10-7 电商及其他收入三年预测</w:t>
      </w:r>
    </w:p>
    <w:tbl>
      <w:tblPr>
        <w:tblStyle w:val="29"/>
        <w:tblW w:w="0" w:type="auto"/>
        <w:tblInd w:w="0" w:type="dxa"/>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6"/>
        <w:gridCol w:w="1763"/>
        <w:gridCol w:w="1763"/>
        <w:gridCol w:w="1763"/>
      </w:tblGrid>
      <w:tr w14:paraId="204D6825">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1351A180">
            <w:pPr>
              <w:ind w:firstLine="0" w:firstLineChars="0"/>
              <w:jc w:val="center"/>
              <w:rPr>
                <w:b/>
                <w:bCs/>
              </w:rPr>
            </w:pPr>
            <w:r>
              <w:rPr>
                <w:b/>
                <w:bCs/>
              </w:rPr>
              <w:t>收入项</w:t>
            </w:r>
          </w:p>
        </w:tc>
        <w:tc>
          <w:tcPr>
            <w:tcW w:w="0" w:type="auto"/>
            <w:vAlign w:val="center"/>
          </w:tcPr>
          <w:p w14:paraId="3DAD6B6A">
            <w:pPr>
              <w:ind w:firstLine="0" w:firstLineChars="0"/>
              <w:jc w:val="center"/>
              <w:rPr>
                <w:b/>
                <w:bCs/>
              </w:rPr>
            </w:pPr>
            <w:r>
              <w:rPr>
                <w:b/>
                <w:bCs/>
              </w:rPr>
              <w:t>第1年（万元）</w:t>
            </w:r>
          </w:p>
        </w:tc>
        <w:tc>
          <w:tcPr>
            <w:tcW w:w="0" w:type="auto"/>
            <w:vAlign w:val="center"/>
          </w:tcPr>
          <w:p w14:paraId="40FE9906">
            <w:pPr>
              <w:ind w:firstLine="0" w:firstLineChars="0"/>
              <w:jc w:val="center"/>
              <w:rPr>
                <w:b/>
                <w:bCs/>
              </w:rPr>
            </w:pPr>
            <w:r>
              <w:rPr>
                <w:b/>
                <w:bCs/>
              </w:rPr>
              <w:t>第2年（万元）</w:t>
            </w:r>
          </w:p>
        </w:tc>
        <w:tc>
          <w:tcPr>
            <w:tcW w:w="0" w:type="auto"/>
            <w:vAlign w:val="center"/>
          </w:tcPr>
          <w:p w14:paraId="02415B04">
            <w:pPr>
              <w:ind w:firstLine="0" w:firstLineChars="0"/>
              <w:jc w:val="center"/>
              <w:rPr>
                <w:b/>
                <w:bCs/>
              </w:rPr>
            </w:pPr>
            <w:r>
              <w:rPr>
                <w:b/>
                <w:bCs/>
              </w:rPr>
              <w:t>第3年（万元）</w:t>
            </w:r>
          </w:p>
        </w:tc>
      </w:tr>
      <w:tr w14:paraId="0BE1A06B">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auto" w:sz="12" w:space="0"/>
            </w:tcBorders>
            <w:vAlign w:val="center"/>
          </w:tcPr>
          <w:p w14:paraId="6FC0F563">
            <w:pPr>
              <w:ind w:firstLine="0" w:firstLineChars="0"/>
              <w:jc w:val="center"/>
            </w:pPr>
            <w:r>
              <w:t>小程序商城</w:t>
            </w:r>
          </w:p>
          <w:p w14:paraId="54A1160E">
            <w:pPr>
              <w:ind w:firstLine="0" w:firstLineChars="0"/>
              <w:jc w:val="center"/>
            </w:pPr>
            <w:r>
              <w:t>（林菌+文创为主）</w:t>
            </w:r>
          </w:p>
        </w:tc>
        <w:tc>
          <w:tcPr>
            <w:tcW w:w="0" w:type="auto"/>
            <w:tcBorders>
              <w:top w:val="single" w:color="auto" w:sz="12" w:space="0"/>
            </w:tcBorders>
            <w:vAlign w:val="center"/>
          </w:tcPr>
          <w:p w14:paraId="42D7F3EC">
            <w:pPr>
              <w:ind w:firstLine="0" w:firstLineChars="0"/>
              <w:jc w:val="center"/>
            </w:pPr>
            <w:r>
              <w:t>4.0</w:t>
            </w:r>
          </w:p>
        </w:tc>
        <w:tc>
          <w:tcPr>
            <w:tcW w:w="0" w:type="auto"/>
            <w:tcBorders>
              <w:top w:val="single" w:color="auto" w:sz="12" w:space="0"/>
            </w:tcBorders>
            <w:vAlign w:val="center"/>
          </w:tcPr>
          <w:p w14:paraId="71B58098">
            <w:pPr>
              <w:ind w:firstLine="0" w:firstLineChars="0"/>
              <w:jc w:val="center"/>
            </w:pPr>
            <w:r>
              <w:t>12.0</w:t>
            </w:r>
          </w:p>
        </w:tc>
        <w:tc>
          <w:tcPr>
            <w:tcW w:w="0" w:type="auto"/>
            <w:tcBorders>
              <w:top w:val="single" w:color="auto" w:sz="12" w:space="0"/>
            </w:tcBorders>
            <w:vAlign w:val="center"/>
          </w:tcPr>
          <w:p w14:paraId="5B133B95">
            <w:pPr>
              <w:ind w:firstLine="0" w:firstLineChars="0"/>
              <w:jc w:val="center"/>
            </w:pPr>
            <w:r>
              <w:t>22.0</w:t>
            </w:r>
          </w:p>
        </w:tc>
      </w:tr>
      <w:tr w14:paraId="377077E9">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1446FF18">
            <w:pPr>
              <w:ind w:firstLine="0" w:firstLineChars="0"/>
              <w:jc w:val="center"/>
            </w:pPr>
            <w:r>
              <w:t>品牌授权代工</w:t>
            </w:r>
          </w:p>
          <w:p w14:paraId="69D3E1D0">
            <w:pPr>
              <w:ind w:firstLine="0" w:firstLineChars="0"/>
              <w:jc w:val="center"/>
            </w:pPr>
            <w:r>
              <w:t>（果酒/果干/花茶）</w:t>
            </w:r>
          </w:p>
        </w:tc>
        <w:tc>
          <w:tcPr>
            <w:tcW w:w="0" w:type="auto"/>
            <w:vAlign w:val="center"/>
          </w:tcPr>
          <w:p w14:paraId="008AEA91">
            <w:pPr>
              <w:ind w:firstLine="0" w:firstLineChars="0"/>
              <w:jc w:val="center"/>
            </w:pPr>
            <w:r>
              <w:t>2.0</w:t>
            </w:r>
          </w:p>
        </w:tc>
        <w:tc>
          <w:tcPr>
            <w:tcW w:w="0" w:type="auto"/>
            <w:vAlign w:val="center"/>
          </w:tcPr>
          <w:p w14:paraId="6C5575C5">
            <w:pPr>
              <w:ind w:firstLine="0" w:firstLineChars="0"/>
              <w:jc w:val="center"/>
            </w:pPr>
            <w:r>
              <w:t>8.0</w:t>
            </w:r>
          </w:p>
        </w:tc>
        <w:tc>
          <w:tcPr>
            <w:tcW w:w="0" w:type="auto"/>
            <w:vAlign w:val="center"/>
          </w:tcPr>
          <w:p w14:paraId="2593F025">
            <w:pPr>
              <w:ind w:firstLine="0" w:firstLineChars="0"/>
              <w:jc w:val="center"/>
            </w:pPr>
            <w:r>
              <w:t>18.0</w:t>
            </w:r>
          </w:p>
        </w:tc>
      </w:tr>
      <w:tr w14:paraId="2ED6FF3A">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70B4EF85">
            <w:pPr>
              <w:ind w:firstLine="0" w:firstLineChars="0"/>
              <w:jc w:val="center"/>
            </w:pPr>
            <w:r>
              <w:t>文创衍生产品</w:t>
            </w:r>
          </w:p>
        </w:tc>
        <w:tc>
          <w:tcPr>
            <w:tcW w:w="0" w:type="auto"/>
            <w:vAlign w:val="center"/>
          </w:tcPr>
          <w:p w14:paraId="6855C543">
            <w:pPr>
              <w:ind w:firstLine="0" w:firstLineChars="0"/>
              <w:jc w:val="center"/>
            </w:pPr>
            <w:r>
              <w:t>2.0</w:t>
            </w:r>
          </w:p>
        </w:tc>
        <w:tc>
          <w:tcPr>
            <w:tcW w:w="0" w:type="auto"/>
            <w:vAlign w:val="center"/>
          </w:tcPr>
          <w:p w14:paraId="3D7D9699">
            <w:pPr>
              <w:ind w:firstLine="0" w:firstLineChars="0"/>
              <w:jc w:val="center"/>
            </w:pPr>
            <w:r>
              <w:t>5.0</w:t>
            </w:r>
          </w:p>
        </w:tc>
        <w:tc>
          <w:tcPr>
            <w:tcW w:w="0" w:type="auto"/>
            <w:vAlign w:val="center"/>
          </w:tcPr>
          <w:p w14:paraId="16073DB5">
            <w:pPr>
              <w:ind w:firstLine="0" w:firstLineChars="0"/>
              <w:jc w:val="center"/>
            </w:pPr>
            <w:r>
              <w:t>10.0</w:t>
            </w:r>
          </w:p>
        </w:tc>
      </w:tr>
      <w:tr w14:paraId="56B33FE2">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090A2FF0">
            <w:pPr>
              <w:ind w:firstLine="0" w:firstLineChars="0"/>
              <w:jc w:val="center"/>
            </w:pPr>
            <w:r>
              <w:t>内容+直播+赞助</w:t>
            </w:r>
          </w:p>
        </w:tc>
        <w:tc>
          <w:tcPr>
            <w:tcW w:w="0" w:type="auto"/>
            <w:vAlign w:val="center"/>
          </w:tcPr>
          <w:p w14:paraId="66DDB1D3">
            <w:pPr>
              <w:ind w:firstLine="0" w:firstLineChars="0"/>
              <w:jc w:val="center"/>
            </w:pPr>
            <w:r>
              <w:t>2.0</w:t>
            </w:r>
          </w:p>
        </w:tc>
        <w:tc>
          <w:tcPr>
            <w:tcW w:w="0" w:type="auto"/>
            <w:vAlign w:val="center"/>
          </w:tcPr>
          <w:p w14:paraId="61FBC8DD">
            <w:pPr>
              <w:ind w:firstLine="0" w:firstLineChars="0"/>
              <w:jc w:val="center"/>
            </w:pPr>
            <w:r>
              <w:t>5.0</w:t>
            </w:r>
          </w:p>
        </w:tc>
        <w:tc>
          <w:tcPr>
            <w:tcW w:w="0" w:type="auto"/>
            <w:vAlign w:val="center"/>
          </w:tcPr>
          <w:p w14:paraId="13559EA1">
            <w:pPr>
              <w:ind w:firstLine="0" w:firstLineChars="0"/>
              <w:jc w:val="center"/>
            </w:pPr>
            <w:r>
              <w:t>10.0</w:t>
            </w:r>
          </w:p>
        </w:tc>
      </w:tr>
      <w:tr w14:paraId="344AA86F">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35A6A030">
            <w:pPr>
              <w:ind w:firstLine="0" w:firstLineChars="0"/>
              <w:jc w:val="center"/>
            </w:pPr>
            <w:r>
              <w:rPr>
                <w:b/>
                <w:bCs/>
              </w:rPr>
              <w:t>小计</w:t>
            </w:r>
          </w:p>
        </w:tc>
        <w:tc>
          <w:tcPr>
            <w:tcW w:w="0" w:type="auto"/>
            <w:vAlign w:val="center"/>
          </w:tcPr>
          <w:p w14:paraId="545C182B">
            <w:pPr>
              <w:ind w:firstLine="0" w:firstLineChars="0"/>
              <w:jc w:val="center"/>
            </w:pPr>
            <w:r>
              <w:rPr>
                <w:b/>
                <w:bCs/>
              </w:rPr>
              <w:t>10.0</w:t>
            </w:r>
          </w:p>
        </w:tc>
        <w:tc>
          <w:tcPr>
            <w:tcW w:w="0" w:type="auto"/>
            <w:vAlign w:val="center"/>
          </w:tcPr>
          <w:p w14:paraId="6C181571">
            <w:pPr>
              <w:ind w:firstLine="0" w:firstLineChars="0"/>
              <w:jc w:val="center"/>
            </w:pPr>
            <w:r>
              <w:rPr>
                <w:b/>
                <w:bCs/>
              </w:rPr>
              <w:t>30.0</w:t>
            </w:r>
          </w:p>
        </w:tc>
        <w:tc>
          <w:tcPr>
            <w:tcW w:w="0" w:type="auto"/>
            <w:vAlign w:val="center"/>
          </w:tcPr>
          <w:p w14:paraId="72FB7880">
            <w:pPr>
              <w:ind w:firstLine="0" w:firstLineChars="0"/>
              <w:jc w:val="center"/>
            </w:pPr>
            <w:r>
              <w:rPr>
                <w:b/>
                <w:bCs/>
              </w:rPr>
              <w:t>60.0</w:t>
            </w:r>
          </w:p>
        </w:tc>
      </w:tr>
    </w:tbl>
    <w:p w14:paraId="335024C6">
      <w:pPr>
        <w:ind w:firstLine="480"/>
      </w:pPr>
      <w:r>
        <w:t>表10-7中的各项收入来源具有一个共同特征——它们都是在</w:t>
      </w:r>
      <w:r>
        <w:rPr>
          <w:rFonts w:hint="eastAsia"/>
        </w:rPr>
        <w:t>本项目的</w:t>
      </w:r>
      <w:r>
        <w:t>品牌势能积累到一定程度后</w:t>
      </w:r>
      <w:r>
        <w:rPr>
          <w:b/>
          <w:bCs/>
        </w:rPr>
        <w:t>自然释放的“溢出价值”</w:t>
      </w:r>
      <w:r>
        <w:t>。小程序商城</w:t>
      </w:r>
      <w:r>
        <w:rPr>
          <w:rFonts w:hint="eastAsia"/>
        </w:rPr>
        <w:t>主要</w:t>
      </w:r>
      <w:r>
        <w:t>以水</w:t>
      </w:r>
      <w:r>
        <w:rPr>
          <w:b/>
          <w:bCs/>
        </w:rPr>
        <w:t>源林菌干货礼盒和骑行主题文创</w:t>
      </w:r>
      <w:r>
        <w:t>为主力产品，鲜果电商因樱桃多品种混种无法分品种发货而主动放弃，避免了客诉风险和品牌损耗。</w:t>
      </w:r>
      <w:r>
        <w:rPr>
          <w:rFonts w:hint="eastAsia"/>
        </w:rPr>
        <w:t>而</w:t>
      </w:r>
      <w:r>
        <w:t>品牌授权代工是典型的轻资产模式</w:t>
      </w:r>
      <w:r>
        <w:rPr>
          <w:rFonts w:hint="eastAsia"/>
        </w:rPr>
        <w:t>；另外本项目还将</w:t>
      </w:r>
      <w:r>
        <w:t>与外部持有食品生产许可的合规代工厂合作，村委会不出资、不生产、不承担库存风险，仅授权“樱动东庄”品牌标识的使用权，按出厂价的一定比例收取授权费用。</w:t>
      </w:r>
    </w:p>
    <w:p w14:paraId="2F2C6D63">
      <w:pPr>
        <w:ind w:firstLine="480"/>
      </w:pPr>
      <w:r>
        <w:t>随着</w:t>
      </w:r>
      <w:r>
        <w:rPr>
          <w:rFonts w:hint="eastAsia"/>
        </w:rPr>
        <w:t>本项目的</w:t>
      </w:r>
      <w:r>
        <w:t>品牌知名度在第二年、第三年逐步提升，授权品类的扩展（从果干、果酱延伸至果酒、花茶）和合作工厂数量的增加将推动该项收入从2万元增长至18万元</w:t>
      </w:r>
      <w:r>
        <w:rPr>
          <w:rFonts w:hint="eastAsia"/>
        </w:rPr>
        <w:t>；而</w:t>
      </w:r>
      <w:r>
        <w:t>文创衍生产品和内容直播带货则属于品牌传播的“副产品”——</w:t>
      </w:r>
      <w:r>
        <w:rPr>
          <w:b/>
          <w:bCs/>
        </w:rPr>
        <w:t>骑行海报系统的社交裂变降低了获客成本</w:t>
      </w:r>
      <w:r>
        <w:t>，果园直播的场景真实性提升了转化效率，这两项收入虽然绝对金额不大，但边际利润率较高，且对主品牌的传播具有正向反馈效应。</w:t>
      </w:r>
    </w:p>
    <w:p w14:paraId="566D383E">
      <w:pPr>
        <w:pStyle w:val="4"/>
      </w:pPr>
      <w:bookmarkStart w:id="178" w:name="_Toc9333"/>
      <w:r>
        <w:rPr>
          <w:rFonts w:hint="eastAsia"/>
        </w:rPr>
        <w:t>10.3.6</w:t>
      </w:r>
      <w:r>
        <w:t>收入汇总</w:t>
      </w:r>
      <w:bookmarkEnd w:id="178"/>
    </w:p>
    <w:p w14:paraId="37139517">
      <w:pPr>
        <w:ind w:firstLine="480"/>
      </w:pPr>
      <w:r>
        <w:t>将上述五大板块的收入预测汇总，得到项目三年的经营收入总表。</w:t>
      </w:r>
    </w:p>
    <w:p w14:paraId="054B62C9">
      <w:pPr>
        <w:pStyle w:val="6"/>
        <w:ind w:firstLine="400"/>
      </w:pPr>
      <w:r>
        <w:t>表10-8 三年收入汇总</w:t>
      </w:r>
    </w:p>
    <w:tbl>
      <w:tblPr>
        <w:tblStyle w:val="29"/>
        <w:tblW w:w="5000" w:type="pct"/>
        <w:tblInd w:w="0" w:type="dxa"/>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25"/>
        <w:gridCol w:w="1694"/>
        <w:gridCol w:w="1695"/>
        <w:gridCol w:w="1695"/>
        <w:gridCol w:w="1013"/>
      </w:tblGrid>
      <w:tr w14:paraId="379EFCA9">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3" w:type="pct"/>
            <w:tcBorders>
              <w:bottom w:val="single" w:color="auto" w:sz="12" w:space="0"/>
            </w:tcBorders>
            <w:vAlign w:val="center"/>
          </w:tcPr>
          <w:p w14:paraId="38195AD0">
            <w:pPr>
              <w:ind w:firstLine="0" w:firstLineChars="0"/>
              <w:jc w:val="center"/>
              <w:rPr>
                <w:b/>
                <w:bCs/>
              </w:rPr>
            </w:pPr>
            <w:r>
              <w:rPr>
                <w:b/>
                <w:bCs/>
              </w:rPr>
              <w:t>收入来源</w:t>
            </w:r>
          </w:p>
        </w:tc>
        <w:tc>
          <w:tcPr>
            <w:tcW w:w="994" w:type="pct"/>
            <w:tcBorders>
              <w:bottom w:val="single" w:color="auto" w:sz="12" w:space="0"/>
            </w:tcBorders>
            <w:vAlign w:val="center"/>
          </w:tcPr>
          <w:p w14:paraId="14D3ED1F">
            <w:pPr>
              <w:ind w:firstLine="0" w:firstLineChars="0"/>
              <w:jc w:val="center"/>
              <w:rPr>
                <w:b/>
                <w:bCs/>
              </w:rPr>
            </w:pPr>
            <w:r>
              <w:rPr>
                <w:b/>
                <w:bCs/>
              </w:rPr>
              <w:t>第1年</w:t>
            </w:r>
          </w:p>
          <w:p w14:paraId="3FBDB454">
            <w:pPr>
              <w:ind w:firstLine="0" w:firstLineChars="0"/>
              <w:jc w:val="center"/>
              <w:rPr>
                <w:b/>
                <w:bCs/>
              </w:rPr>
            </w:pPr>
            <w:r>
              <w:rPr>
                <w:b/>
                <w:bCs/>
              </w:rPr>
              <w:t>（万元）</w:t>
            </w:r>
          </w:p>
        </w:tc>
        <w:tc>
          <w:tcPr>
            <w:tcW w:w="994" w:type="pct"/>
            <w:tcBorders>
              <w:bottom w:val="single" w:color="auto" w:sz="12" w:space="0"/>
            </w:tcBorders>
            <w:vAlign w:val="center"/>
          </w:tcPr>
          <w:p w14:paraId="2817C37F">
            <w:pPr>
              <w:ind w:firstLine="0" w:firstLineChars="0"/>
              <w:jc w:val="center"/>
              <w:rPr>
                <w:b/>
                <w:bCs/>
              </w:rPr>
            </w:pPr>
            <w:r>
              <w:rPr>
                <w:b/>
                <w:bCs/>
              </w:rPr>
              <w:t>第2年</w:t>
            </w:r>
          </w:p>
          <w:p w14:paraId="6BBBE164">
            <w:pPr>
              <w:ind w:firstLine="0" w:firstLineChars="0"/>
              <w:jc w:val="center"/>
              <w:rPr>
                <w:b/>
                <w:bCs/>
              </w:rPr>
            </w:pPr>
            <w:r>
              <w:rPr>
                <w:b/>
                <w:bCs/>
              </w:rPr>
              <w:t>（万元）</w:t>
            </w:r>
          </w:p>
        </w:tc>
        <w:tc>
          <w:tcPr>
            <w:tcW w:w="994" w:type="pct"/>
            <w:tcBorders>
              <w:bottom w:val="single" w:color="auto" w:sz="12" w:space="0"/>
            </w:tcBorders>
            <w:vAlign w:val="center"/>
          </w:tcPr>
          <w:p w14:paraId="10B2D4AE">
            <w:pPr>
              <w:ind w:firstLine="0" w:firstLineChars="0"/>
              <w:jc w:val="center"/>
              <w:rPr>
                <w:b/>
                <w:bCs/>
              </w:rPr>
            </w:pPr>
            <w:r>
              <w:rPr>
                <w:b/>
                <w:bCs/>
              </w:rPr>
              <w:t>第3年</w:t>
            </w:r>
          </w:p>
          <w:p w14:paraId="21C2A23B">
            <w:pPr>
              <w:ind w:firstLine="0" w:firstLineChars="0"/>
              <w:jc w:val="center"/>
              <w:rPr>
                <w:b/>
                <w:bCs/>
              </w:rPr>
            </w:pPr>
            <w:r>
              <w:rPr>
                <w:b/>
                <w:bCs/>
              </w:rPr>
              <w:t>（万元）</w:t>
            </w:r>
          </w:p>
        </w:tc>
        <w:tc>
          <w:tcPr>
            <w:tcW w:w="594" w:type="pct"/>
            <w:tcBorders>
              <w:bottom w:val="single" w:color="auto" w:sz="12" w:space="0"/>
            </w:tcBorders>
            <w:vAlign w:val="center"/>
          </w:tcPr>
          <w:p w14:paraId="42D6704C">
            <w:pPr>
              <w:ind w:firstLine="0" w:firstLineChars="0"/>
              <w:jc w:val="center"/>
              <w:rPr>
                <w:b/>
                <w:bCs/>
              </w:rPr>
            </w:pPr>
            <w:r>
              <w:rPr>
                <w:b/>
                <w:bCs/>
              </w:rPr>
              <w:t>Y3占比</w:t>
            </w:r>
          </w:p>
        </w:tc>
      </w:tr>
      <w:tr w14:paraId="557907E8">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3" w:type="pct"/>
            <w:tcBorders>
              <w:top w:val="single" w:color="auto" w:sz="12" w:space="0"/>
            </w:tcBorders>
            <w:vAlign w:val="center"/>
          </w:tcPr>
          <w:p w14:paraId="694FAC32">
            <w:pPr>
              <w:ind w:firstLine="0" w:firstLineChars="0"/>
              <w:jc w:val="center"/>
            </w:pPr>
            <w:r>
              <w:t>樱桃鲜果</w:t>
            </w:r>
          </w:p>
        </w:tc>
        <w:tc>
          <w:tcPr>
            <w:tcW w:w="994" w:type="pct"/>
            <w:tcBorders>
              <w:top w:val="single" w:color="auto" w:sz="12" w:space="0"/>
            </w:tcBorders>
            <w:vAlign w:val="center"/>
          </w:tcPr>
          <w:p w14:paraId="308DDAF9">
            <w:pPr>
              <w:ind w:firstLine="0" w:firstLineChars="0"/>
              <w:jc w:val="center"/>
            </w:pPr>
            <w:r>
              <w:t>79.0</w:t>
            </w:r>
          </w:p>
        </w:tc>
        <w:tc>
          <w:tcPr>
            <w:tcW w:w="994" w:type="pct"/>
            <w:tcBorders>
              <w:top w:val="single" w:color="auto" w:sz="12" w:space="0"/>
            </w:tcBorders>
            <w:vAlign w:val="center"/>
          </w:tcPr>
          <w:p w14:paraId="4D165002">
            <w:pPr>
              <w:ind w:firstLine="0" w:firstLineChars="0"/>
              <w:jc w:val="center"/>
            </w:pPr>
            <w:r>
              <w:t>109.0</w:t>
            </w:r>
          </w:p>
        </w:tc>
        <w:tc>
          <w:tcPr>
            <w:tcW w:w="994" w:type="pct"/>
            <w:tcBorders>
              <w:top w:val="single" w:color="auto" w:sz="12" w:space="0"/>
            </w:tcBorders>
            <w:vAlign w:val="center"/>
          </w:tcPr>
          <w:p w14:paraId="6C08367D">
            <w:pPr>
              <w:ind w:firstLine="0" w:firstLineChars="0"/>
              <w:jc w:val="center"/>
            </w:pPr>
            <w:r>
              <w:t>134.0</w:t>
            </w:r>
          </w:p>
        </w:tc>
        <w:tc>
          <w:tcPr>
            <w:tcW w:w="594" w:type="pct"/>
            <w:tcBorders>
              <w:top w:val="single" w:color="auto" w:sz="12" w:space="0"/>
            </w:tcBorders>
            <w:vAlign w:val="center"/>
          </w:tcPr>
          <w:p w14:paraId="121F4A7B">
            <w:pPr>
              <w:ind w:firstLine="0" w:firstLineChars="0"/>
              <w:jc w:val="center"/>
            </w:pPr>
            <w:r>
              <w:t>30%</w:t>
            </w:r>
          </w:p>
        </w:tc>
      </w:tr>
      <w:tr w14:paraId="376047F9">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3" w:type="pct"/>
            <w:vAlign w:val="center"/>
          </w:tcPr>
          <w:p w14:paraId="1F31241A">
            <w:pPr>
              <w:ind w:firstLine="0" w:firstLineChars="0"/>
              <w:jc w:val="center"/>
            </w:pPr>
            <w:r>
              <w:t>水源林菌</w:t>
            </w:r>
          </w:p>
        </w:tc>
        <w:tc>
          <w:tcPr>
            <w:tcW w:w="994" w:type="pct"/>
            <w:vAlign w:val="center"/>
          </w:tcPr>
          <w:p w14:paraId="3B42C499">
            <w:pPr>
              <w:ind w:firstLine="0" w:firstLineChars="0"/>
              <w:jc w:val="center"/>
            </w:pPr>
            <w:r>
              <w:t>5.2</w:t>
            </w:r>
          </w:p>
        </w:tc>
        <w:tc>
          <w:tcPr>
            <w:tcW w:w="994" w:type="pct"/>
            <w:vAlign w:val="center"/>
          </w:tcPr>
          <w:p w14:paraId="0B7D028B">
            <w:pPr>
              <w:ind w:firstLine="0" w:firstLineChars="0"/>
              <w:jc w:val="center"/>
            </w:pPr>
            <w:r>
              <w:t>16.2</w:t>
            </w:r>
          </w:p>
        </w:tc>
        <w:tc>
          <w:tcPr>
            <w:tcW w:w="994" w:type="pct"/>
            <w:vAlign w:val="center"/>
          </w:tcPr>
          <w:p w14:paraId="55D7439F">
            <w:pPr>
              <w:ind w:firstLine="0" w:firstLineChars="0"/>
              <w:jc w:val="center"/>
            </w:pPr>
            <w:r>
              <w:t>35.0</w:t>
            </w:r>
          </w:p>
        </w:tc>
        <w:tc>
          <w:tcPr>
            <w:tcW w:w="594" w:type="pct"/>
            <w:vAlign w:val="center"/>
          </w:tcPr>
          <w:p w14:paraId="3E49FC49">
            <w:pPr>
              <w:ind w:firstLine="0" w:firstLineChars="0"/>
              <w:jc w:val="center"/>
            </w:pPr>
            <w:r>
              <w:t>8%</w:t>
            </w:r>
          </w:p>
        </w:tc>
      </w:tr>
      <w:tr w14:paraId="38A21993">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3" w:type="pct"/>
            <w:vAlign w:val="center"/>
          </w:tcPr>
          <w:p w14:paraId="083A375D">
            <w:pPr>
              <w:ind w:firstLine="0" w:firstLineChars="0"/>
              <w:jc w:val="center"/>
            </w:pPr>
            <w:r>
              <w:t>骑行/联盟/驿站/</w:t>
            </w:r>
          </w:p>
          <w:p w14:paraId="03B5F1EE">
            <w:pPr>
              <w:ind w:firstLine="0" w:firstLineChars="0"/>
              <w:jc w:val="center"/>
            </w:pPr>
            <w:r>
              <w:t>研学/团建</w:t>
            </w:r>
          </w:p>
        </w:tc>
        <w:tc>
          <w:tcPr>
            <w:tcW w:w="994" w:type="pct"/>
            <w:vAlign w:val="center"/>
          </w:tcPr>
          <w:p w14:paraId="760EDC19">
            <w:pPr>
              <w:ind w:firstLine="0" w:firstLineChars="0"/>
              <w:jc w:val="center"/>
            </w:pPr>
            <w:r>
              <w:t>34.0</w:t>
            </w:r>
          </w:p>
        </w:tc>
        <w:tc>
          <w:tcPr>
            <w:tcW w:w="994" w:type="pct"/>
            <w:vAlign w:val="center"/>
          </w:tcPr>
          <w:p w14:paraId="331EA478">
            <w:pPr>
              <w:ind w:firstLine="0" w:firstLineChars="0"/>
              <w:jc w:val="center"/>
            </w:pPr>
            <w:r>
              <w:t>77.0</w:t>
            </w:r>
          </w:p>
        </w:tc>
        <w:tc>
          <w:tcPr>
            <w:tcW w:w="994" w:type="pct"/>
            <w:vAlign w:val="center"/>
          </w:tcPr>
          <w:p w14:paraId="39984CF6">
            <w:pPr>
              <w:ind w:firstLine="0" w:firstLineChars="0"/>
              <w:jc w:val="center"/>
            </w:pPr>
            <w:r>
              <w:t>140.0</w:t>
            </w:r>
          </w:p>
        </w:tc>
        <w:tc>
          <w:tcPr>
            <w:tcW w:w="594" w:type="pct"/>
            <w:vAlign w:val="center"/>
          </w:tcPr>
          <w:p w14:paraId="22CD4A24">
            <w:pPr>
              <w:ind w:firstLine="0" w:firstLineChars="0"/>
              <w:jc w:val="center"/>
            </w:pPr>
            <w:r>
              <w:t>31%</w:t>
            </w:r>
          </w:p>
        </w:tc>
      </w:tr>
      <w:tr w14:paraId="0B1C53B7">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3" w:type="pct"/>
            <w:vAlign w:val="center"/>
          </w:tcPr>
          <w:p w14:paraId="3DBBF5B8">
            <w:pPr>
              <w:ind w:firstLine="0" w:firstLineChars="0"/>
              <w:jc w:val="center"/>
            </w:pPr>
            <w:r>
              <w:t>一树一人认养</w:t>
            </w:r>
          </w:p>
        </w:tc>
        <w:tc>
          <w:tcPr>
            <w:tcW w:w="994" w:type="pct"/>
            <w:vAlign w:val="center"/>
          </w:tcPr>
          <w:p w14:paraId="6ECE5B19">
            <w:pPr>
              <w:ind w:firstLine="0" w:firstLineChars="0"/>
              <w:jc w:val="center"/>
            </w:pPr>
            <w:r>
              <w:t>9.6</w:t>
            </w:r>
          </w:p>
        </w:tc>
        <w:tc>
          <w:tcPr>
            <w:tcW w:w="994" w:type="pct"/>
            <w:vAlign w:val="center"/>
          </w:tcPr>
          <w:p w14:paraId="7D89C451">
            <w:pPr>
              <w:ind w:firstLine="0" w:firstLineChars="0"/>
              <w:jc w:val="center"/>
            </w:pPr>
            <w:r>
              <w:t>37.5</w:t>
            </w:r>
          </w:p>
        </w:tc>
        <w:tc>
          <w:tcPr>
            <w:tcW w:w="994" w:type="pct"/>
            <w:vAlign w:val="center"/>
          </w:tcPr>
          <w:p w14:paraId="293D498B">
            <w:pPr>
              <w:ind w:firstLine="0" w:firstLineChars="0"/>
              <w:jc w:val="center"/>
            </w:pPr>
            <w:r>
              <w:t>81.0</w:t>
            </w:r>
          </w:p>
        </w:tc>
        <w:tc>
          <w:tcPr>
            <w:tcW w:w="594" w:type="pct"/>
            <w:vAlign w:val="center"/>
          </w:tcPr>
          <w:p w14:paraId="2F3B258D">
            <w:pPr>
              <w:ind w:firstLine="0" w:firstLineChars="0"/>
              <w:jc w:val="center"/>
            </w:pPr>
            <w:r>
              <w:t>18%</w:t>
            </w:r>
          </w:p>
        </w:tc>
      </w:tr>
      <w:tr w14:paraId="6AA50D7F">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3" w:type="pct"/>
            <w:vAlign w:val="center"/>
          </w:tcPr>
          <w:p w14:paraId="61DE9B28">
            <w:pPr>
              <w:ind w:firstLine="0" w:firstLineChars="0"/>
              <w:jc w:val="center"/>
            </w:pPr>
            <w:r>
              <w:t>电商/品牌授权/</w:t>
            </w:r>
          </w:p>
          <w:p w14:paraId="58C43D84">
            <w:pPr>
              <w:ind w:firstLine="0" w:firstLineChars="0"/>
              <w:jc w:val="center"/>
            </w:pPr>
            <w:r>
              <w:t>文创/内容</w:t>
            </w:r>
          </w:p>
        </w:tc>
        <w:tc>
          <w:tcPr>
            <w:tcW w:w="994" w:type="pct"/>
            <w:vAlign w:val="center"/>
          </w:tcPr>
          <w:p w14:paraId="7B78C6F8">
            <w:pPr>
              <w:ind w:firstLine="0" w:firstLineChars="0"/>
              <w:jc w:val="center"/>
            </w:pPr>
            <w:r>
              <w:t>10.0</w:t>
            </w:r>
          </w:p>
        </w:tc>
        <w:tc>
          <w:tcPr>
            <w:tcW w:w="994" w:type="pct"/>
            <w:vAlign w:val="center"/>
          </w:tcPr>
          <w:p w14:paraId="63760603">
            <w:pPr>
              <w:ind w:firstLine="0" w:firstLineChars="0"/>
              <w:jc w:val="center"/>
            </w:pPr>
            <w:r>
              <w:t>30.0</w:t>
            </w:r>
          </w:p>
        </w:tc>
        <w:tc>
          <w:tcPr>
            <w:tcW w:w="994" w:type="pct"/>
            <w:vAlign w:val="center"/>
          </w:tcPr>
          <w:p w14:paraId="41D18CE9">
            <w:pPr>
              <w:ind w:firstLine="0" w:firstLineChars="0"/>
              <w:jc w:val="center"/>
            </w:pPr>
            <w:r>
              <w:t>60.0</w:t>
            </w:r>
          </w:p>
        </w:tc>
        <w:tc>
          <w:tcPr>
            <w:tcW w:w="594" w:type="pct"/>
            <w:vAlign w:val="center"/>
          </w:tcPr>
          <w:p w14:paraId="1F17AF19">
            <w:pPr>
              <w:ind w:firstLine="0" w:firstLineChars="0"/>
              <w:jc w:val="center"/>
            </w:pPr>
            <w:r>
              <w:t>13%</w:t>
            </w:r>
          </w:p>
        </w:tc>
      </w:tr>
      <w:tr w14:paraId="7A821A9F">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3" w:type="pct"/>
            <w:vAlign w:val="center"/>
          </w:tcPr>
          <w:p w14:paraId="5903C2E9">
            <w:pPr>
              <w:ind w:firstLine="0" w:firstLineChars="0"/>
              <w:jc w:val="center"/>
            </w:pPr>
            <w:r>
              <w:rPr>
                <w:b/>
                <w:bCs/>
              </w:rPr>
              <w:t>经营收入合计</w:t>
            </w:r>
          </w:p>
        </w:tc>
        <w:tc>
          <w:tcPr>
            <w:tcW w:w="994" w:type="pct"/>
            <w:vAlign w:val="center"/>
          </w:tcPr>
          <w:p w14:paraId="00595591">
            <w:pPr>
              <w:ind w:firstLine="0" w:firstLineChars="0"/>
              <w:jc w:val="center"/>
            </w:pPr>
            <w:r>
              <w:rPr>
                <w:b/>
                <w:bCs/>
              </w:rPr>
              <w:t>137.8</w:t>
            </w:r>
          </w:p>
        </w:tc>
        <w:tc>
          <w:tcPr>
            <w:tcW w:w="994" w:type="pct"/>
            <w:vAlign w:val="center"/>
          </w:tcPr>
          <w:p w14:paraId="7E3444E2">
            <w:pPr>
              <w:ind w:firstLine="0" w:firstLineChars="0"/>
              <w:jc w:val="center"/>
            </w:pPr>
            <w:r>
              <w:rPr>
                <w:b/>
                <w:bCs/>
              </w:rPr>
              <w:t>269.7</w:t>
            </w:r>
          </w:p>
        </w:tc>
        <w:tc>
          <w:tcPr>
            <w:tcW w:w="994" w:type="pct"/>
            <w:vAlign w:val="center"/>
          </w:tcPr>
          <w:p w14:paraId="36438E8F">
            <w:pPr>
              <w:ind w:firstLine="0" w:firstLineChars="0"/>
              <w:jc w:val="center"/>
            </w:pPr>
            <w:r>
              <w:rPr>
                <w:b/>
                <w:bCs/>
              </w:rPr>
              <w:t>450.0</w:t>
            </w:r>
          </w:p>
        </w:tc>
        <w:tc>
          <w:tcPr>
            <w:tcW w:w="594" w:type="pct"/>
            <w:vAlign w:val="center"/>
          </w:tcPr>
          <w:p w14:paraId="58C0E0EF">
            <w:pPr>
              <w:ind w:firstLine="0" w:firstLineChars="0"/>
              <w:jc w:val="center"/>
            </w:pPr>
            <w:r>
              <w:t>100%</w:t>
            </w:r>
          </w:p>
        </w:tc>
      </w:tr>
    </w:tbl>
    <w:p w14:paraId="13EC45A9">
      <w:pPr>
        <w:ind w:firstLine="480"/>
      </w:pPr>
      <w:r>
        <w:t>表10-8清晰地揭示了本项目收入结构的演进趋势。第一年总收入137.8万元，其中樱桃鲜果占比57%，呈现出</w:t>
      </w:r>
      <w:r>
        <w:rPr>
          <w:b/>
          <w:bCs/>
        </w:rPr>
        <w:t>较为明显的季节依赖特征</w:t>
      </w:r>
      <w:r>
        <w:t>。到了第二年，总收入增长至269.7万元，鲜果占比下降至40%，认养和骑行体验板块的贡献显著提升。第三年总收入达到450万元，鲜果占比进一步下降至30%，而认养订阅（18%）、骑行联盟与体验服务（31%）、林菌电商与品牌授权（21%）合计占比达到70%，收入结构实现了</w:t>
      </w:r>
      <w:r>
        <w:rPr>
          <w:b/>
          <w:bCs/>
        </w:rPr>
        <w:t>从“单一采摘季依赖”向“全年多业务线均衡发展”</w:t>
      </w:r>
      <w:r>
        <w:t>的根本性转变。</w:t>
      </w:r>
    </w:p>
    <w:p w14:paraId="6C4431E2">
      <w:pPr>
        <w:ind w:firstLine="480"/>
      </w:pPr>
      <w:r>
        <w:t>这一转变的意义不仅在于总收入数字的增长，更在于收入稳定性的大幅提升——即便某一年遭遇倒春寒导致樱桃减产，认养板块有合同对冲条款、骑行板块不受天气直接影响、林菌板块反而因绝产替代需求而获得增量订单，三条业务线形成了天然的风险分散机制。</w:t>
      </w:r>
    </w:p>
    <w:p w14:paraId="2F0BB782">
      <w:pPr>
        <w:pStyle w:val="4"/>
      </w:pPr>
      <w:bookmarkStart w:id="179" w:name="_Toc22371"/>
      <w:r>
        <w:t>10.4 成本结构</w:t>
      </w:r>
      <w:bookmarkEnd w:id="179"/>
    </w:p>
    <w:p w14:paraId="6F8BD336">
      <w:pPr>
        <w:ind w:firstLine="480"/>
      </w:pPr>
      <w:r>
        <w:t>本项目的成本结构</w:t>
      </w:r>
      <w:r>
        <w:rPr>
          <w:rFonts w:hint="eastAsia"/>
          <w:b/>
          <w:bCs/>
        </w:rPr>
        <w:t>主要</w:t>
      </w:r>
      <w:r>
        <w:rPr>
          <w:b/>
          <w:bCs/>
        </w:rPr>
        <w:t>遵循“村委会最小投入”原则</w:t>
      </w:r>
      <w:r>
        <w:t>——凡是已经在发生的成本（如樱桃园的日常管护），由既有预算继续覆盖；凡是新增业务产生的成本，优先从对应业务的收入中自循环列支；凡是能够由外部合作方承担的成本（如驿站设备与补货、深加工生产），全部交由外部主体承担。表10-9汇总了三年的成本构成。</w:t>
      </w:r>
    </w:p>
    <w:p w14:paraId="6232A86A">
      <w:pPr>
        <w:pStyle w:val="6"/>
        <w:ind w:firstLine="400"/>
      </w:pPr>
      <w:r>
        <w:t>表10-9 三年成本结构</w:t>
      </w:r>
    </w:p>
    <w:tbl>
      <w:tblPr>
        <w:tblStyle w:val="29"/>
        <w:tblW w:w="0" w:type="auto"/>
        <w:tblInd w:w="0" w:type="dxa"/>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11"/>
        <w:gridCol w:w="1379"/>
        <w:gridCol w:w="1150"/>
        <w:gridCol w:w="1185"/>
        <w:gridCol w:w="2397"/>
      </w:tblGrid>
      <w:tr w14:paraId="37AFDCA5">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11" w:type="dxa"/>
            <w:vAlign w:val="center"/>
          </w:tcPr>
          <w:p w14:paraId="4C73D6A1">
            <w:pPr>
              <w:ind w:firstLine="0" w:firstLineChars="0"/>
              <w:jc w:val="center"/>
              <w:rPr>
                <w:b/>
                <w:bCs/>
              </w:rPr>
            </w:pPr>
            <w:r>
              <w:rPr>
                <w:b/>
                <w:bCs/>
              </w:rPr>
              <w:t>成本项</w:t>
            </w:r>
          </w:p>
        </w:tc>
        <w:tc>
          <w:tcPr>
            <w:tcW w:w="1379" w:type="dxa"/>
            <w:vAlign w:val="center"/>
          </w:tcPr>
          <w:p w14:paraId="12FDBC74">
            <w:pPr>
              <w:ind w:firstLine="0" w:firstLineChars="0"/>
              <w:jc w:val="center"/>
              <w:rPr>
                <w:b/>
                <w:bCs/>
              </w:rPr>
            </w:pPr>
            <w:r>
              <w:rPr>
                <w:b/>
                <w:bCs/>
              </w:rPr>
              <w:t>第1年（万元）</w:t>
            </w:r>
          </w:p>
        </w:tc>
        <w:tc>
          <w:tcPr>
            <w:tcW w:w="0" w:type="auto"/>
            <w:vAlign w:val="center"/>
          </w:tcPr>
          <w:p w14:paraId="2B335913">
            <w:pPr>
              <w:ind w:firstLine="0" w:firstLineChars="0"/>
              <w:jc w:val="center"/>
              <w:rPr>
                <w:b/>
                <w:bCs/>
              </w:rPr>
            </w:pPr>
            <w:r>
              <w:rPr>
                <w:b/>
                <w:bCs/>
              </w:rPr>
              <w:t>第2年（万元）</w:t>
            </w:r>
          </w:p>
        </w:tc>
        <w:tc>
          <w:tcPr>
            <w:tcW w:w="0" w:type="auto"/>
            <w:vAlign w:val="center"/>
          </w:tcPr>
          <w:p w14:paraId="6BED0AD0">
            <w:pPr>
              <w:ind w:firstLine="0" w:firstLineChars="0"/>
              <w:jc w:val="center"/>
              <w:rPr>
                <w:b/>
                <w:bCs/>
              </w:rPr>
            </w:pPr>
            <w:r>
              <w:rPr>
                <w:b/>
                <w:bCs/>
              </w:rPr>
              <w:t>第3年（万元）</w:t>
            </w:r>
          </w:p>
        </w:tc>
        <w:tc>
          <w:tcPr>
            <w:tcW w:w="0" w:type="auto"/>
            <w:vAlign w:val="center"/>
          </w:tcPr>
          <w:p w14:paraId="7FC4B064">
            <w:pPr>
              <w:ind w:firstLine="0" w:firstLineChars="0"/>
              <w:jc w:val="center"/>
              <w:rPr>
                <w:b/>
                <w:bCs/>
              </w:rPr>
            </w:pPr>
            <w:r>
              <w:rPr>
                <w:b/>
                <w:bCs/>
              </w:rPr>
              <w:t>说明</w:t>
            </w:r>
          </w:p>
        </w:tc>
      </w:tr>
      <w:tr w14:paraId="30A7642C">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11" w:type="dxa"/>
            <w:vAlign w:val="center"/>
          </w:tcPr>
          <w:p w14:paraId="40F3C934">
            <w:pPr>
              <w:ind w:firstLine="0" w:firstLineChars="0"/>
              <w:jc w:val="center"/>
            </w:pPr>
            <w:r>
              <w:t>种植成本</w:t>
            </w:r>
          </w:p>
          <w:p w14:paraId="70B08A91">
            <w:pPr>
              <w:ind w:firstLine="0" w:firstLineChars="0"/>
              <w:jc w:val="center"/>
            </w:pPr>
            <w:r>
              <w:t>（农资/人工/管护）</w:t>
            </w:r>
          </w:p>
        </w:tc>
        <w:tc>
          <w:tcPr>
            <w:tcW w:w="1379" w:type="dxa"/>
            <w:vAlign w:val="center"/>
          </w:tcPr>
          <w:p w14:paraId="3FC0DAB5">
            <w:pPr>
              <w:ind w:firstLine="0" w:firstLineChars="0"/>
              <w:jc w:val="center"/>
            </w:pPr>
            <w:r>
              <w:t>30.0</w:t>
            </w:r>
          </w:p>
        </w:tc>
        <w:tc>
          <w:tcPr>
            <w:tcW w:w="0" w:type="auto"/>
            <w:vAlign w:val="center"/>
          </w:tcPr>
          <w:p w14:paraId="6493194F">
            <w:pPr>
              <w:ind w:firstLine="0" w:firstLineChars="0"/>
              <w:jc w:val="center"/>
            </w:pPr>
            <w:r>
              <w:t>32.0</w:t>
            </w:r>
          </w:p>
        </w:tc>
        <w:tc>
          <w:tcPr>
            <w:tcW w:w="0" w:type="auto"/>
            <w:vAlign w:val="center"/>
          </w:tcPr>
          <w:p w14:paraId="7A3ED771">
            <w:pPr>
              <w:ind w:firstLine="0" w:firstLineChars="0"/>
              <w:jc w:val="center"/>
            </w:pPr>
            <w:r>
              <w:t>35.0</w:t>
            </w:r>
          </w:p>
        </w:tc>
        <w:tc>
          <w:tcPr>
            <w:tcW w:w="0" w:type="auto"/>
            <w:vAlign w:val="center"/>
          </w:tcPr>
          <w:p w14:paraId="57DC11E5">
            <w:pPr>
              <w:ind w:firstLine="0" w:firstLineChars="0"/>
              <w:jc w:val="center"/>
            </w:pPr>
            <w:r>
              <w:t>60—70亩×约4500元/亩，村委会既有预算</w:t>
            </w:r>
          </w:p>
        </w:tc>
      </w:tr>
      <w:tr w14:paraId="62FABA0C">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11" w:type="dxa"/>
            <w:vAlign w:val="center"/>
          </w:tcPr>
          <w:p w14:paraId="20BAA7A1">
            <w:pPr>
              <w:ind w:firstLine="0" w:firstLineChars="0"/>
              <w:jc w:val="center"/>
            </w:pPr>
            <w:r>
              <w:t>包装物流</w:t>
            </w:r>
          </w:p>
        </w:tc>
        <w:tc>
          <w:tcPr>
            <w:tcW w:w="1379" w:type="dxa"/>
            <w:vAlign w:val="center"/>
          </w:tcPr>
          <w:p w14:paraId="33BD9572">
            <w:pPr>
              <w:ind w:firstLine="0" w:firstLineChars="0"/>
              <w:jc w:val="center"/>
            </w:pPr>
            <w:r>
              <w:t>12.0</w:t>
            </w:r>
          </w:p>
        </w:tc>
        <w:tc>
          <w:tcPr>
            <w:tcW w:w="0" w:type="auto"/>
            <w:vAlign w:val="center"/>
          </w:tcPr>
          <w:p w14:paraId="0B1AF49C">
            <w:pPr>
              <w:ind w:firstLine="0" w:firstLineChars="0"/>
              <w:jc w:val="center"/>
            </w:pPr>
            <w:r>
              <w:t>20.0</w:t>
            </w:r>
          </w:p>
        </w:tc>
        <w:tc>
          <w:tcPr>
            <w:tcW w:w="0" w:type="auto"/>
            <w:vAlign w:val="center"/>
          </w:tcPr>
          <w:p w14:paraId="2426AF02">
            <w:pPr>
              <w:ind w:firstLine="0" w:firstLineChars="0"/>
              <w:jc w:val="center"/>
            </w:pPr>
            <w:r>
              <w:t>32.0</w:t>
            </w:r>
          </w:p>
        </w:tc>
        <w:tc>
          <w:tcPr>
            <w:tcW w:w="0" w:type="auto"/>
            <w:vAlign w:val="center"/>
          </w:tcPr>
          <w:p w14:paraId="178C78F9">
            <w:pPr>
              <w:ind w:firstLine="0" w:firstLineChars="0"/>
              <w:jc w:val="center"/>
            </w:pPr>
            <w:r>
              <w:t>随销量增长，</w:t>
            </w:r>
          </w:p>
          <w:p w14:paraId="7B14AB40">
            <w:pPr>
              <w:ind w:firstLine="0" w:firstLineChars="0"/>
              <w:jc w:val="center"/>
            </w:pPr>
            <w:r>
              <w:t>用户自付为主</w:t>
            </w:r>
          </w:p>
        </w:tc>
      </w:tr>
      <w:tr w14:paraId="211B7AE6">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11" w:type="dxa"/>
            <w:vAlign w:val="center"/>
          </w:tcPr>
          <w:p w14:paraId="714A5992">
            <w:pPr>
              <w:ind w:firstLine="0" w:firstLineChars="0"/>
              <w:jc w:val="center"/>
            </w:pPr>
            <w:r>
              <w:t>林菌生产成本</w:t>
            </w:r>
          </w:p>
          <w:p w14:paraId="47C04BAE">
            <w:pPr>
              <w:ind w:firstLine="0" w:firstLineChars="0"/>
              <w:jc w:val="center"/>
            </w:pPr>
            <w:r>
              <w:t>（含菌种/人工/加工）</w:t>
            </w:r>
          </w:p>
        </w:tc>
        <w:tc>
          <w:tcPr>
            <w:tcW w:w="1379" w:type="dxa"/>
            <w:vAlign w:val="center"/>
          </w:tcPr>
          <w:p w14:paraId="37242C93">
            <w:pPr>
              <w:ind w:firstLine="0" w:firstLineChars="0"/>
              <w:jc w:val="center"/>
            </w:pPr>
            <w:r>
              <w:t>3.0</w:t>
            </w:r>
          </w:p>
        </w:tc>
        <w:tc>
          <w:tcPr>
            <w:tcW w:w="0" w:type="auto"/>
            <w:vAlign w:val="center"/>
          </w:tcPr>
          <w:p w14:paraId="01CEDF7E">
            <w:pPr>
              <w:ind w:firstLine="0" w:firstLineChars="0"/>
              <w:jc w:val="center"/>
            </w:pPr>
            <w:r>
              <w:t>8.0</w:t>
            </w:r>
          </w:p>
        </w:tc>
        <w:tc>
          <w:tcPr>
            <w:tcW w:w="0" w:type="auto"/>
            <w:vAlign w:val="center"/>
          </w:tcPr>
          <w:p w14:paraId="7860A150">
            <w:pPr>
              <w:ind w:firstLine="0" w:firstLineChars="0"/>
              <w:jc w:val="center"/>
            </w:pPr>
            <w:r>
              <w:t>16.0</w:t>
            </w:r>
          </w:p>
        </w:tc>
        <w:tc>
          <w:tcPr>
            <w:tcW w:w="0" w:type="auto"/>
            <w:vAlign w:val="center"/>
          </w:tcPr>
          <w:p w14:paraId="263968C3">
            <w:pPr>
              <w:ind w:firstLine="0" w:firstLineChars="0"/>
              <w:jc w:val="center"/>
            </w:pPr>
            <w:r>
              <w:t>专项资金已覆盖</w:t>
            </w:r>
          </w:p>
          <w:p w14:paraId="2E197147">
            <w:pPr>
              <w:ind w:firstLine="0" w:firstLineChars="0"/>
              <w:jc w:val="center"/>
            </w:pPr>
            <w:r>
              <w:t>+收入回笼</w:t>
            </w:r>
          </w:p>
        </w:tc>
      </w:tr>
      <w:tr w14:paraId="6F4B91A1">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11" w:type="dxa"/>
            <w:vAlign w:val="center"/>
          </w:tcPr>
          <w:p w14:paraId="364695AF">
            <w:pPr>
              <w:ind w:firstLine="0" w:firstLineChars="0"/>
              <w:jc w:val="center"/>
            </w:pPr>
            <w:r>
              <w:t>活动运营</w:t>
            </w:r>
          </w:p>
        </w:tc>
        <w:tc>
          <w:tcPr>
            <w:tcW w:w="1379" w:type="dxa"/>
            <w:vAlign w:val="center"/>
          </w:tcPr>
          <w:p w14:paraId="4CE92308">
            <w:pPr>
              <w:ind w:firstLine="0" w:firstLineChars="0"/>
              <w:jc w:val="center"/>
            </w:pPr>
            <w:r>
              <w:t>8.0</w:t>
            </w:r>
          </w:p>
        </w:tc>
        <w:tc>
          <w:tcPr>
            <w:tcW w:w="0" w:type="auto"/>
            <w:vAlign w:val="center"/>
          </w:tcPr>
          <w:p w14:paraId="26F1B62F">
            <w:pPr>
              <w:ind w:firstLine="0" w:firstLineChars="0"/>
              <w:jc w:val="center"/>
            </w:pPr>
            <w:r>
              <w:t>16.0</w:t>
            </w:r>
          </w:p>
        </w:tc>
        <w:tc>
          <w:tcPr>
            <w:tcW w:w="0" w:type="auto"/>
            <w:vAlign w:val="center"/>
          </w:tcPr>
          <w:p w14:paraId="21E6FF78">
            <w:pPr>
              <w:ind w:firstLine="0" w:firstLineChars="0"/>
              <w:jc w:val="center"/>
            </w:pPr>
            <w:r>
              <w:t>25.0</w:t>
            </w:r>
          </w:p>
        </w:tc>
        <w:tc>
          <w:tcPr>
            <w:tcW w:w="0" w:type="auto"/>
            <w:vAlign w:val="center"/>
          </w:tcPr>
          <w:p w14:paraId="35E362A1">
            <w:pPr>
              <w:ind w:firstLine="0" w:firstLineChars="0"/>
              <w:jc w:val="center"/>
            </w:pPr>
            <w:r>
              <w:t>赛事/研学/团建物资+场地+临时人工</w:t>
            </w:r>
          </w:p>
        </w:tc>
      </w:tr>
      <w:tr w14:paraId="30B36DA1">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11" w:type="dxa"/>
            <w:vAlign w:val="center"/>
          </w:tcPr>
          <w:p w14:paraId="411EB0D8">
            <w:pPr>
              <w:ind w:firstLine="0" w:firstLineChars="0"/>
              <w:jc w:val="center"/>
            </w:pPr>
            <w:r>
              <w:t>营销推广</w:t>
            </w:r>
          </w:p>
        </w:tc>
        <w:tc>
          <w:tcPr>
            <w:tcW w:w="1379" w:type="dxa"/>
            <w:vAlign w:val="center"/>
          </w:tcPr>
          <w:p w14:paraId="517322EA">
            <w:pPr>
              <w:ind w:firstLine="0" w:firstLineChars="0"/>
              <w:jc w:val="center"/>
            </w:pPr>
            <w:r>
              <w:t>4.0</w:t>
            </w:r>
          </w:p>
        </w:tc>
        <w:tc>
          <w:tcPr>
            <w:tcW w:w="0" w:type="auto"/>
            <w:vAlign w:val="center"/>
          </w:tcPr>
          <w:p w14:paraId="490F39AF">
            <w:pPr>
              <w:ind w:firstLine="0" w:firstLineChars="0"/>
              <w:jc w:val="center"/>
            </w:pPr>
            <w:r>
              <w:t>8.0</w:t>
            </w:r>
          </w:p>
        </w:tc>
        <w:tc>
          <w:tcPr>
            <w:tcW w:w="0" w:type="auto"/>
            <w:vAlign w:val="center"/>
          </w:tcPr>
          <w:p w14:paraId="6824BDC5">
            <w:pPr>
              <w:ind w:firstLine="0" w:firstLineChars="0"/>
              <w:jc w:val="center"/>
            </w:pPr>
            <w:r>
              <w:t>14.0</w:t>
            </w:r>
          </w:p>
        </w:tc>
        <w:tc>
          <w:tcPr>
            <w:tcW w:w="0" w:type="auto"/>
            <w:vAlign w:val="center"/>
          </w:tcPr>
          <w:p w14:paraId="3013C625">
            <w:pPr>
              <w:ind w:firstLine="0" w:firstLineChars="0"/>
              <w:jc w:val="center"/>
            </w:pPr>
            <w:r>
              <w:t>KOL合作+投流</w:t>
            </w:r>
          </w:p>
          <w:p w14:paraId="64912E8B">
            <w:pPr>
              <w:ind w:firstLine="0" w:firstLineChars="0"/>
              <w:jc w:val="center"/>
            </w:pPr>
            <w:r>
              <w:t>+物料</w:t>
            </w:r>
          </w:p>
        </w:tc>
      </w:tr>
      <w:tr w14:paraId="672B81E3">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11" w:type="dxa"/>
            <w:vAlign w:val="center"/>
          </w:tcPr>
          <w:p w14:paraId="6E8178E0">
            <w:pPr>
              <w:ind w:firstLine="0" w:firstLineChars="0"/>
              <w:jc w:val="center"/>
            </w:pPr>
            <w:r>
              <w:t>认养管家+驿站人员</w:t>
            </w:r>
          </w:p>
        </w:tc>
        <w:tc>
          <w:tcPr>
            <w:tcW w:w="1379" w:type="dxa"/>
            <w:vAlign w:val="center"/>
          </w:tcPr>
          <w:p w14:paraId="78071CD6">
            <w:pPr>
              <w:ind w:firstLine="0" w:firstLineChars="0"/>
              <w:jc w:val="center"/>
            </w:pPr>
            <w:r>
              <w:t>5.0</w:t>
            </w:r>
          </w:p>
        </w:tc>
        <w:tc>
          <w:tcPr>
            <w:tcW w:w="0" w:type="auto"/>
            <w:vAlign w:val="center"/>
          </w:tcPr>
          <w:p w14:paraId="43EA3A7F">
            <w:pPr>
              <w:ind w:firstLine="0" w:firstLineChars="0"/>
              <w:jc w:val="center"/>
            </w:pPr>
            <w:r>
              <w:t>8.0</w:t>
            </w:r>
          </w:p>
        </w:tc>
        <w:tc>
          <w:tcPr>
            <w:tcW w:w="0" w:type="auto"/>
            <w:vAlign w:val="center"/>
          </w:tcPr>
          <w:p w14:paraId="0BD3049D">
            <w:pPr>
              <w:ind w:firstLine="0" w:firstLineChars="0"/>
              <w:jc w:val="center"/>
            </w:pPr>
            <w:r>
              <w:t>12.0</w:t>
            </w:r>
          </w:p>
        </w:tc>
        <w:tc>
          <w:tcPr>
            <w:tcW w:w="0" w:type="auto"/>
            <w:vAlign w:val="center"/>
          </w:tcPr>
          <w:p w14:paraId="3B7C253B">
            <w:pPr>
              <w:ind w:firstLine="0" w:firstLineChars="0"/>
              <w:jc w:val="center"/>
            </w:pPr>
            <w:r>
              <w:t>村民服务队薪酬</w:t>
            </w:r>
          </w:p>
          <w:p w14:paraId="3964B2C8">
            <w:pPr>
              <w:ind w:firstLine="0" w:firstLineChars="0"/>
              <w:jc w:val="center"/>
            </w:pPr>
            <w:r>
              <w:t>+培训</w:t>
            </w:r>
          </w:p>
        </w:tc>
      </w:tr>
      <w:tr w14:paraId="140A6BEC">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11" w:type="dxa"/>
            <w:vAlign w:val="center"/>
          </w:tcPr>
          <w:p w14:paraId="0B22DC80">
            <w:pPr>
              <w:ind w:firstLine="0" w:firstLineChars="0"/>
              <w:jc w:val="center"/>
            </w:pPr>
            <w:r>
              <w:t>平台运维</w:t>
            </w:r>
          </w:p>
        </w:tc>
        <w:tc>
          <w:tcPr>
            <w:tcW w:w="1379" w:type="dxa"/>
            <w:vAlign w:val="center"/>
          </w:tcPr>
          <w:p w14:paraId="5371D7B7">
            <w:pPr>
              <w:ind w:firstLine="0" w:firstLineChars="0"/>
              <w:jc w:val="center"/>
            </w:pPr>
            <w:r>
              <w:t>0.5</w:t>
            </w:r>
          </w:p>
        </w:tc>
        <w:tc>
          <w:tcPr>
            <w:tcW w:w="0" w:type="auto"/>
            <w:vAlign w:val="center"/>
          </w:tcPr>
          <w:p w14:paraId="516D70AE">
            <w:pPr>
              <w:ind w:firstLine="0" w:firstLineChars="0"/>
              <w:jc w:val="center"/>
            </w:pPr>
            <w:r>
              <w:t>1.0</w:t>
            </w:r>
          </w:p>
        </w:tc>
        <w:tc>
          <w:tcPr>
            <w:tcW w:w="0" w:type="auto"/>
            <w:vAlign w:val="center"/>
          </w:tcPr>
          <w:p w14:paraId="6E889DF2">
            <w:pPr>
              <w:ind w:firstLine="0" w:firstLineChars="0"/>
              <w:jc w:val="center"/>
            </w:pPr>
            <w:r>
              <w:t>1.5</w:t>
            </w:r>
          </w:p>
        </w:tc>
        <w:tc>
          <w:tcPr>
            <w:tcW w:w="0" w:type="auto"/>
            <w:vAlign w:val="center"/>
          </w:tcPr>
          <w:p w14:paraId="1E84D189">
            <w:pPr>
              <w:ind w:firstLine="0" w:firstLineChars="0"/>
              <w:jc w:val="center"/>
            </w:pPr>
            <w:r>
              <w:t>微信云开发年费</w:t>
            </w:r>
          </w:p>
          <w:p w14:paraId="0A204BD9">
            <w:pPr>
              <w:ind w:firstLine="0" w:firstLineChars="0"/>
              <w:jc w:val="center"/>
            </w:pPr>
            <w:r>
              <w:t>+域名+短信</w:t>
            </w:r>
          </w:p>
        </w:tc>
      </w:tr>
      <w:tr w14:paraId="00CE17B1">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11" w:type="dxa"/>
            <w:vAlign w:val="center"/>
          </w:tcPr>
          <w:p w14:paraId="6EDAF707">
            <w:pPr>
              <w:ind w:firstLine="0" w:firstLineChars="0"/>
              <w:jc w:val="center"/>
            </w:pPr>
            <w:r>
              <w:t>折旧摊销</w:t>
            </w:r>
          </w:p>
        </w:tc>
        <w:tc>
          <w:tcPr>
            <w:tcW w:w="1379" w:type="dxa"/>
            <w:vAlign w:val="center"/>
          </w:tcPr>
          <w:p w14:paraId="6143AD85">
            <w:pPr>
              <w:ind w:firstLine="0" w:firstLineChars="0"/>
              <w:jc w:val="center"/>
            </w:pPr>
            <w:r>
              <w:t>1.0</w:t>
            </w:r>
          </w:p>
        </w:tc>
        <w:tc>
          <w:tcPr>
            <w:tcW w:w="0" w:type="auto"/>
            <w:vAlign w:val="center"/>
          </w:tcPr>
          <w:p w14:paraId="7C64A965">
            <w:pPr>
              <w:ind w:firstLine="0" w:firstLineChars="0"/>
              <w:jc w:val="center"/>
            </w:pPr>
            <w:r>
              <w:t>1.0</w:t>
            </w:r>
          </w:p>
        </w:tc>
        <w:tc>
          <w:tcPr>
            <w:tcW w:w="0" w:type="auto"/>
            <w:vAlign w:val="center"/>
          </w:tcPr>
          <w:p w14:paraId="3CC37EFA">
            <w:pPr>
              <w:ind w:firstLine="0" w:firstLineChars="0"/>
              <w:jc w:val="center"/>
            </w:pPr>
            <w:r>
              <w:t>1.0</w:t>
            </w:r>
          </w:p>
        </w:tc>
        <w:tc>
          <w:tcPr>
            <w:tcW w:w="0" w:type="auto"/>
            <w:vAlign w:val="center"/>
          </w:tcPr>
          <w:p w14:paraId="32EB1D41">
            <w:pPr>
              <w:ind w:firstLine="0" w:firstLineChars="0"/>
              <w:jc w:val="center"/>
            </w:pPr>
            <w:r>
              <w:t>骑行标识+打卡桩分3年摊销</w:t>
            </w:r>
          </w:p>
        </w:tc>
      </w:tr>
      <w:tr w14:paraId="4202E0BA">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11" w:type="dxa"/>
            <w:vAlign w:val="center"/>
          </w:tcPr>
          <w:p w14:paraId="7D6F82F1">
            <w:pPr>
              <w:ind w:firstLine="0" w:firstLineChars="0"/>
              <w:jc w:val="center"/>
            </w:pPr>
            <w:r>
              <w:rPr>
                <w:b/>
                <w:bCs/>
              </w:rPr>
              <w:t>总成本</w:t>
            </w:r>
          </w:p>
        </w:tc>
        <w:tc>
          <w:tcPr>
            <w:tcW w:w="1379" w:type="dxa"/>
            <w:vAlign w:val="center"/>
          </w:tcPr>
          <w:p w14:paraId="39FF46BF">
            <w:pPr>
              <w:ind w:firstLine="0" w:firstLineChars="0"/>
              <w:jc w:val="center"/>
            </w:pPr>
            <w:r>
              <w:rPr>
                <w:b/>
                <w:bCs/>
              </w:rPr>
              <w:t>63.5</w:t>
            </w:r>
          </w:p>
        </w:tc>
        <w:tc>
          <w:tcPr>
            <w:tcW w:w="0" w:type="auto"/>
            <w:vAlign w:val="center"/>
          </w:tcPr>
          <w:p w14:paraId="1149E1AF">
            <w:pPr>
              <w:ind w:firstLine="0" w:firstLineChars="0"/>
              <w:jc w:val="center"/>
            </w:pPr>
            <w:r>
              <w:rPr>
                <w:b/>
                <w:bCs/>
              </w:rPr>
              <w:t>94.0</w:t>
            </w:r>
          </w:p>
        </w:tc>
        <w:tc>
          <w:tcPr>
            <w:tcW w:w="0" w:type="auto"/>
            <w:vAlign w:val="center"/>
          </w:tcPr>
          <w:p w14:paraId="5A63B750">
            <w:pPr>
              <w:ind w:firstLine="0" w:firstLineChars="0"/>
              <w:jc w:val="center"/>
            </w:pPr>
            <w:r>
              <w:rPr>
                <w:b/>
                <w:bCs/>
              </w:rPr>
              <w:t>136.5</w:t>
            </w:r>
          </w:p>
        </w:tc>
        <w:tc>
          <w:tcPr>
            <w:tcW w:w="0" w:type="auto"/>
            <w:vAlign w:val="center"/>
          </w:tcPr>
          <w:p w14:paraId="3E7C4F81">
            <w:pPr>
              <w:ind w:firstLine="0" w:firstLineChars="0"/>
              <w:jc w:val="center"/>
            </w:pPr>
            <w:r>
              <w:t>—</w:t>
            </w:r>
          </w:p>
        </w:tc>
      </w:tr>
    </w:tbl>
    <w:p w14:paraId="037429BF">
      <w:pPr>
        <w:ind w:firstLine="480"/>
      </w:pPr>
      <w:r>
        <w:rPr>
          <w:rFonts w:hint="eastAsia"/>
        </w:rPr>
        <w:t>本项目的</w:t>
      </w:r>
      <w:r>
        <w:t>成本结构特征可以从三个维度加以解读。首先是</w:t>
      </w:r>
      <w:r>
        <w:rPr>
          <w:b/>
          <w:bCs/>
        </w:rPr>
        <w:t>成本的“外部化”程度较高</w:t>
      </w:r>
      <w:r>
        <w:rPr>
          <w:rFonts w:hint="eastAsia"/>
        </w:rPr>
        <w:t>，</w:t>
      </w:r>
      <w:r>
        <w:t>包装物流成本虽然在表内列示，但实际由用户承担的比例超过70%——认养产品采用“到访自取（默认）+顺丰用户付费+集中自提”的三选一物流方案，村委会仅承担少量兜底运输费用</w:t>
      </w:r>
      <w:r>
        <w:rPr>
          <w:rFonts w:hint="eastAsia"/>
        </w:rPr>
        <w:t>；而</w:t>
      </w:r>
      <w:r>
        <w:t>驿站的全部设备投入、补货成本和运维人工均由外部无人零售公司承担，表内所列的“活动运营”和“营销推广”中也未包含驿站相关支出</w:t>
      </w:r>
      <w:r>
        <w:rPr>
          <w:rFonts w:hint="eastAsia"/>
        </w:rPr>
        <w:t>；最后</w:t>
      </w:r>
      <w:r>
        <w:t>深加工的生产成本完全在村外代工厂发生，与本项目的成本表无关。</w:t>
      </w:r>
    </w:p>
    <w:p w14:paraId="1A7246A0">
      <w:pPr>
        <w:ind w:firstLine="480"/>
      </w:pPr>
      <w:r>
        <w:t>其次是</w:t>
      </w:r>
      <w:r>
        <w:rPr>
          <w:rFonts w:hint="eastAsia"/>
        </w:rPr>
        <w:t>本项目</w:t>
      </w:r>
      <w:r>
        <w:t>新增人工成本的控制机制。认养管家和驿站巡检员是本项目主要的新增人力需求，但通过</w:t>
      </w:r>
      <w:r>
        <w:rPr>
          <w:b/>
          <w:bCs/>
        </w:rPr>
        <w:t>“一人多岗”的岗位合并设计</w:t>
      </w:r>
      <w:r>
        <w:t>（认养管家同时承担驿站巡检和研学接待职责），实际用工人数</w:t>
      </w:r>
      <w:r>
        <w:rPr>
          <w:rFonts w:hint="eastAsia"/>
        </w:rPr>
        <w:t>将</w:t>
      </w:r>
      <w:r>
        <w:t>控制在2至3人</w:t>
      </w:r>
      <w:r>
        <w:rPr>
          <w:rFonts w:hint="eastAsia"/>
        </w:rPr>
        <w:t>，其</w:t>
      </w:r>
      <w:r>
        <w:t>薪酬结构采用“</w:t>
      </w:r>
      <w:r>
        <w:rPr>
          <w:b/>
          <w:bCs/>
        </w:rPr>
        <w:t>基础工资+互动服务提成+驿站销售奖金”</w:t>
      </w:r>
      <w:r>
        <w:t>的复合模式，使人力成本与业务收入挂钩，避免了固定薪酬带来的刚性支出压力。按第一年2人、第三年3人的配置测算，</w:t>
      </w:r>
      <w:r>
        <w:rPr>
          <w:rFonts w:hint="eastAsia"/>
        </w:rPr>
        <w:t>本项目的</w:t>
      </w:r>
      <w:r>
        <w:t>年度薪酬支出从5万元温和增长至12万元，占当年总收入的比例维持在3%左右。</w:t>
      </w:r>
    </w:p>
    <w:p w14:paraId="2D0C317B">
      <w:pPr>
        <w:ind w:firstLine="480"/>
      </w:pPr>
      <w:r>
        <w:rPr>
          <w:rFonts w:hint="eastAsia"/>
        </w:rPr>
        <w:t>最后</w:t>
      </w:r>
      <w:r>
        <w:t>是营销推广的</w:t>
      </w:r>
      <w:r>
        <w:rPr>
          <w:b/>
          <w:bCs/>
        </w:rPr>
        <w:t>“内容置换”策略</w:t>
      </w:r>
      <w:r>
        <w:t>显著降低了现金支出。第一年4万元的营销预算中，约有一半以免费体验置换垂类博主的图文视频内容，实际现金投放仅2万元左右</w:t>
      </w:r>
      <w:r>
        <w:rPr>
          <w:rFonts w:hint="eastAsia"/>
        </w:rPr>
        <w:t>；</w:t>
      </w:r>
      <w:r>
        <w:t>随着品牌内容资产的积累和用户自然流量的增长，第二年和第三年的付费推广比例虽有所上升，但获客成本仍控制在合理区间。</w:t>
      </w:r>
    </w:p>
    <w:p w14:paraId="47D30EDB">
      <w:pPr>
        <w:ind w:firstLine="480"/>
      </w:pPr>
      <w:r>
        <w:rPr>
          <w:rFonts w:hint="eastAsia"/>
        </w:rPr>
        <w:t>本项目的</w:t>
      </w:r>
      <w:r>
        <w:t>总成本</w:t>
      </w:r>
      <w:r>
        <w:rPr>
          <w:rFonts w:hint="eastAsia"/>
        </w:rPr>
        <w:t>将</w:t>
      </w:r>
      <w:r>
        <w:t>从第一年的63.5万元增长至第三年的136.5万元，增幅约115%，而同期总收入增幅约226%，成本收入比从46%下降至30%，规模效应明显。</w:t>
      </w:r>
    </w:p>
    <w:p w14:paraId="18DE10F4">
      <w:pPr>
        <w:pStyle w:val="3"/>
      </w:pPr>
      <w:bookmarkStart w:id="180" w:name="_Toc15704"/>
      <w:r>
        <w:t>10.5 盈利分析</w:t>
      </w:r>
      <w:bookmarkEnd w:id="180"/>
    </w:p>
    <w:p w14:paraId="443B4284">
      <w:pPr>
        <w:ind w:firstLine="480"/>
      </w:pPr>
      <w:r>
        <w:t>在收入和成本测算的基础上，本节对项目的盈利能力进行逐层分析</w:t>
      </w:r>
      <w:r>
        <w:rPr>
          <w:rFonts w:hint="eastAsia"/>
        </w:rPr>
        <w:t>。</w:t>
      </w:r>
    </w:p>
    <w:p w14:paraId="3516EA9D">
      <w:pPr>
        <w:pStyle w:val="6"/>
        <w:ind w:firstLine="400"/>
      </w:pPr>
      <w:r>
        <w:t>表10-10 三年盈利预测</w:t>
      </w:r>
    </w:p>
    <w:tbl>
      <w:tblPr>
        <w:tblStyle w:val="29"/>
        <w:tblW w:w="5000" w:type="pct"/>
        <w:tblInd w:w="0" w:type="dxa"/>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44"/>
        <w:gridCol w:w="1260"/>
        <w:gridCol w:w="1260"/>
        <w:gridCol w:w="1258"/>
      </w:tblGrid>
      <w:tr w14:paraId="3CF62B12">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784" w:type="pct"/>
            <w:tcBorders>
              <w:bottom w:val="single" w:color="auto" w:sz="12" w:space="0"/>
            </w:tcBorders>
            <w:vAlign w:val="center"/>
          </w:tcPr>
          <w:p w14:paraId="4B335802">
            <w:pPr>
              <w:ind w:firstLine="0" w:firstLineChars="0"/>
              <w:jc w:val="center"/>
              <w:rPr>
                <w:b/>
                <w:bCs/>
              </w:rPr>
            </w:pPr>
            <w:r>
              <w:rPr>
                <w:b/>
                <w:bCs/>
              </w:rPr>
              <w:t>指标</w:t>
            </w:r>
          </w:p>
        </w:tc>
        <w:tc>
          <w:tcPr>
            <w:tcW w:w="739" w:type="pct"/>
            <w:tcBorders>
              <w:bottom w:val="single" w:color="auto" w:sz="12" w:space="0"/>
            </w:tcBorders>
            <w:vAlign w:val="center"/>
          </w:tcPr>
          <w:p w14:paraId="0BC42FCD">
            <w:pPr>
              <w:ind w:firstLine="0" w:firstLineChars="0"/>
              <w:jc w:val="center"/>
              <w:rPr>
                <w:b/>
                <w:bCs/>
              </w:rPr>
            </w:pPr>
            <w:r>
              <w:rPr>
                <w:b/>
                <w:bCs/>
              </w:rPr>
              <w:t>第1年</w:t>
            </w:r>
          </w:p>
        </w:tc>
        <w:tc>
          <w:tcPr>
            <w:tcW w:w="739" w:type="pct"/>
            <w:tcBorders>
              <w:bottom w:val="single" w:color="auto" w:sz="12" w:space="0"/>
            </w:tcBorders>
            <w:vAlign w:val="center"/>
          </w:tcPr>
          <w:p w14:paraId="006A949B">
            <w:pPr>
              <w:ind w:firstLine="0" w:firstLineChars="0"/>
              <w:jc w:val="center"/>
              <w:rPr>
                <w:b/>
                <w:bCs/>
              </w:rPr>
            </w:pPr>
            <w:r>
              <w:rPr>
                <w:b/>
                <w:bCs/>
              </w:rPr>
              <w:t>第2年</w:t>
            </w:r>
          </w:p>
        </w:tc>
        <w:tc>
          <w:tcPr>
            <w:tcW w:w="739" w:type="pct"/>
            <w:tcBorders>
              <w:bottom w:val="single" w:color="auto" w:sz="12" w:space="0"/>
            </w:tcBorders>
            <w:vAlign w:val="center"/>
          </w:tcPr>
          <w:p w14:paraId="13D3BC94">
            <w:pPr>
              <w:ind w:firstLine="0" w:firstLineChars="0"/>
              <w:jc w:val="center"/>
              <w:rPr>
                <w:b/>
                <w:bCs/>
              </w:rPr>
            </w:pPr>
            <w:r>
              <w:rPr>
                <w:b/>
                <w:bCs/>
              </w:rPr>
              <w:t>第3年</w:t>
            </w:r>
          </w:p>
        </w:tc>
      </w:tr>
      <w:tr w14:paraId="1C25F63B">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784" w:type="pct"/>
            <w:tcBorders>
              <w:top w:val="single" w:color="auto" w:sz="12" w:space="0"/>
            </w:tcBorders>
            <w:vAlign w:val="center"/>
          </w:tcPr>
          <w:p w14:paraId="4ADF2472">
            <w:pPr>
              <w:ind w:firstLine="0" w:firstLineChars="0"/>
              <w:jc w:val="center"/>
            </w:pPr>
            <w:r>
              <w:t>总收入（万元）</w:t>
            </w:r>
          </w:p>
        </w:tc>
        <w:tc>
          <w:tcPr>
            <w:tcW w:w="739" w:type="pct"/>
            <w:tcBorders>
              <w:top w:val="single" w:color="auto" w:sz="12" w:space="0"/>
            </w:tcBorders>
            <w:vAlign w:val="center"/>
          </w:tcPr>
          <w:p w14:paraId="6D8615E8">
            <w:pPr>
              <w:ind w:firstLine="0" w:firstLineChars="0"/>
              <w:jc w:val="center"/>
            </w:pPr>
            <w:r>
              <w:t>137.8</w:t>
            </w:r>
          </w:p>
        </w:tc>
        <w:tc>
          <w:tcPr>
            <w:tcW w:w="739" w:type="pct"/>
            <w:tcBorders>
              <w:top w:val="single" w:color="auto" w:sz="12" w:space="0"/>
            </w:tcBorders>
            <w:vAlign w:val="center"/>
          </w:tcPr>
          <w:p w14:paraId="4C036615">
            <w:pPr>
              <w:ind w:firstLine="0" w:firstLineChars="0"/>
              <w:jc w:val="center"/>
            </w:pPr>
            <w:r>
              <w:t>269.7</w:t>
            </w:r>
          </w:p>
        </w:tc>
        <w:tc>
          <w:tcPr>
            <w:tcW w:w="739" w:type="pct"/>
            <w:tcBorders>
              <w:top w:val="single" w:color="auto" w:sz="12" w:space="0"/>
            </w:tcBorders>
            <w:vAlign w:val="center"/>
          </w:tcPr>
          <w:p w14:paraId="397016C2">
            <w:pPr>
              <w:ind w:firstLine="0" w:firstLineChars="0"/>
              <w:jc w:val="center"/>
            </w:pPr>
            <w:r>
              <w:t>450.0</w:t>
            </w:r>
          </w:p>
        </w:tc>
      </w:tr>
      <w:tr w14:paraId="101AEC45">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784" w:type="pct"/>
            <w:vAlign w:val="center"/>
          </w:tcPr>
          <w:p w14:paraId="77640288">
            <w:pPr>
              <w:ind w:firstLine="0" w:firstLineChars="0"/>
              <w:jc w:val="center"/>
            </w:pPr>
            <w:r>
              <w:t>总成本（万元）</w:t>
            </w:r>
          </w:p>
        </w:tc>
        <w:tc>
          <w:tcPr>
            <w:tcW w:w="739" w:type="pct"/>
            <w:vAlign w:val="center"/>
          </w:tcPr>
          <w:p w14:paraId="52C21816">
            <w:pPr>
              <w:ind w:firstLine="0" w:firstLineChars="0"/>
              <w:jc w:val="center"/>
            </w:pPr>
            <w:r>
              <w:t>63.5</w:t>
            </w:r>
          </w:p>
        </w:tc>
        <w:tc>
          <w:tcPr>
            <w:tcW w:w="739" w:type="pct"/>
            <w:vAlign w:val="center"/>
          </w:tcPr>
          <w:p w14:paraId="7B22E76B">
            <w:pPr>
              <w:ind w:firstLine="0" w:firstLineChars="0"/>
              <w:jc w:val="center"/>
            </w:pPr>
            <w:r>
              <w:t>94.0</w:t>
            </w:r>
          </w:p>
        </w:tc>
        <w:tc>
          <w:tcPr>
            <w:tcW w:w="739" w:type="pct"/>
            <w:vAlign w:val="center"/>
          </w:tcPr>
          <w:p w14:paraId="0514F580">
            <w:pPr>
              <w:ind w:firstLine="0" w:firstLineChars="0"/>
              <w:jc w:val="center"/>
            </w:pPr>
            <w:r>
              <w:t>136.5</w:t>
            </w:r>
          </w:p>
        </w:tc>
      </w:tr>
      <w:tr w14:paraId="44AD609C">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784" w:type="pct"/>
            <w:vAlign w:val="center"/>
          </w:tcPr>
          <w:p w14:paraId="73E6D274">
            <w:pPr>
              <w:ind w:firstLine="0" w:firstLineChars="0"/>
              <w:jc w:val="center"/>
            </w:pPr>
            <w:r>
              <w:t>毛利润（万元）</w:t>
            </w:r>
          </w:p>
        </w:tc>
        <w:tc>
          <w:tcPr>
            <w:tcW w:w="739" w:type="pct"/>
            <w:vAlign w:val="center"/>
          </w:tcPr>
          <w:p w14:paraId="79249F9A">
            <w:pPr>
              <w:ind w:firstLine="0" w:firstLineChars="0"/>
              <w:jc w:val="center"/>
            </w:pPr>
            <w:r>
              <w:t>74.3</w:t>
            </w:r>
          </w:p>
        </w:tc>
        <w:tc>
          <w:tcPr>
            <w:tcW w:w="739" w:type="pct"/>
            <w:vAlign w:val="center"/>
          </w:tcPr>
          <w:p w14:paraId="0D0BD3B4">
            <w:pPr>
              <w:ind w:firstLine="0" w:firstLineChars="0"/>
              <w:jc w:val="center"/>
            </w:pPr>
            <w:r>
              <w:t>175.7</w:t>
            </w:r>
          </w:p>
        </w:tc>
        <w:tc>
          <w:tcPr>
            <w:tcW w:w="739" w:type="pct"/>
            <w:vAlign w:val="center"/>
          </w:tcPr>
          <w:p w14:paraId="19C56481">
            <w:pPr>
              <w:ind w:firstLine="0" w:firstLineChars="0"/>
              <w:jc w:val="center"/>
            </w:pPr>
            <w:r>
              <w:t>313.5</w:t>
            </w:r>
          </w:p>
        </w:tc>
      </w:tr>
      <w:tr w14:paraId="3A913B37">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784" w:type="pct"/>
            <w:vAlign w:val="center"/>
          </w:tcPr>
          <w:p w14:paraId="4A601FE8">
            <w:pPr>
              <w:ind w:firstLine="0" w:firstLineChars="0"/>
              <w:jc w:val="center"/>
            </w:pPr>
            <w:r>
              <w:t>毛利率</w:t>
            </w:r>
          </w:p>
        </w:tc>
        <w:tc>
          <w:tcPr>
            <w:tcW w:w="739" w:type="pct"/>
            <w:vAlign w:val="center"/>
          </w:tcPr>
          <w:p w14:paraId="64B4DBF3">
            <w:pPr>
              <w:ind w:firstLine="0" w:firstLineChars="0"/>
              <w:jc w:val="center"/>
            </w:pPr>
            <w:r>
              <w:t>54%</w:t>
            </w:r>
          </w:p>
        </w:tc>
        <w:tc>
          <w:tcPr>
            <w:tcW w:w="739" w:type="pct"/>
            <w:vAlign w:val="center"/>
          </w:tcPr>
          <w:p w14:paraId="0966DCDC">
            <w:pPr>
              <w:ind w:firstLine="0" w:firstLineChars="0"/>
              <w:jc w:val="center"/>
            </w:pPr>
            <w:r>
              <w:t>65%</w:t>
            </w:r>
          </w:p>
        </w:tc>
        <w:tc>
          <w:tcPr>
            <w:tcW w:w="739" w:type="pct"/>
            <w:vAlign w:val="center"/>
          </w:tcPr>
          <w:p w14:paraId="4A33A6C2">
            <w:pPr>
              <w:ind w:firstLine="0" w:firstLineChars="0"/>
              <w:jc w:val="center"/>
            </w:pPr>
            <w:r>
              <w:t>70%</w:t>
            </w:r>
          </w:p>
        </w:tc>
      </w:tr>
      <w:tr w14:paraId="43C1FAC3">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784" w:type="pct"/>
            <w:vAlign w:val="center"/>
          </w:tcPr>
          <w:p w14:paraId="7099858B">
            <w:pPr>
              <w:ind w:firstLine="0" w:firstLineChars="0"/>
              <w:jc w:val="center"/>
            </w:pPr>
            <w:r>
              <w:t>减：初始投入摊销（3年均摊）</w:t>
            </w:r>
          </w:p>
        </w:tc>
        <w:tc>
          <w:tcPr>
            <w:tcW w:w="739" w:type="pct"/>
            <w:vAlign w:val="center"/>
          </w:tcPr>
          <w:p w14:paraId="4CA51A29">
            <w:pPr>
              <w:ind w:firstLine="0" w:firstLineChars="0"/>
              <w:jc w:val="center"/>
            </w:pPr>
            <w:r>
              <w:t>3.5</w:t>
            </w:r>
          </w:p>
        </w:tc>
        <w:tc>
          <w:tcPr>
            <w:tcW w:w="739" w:type="pct"/>
            <w:vAlign w:val="center"/>
          </w:tcPr>
          <w:p w14:paraId="74E969B0">
            <w:pPr>
              <w:ind w:firstLine="0" w:firstLineChars="0"/>
              <w:jc w:val="center"/>
            </w:pPr>
            <w:r>
              <w:t>3.5</w:t>
            </w:r>
          </w:p>
        </w:tc>
        <w:tc>
          <w:tcPr>
            <w:tcW w:w="739" w:type="pct"/>
            <w:vAlign w:val="center"/>
          </w:tcPr>
          <w:p w14:paraId="39887A20">
            <w:pPr>
              <w:ind w:firstLine="0" w:firstLineChars="0"/>
              <w:jc w:val="center"/>
            </w:pPr>
            <w:r>
              <w:t>3.5</w:t>
            </w:r>
          </w:p>
        </w:tc>
      </w:tr>
      <w:tr w14:paraId="651EF20E">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2784" w:type="pct"/>
            <w:vAlign w:val="center"/>
          </w:tcPr>
          <w:p w14:paraId="03BDDC37">
            <w:pPr>
              <w:ind w:firstLine="0" w:firstLineChars="0"/>
              <w:jc w:val="center"/>
            </w:pPr>
            <w:r>
              <w:rPr>
                <w:b/>
                <w:bCs/>
              </w:rPr>
              <w:t>净利润（万元）</w:t>
            </w:r>
          </w:p>
        </w:tc>
        <w:tc>
          <w:tcPr>
            <w:tcW w:w="739" w:type="pct"/>
            <w:vAlign w:val="center"/>
          </w:tcPr>
          <w:p w14:paraId="25B5E780">
            <w:pPr>
              <w:ind w:firstLine="0" w:firstLineChars="0"/>
              <w:jc w:val="center"/>
            </w:pPr>
            <w:r>
              <w:rPr>
                <w:b/>
                <w:bCs/>
              </w:rPr>
              <w:t>70.8</w:t>
            </w:r>
          </w:p>
        </w:tc>
        <w:tc>
          <w:tcPr>
            <w:tcW w:w="739" w:type="pct"/>
            <w:vAlign w:val="center"/>
          </w:tcPr>
          <w:p w14:paraId="4E7ED1D8">
            <w:pPr>
              <w:ind w:firstLine="0" w:firstLineChars="0"/>
              <w:jc w:val="center"/>
            </w:pPr>
            <w:r>
              <w:rPr>
                <w:b/>
                <w:bCs/>
              </w:rPr>
              <w:t>172.2</w:t>
            </w:r>
          </w:p>
        </w:tc>
        <w:tc>
          <w:tcPr>
            <w:tcW w:w="739" w:type="pct"/>
            <w:vAlign w:val="center"/>
          </w:tcPr>
          <w:p w14:paraId="72453C15">
            <w:pPr>
              <w:ind w:firstLine="0" w:firstLineChars="0"/>
              <w:jc w:val="center"/>
            </w:pPr>
            <w:r>
              <w:rPr>
                <w:b/>
                <w:bCs/>
              </w:rPr>
              <w:t>310.0</w:t>
            </w:r>
          </w:p>
        </w:tc>
      </w:tr>
    </w:tbl>
    <w:p w14:paraId="6F38E9CF">
      <w:pPr>
        <w:ind w:firstLine="480"/>
      </w:pPr>
      <w:r>
        <w:t>表10-10呈现出</w:t>
      </w:r>
      <w:r>
        <w:rPr>
          <w:rFonts w:hint="eastAsia"/>
        </w:rPr>
        <w:t>本项目的</w:t>
      </w:r>
      <w:r>
        <w:t>一条清晰的盈利能力提升曲线。第一年</w:t>
      </w:r>
      <w:r>
        <w:rPr>
          <w:rFonts w:hint="eastAsia"/>
        </w:rPr>
        <w:t>本项目的</w:t>
      </w:r>
      <w:r>
        <w:t>毛利率为54%，</w:t>
      </w:r>
      <w:r>
        <w:rPr>
          <w:b/>
          <w:bCs/>
        </w:rPr>
        <w:t>净利润约71万元</w:t>
      </w:r>
      <w:r>
        <w:t>，对于一个处于启动期的乡村项目而言已属稳健</w:t>
      </w:r>
      <w:r>
        <w:rPr>
          <w:rFonts w:hint="eastAsia"/>
        </w:rPr>
        <w:t>；</w:t>
      </w:r>
      <w:r>
        <w:t>第二年起</w:t>
      </w:r>
      <w:r>
        <w:rPr>
          <w:rFonts w:hint="eastAsia"/>
        </w:rPr>
        <w:t>本项目的</w:t>
      </w:r>
      <w:r>
        <w:rPr>
          <w:b/>
          <w:bCs/>
        </w:rPr>
        <w:t>毛利率跃升至65%，净利润突破170万元</w:t>
      </w:r>
      <w:r>
        <w:t>，增幅达143%</w:t>
      </w:r>
      <w:r>
        <w:rPr>
          <w:rFonts w:hint="eastAsia"/>
        </w:rPr>
        <w:t>；</w:t>
      </w:r>
      <w:r>
        <w:t>第三年</w:t>
      </w:r>
      <w:r>
        <w:rPr>
          <w:rFonts w:hint="eastAsia"/>
        </w:rPr>
        <w:t>的</w:t>
      </w:r>
      <w:r>
        <w:t>毛利率</w:t>
      </w:r>
      <w:r>
        <w:rPr>
          <w:rFonts w:hint="eastAsia"/>
        </w:rPr>
        <w:t>则</w:t>
      </w:r>
      <w:r>
        <w:t>进一步</w:t>
      </w:r>
      <w:r>
        <w:rPr>
          <w:b/>
          <w:bCs/>
        </w:rPr>
        <w:t>攀升至70%，净利润达到310万元</w:t>
      </w:r>
      <w:r>
        <w:t>，约为第一年的4.4倍。</w:t>
      </w:r>
    </w:p>
    <w:p w14:paraId="31B7214D">
      <w:pPr>
        <w:ind w:firstLine="480"/>
      </w:pPr>
      <w:r>
        <w:t>需要特别说明的是，净利润310万元并不等同于村集体的可支配收入。根据第九章中建议的</w:t>
      </w:r>
      <w:r>
        <w:rPr>
          <w:b/>
          <w:bCs/>
        </w:rPr>
        <w:t>三级收益分配模型（</w:t>
      </w:r>
      <w:r>
        <w:t>村集体约25%、合作社约30%、参与农户约30%、发展基金约10%、风险储备约5%），第三年村集体可获得的净收入约为78万元。此外，场地租金（无人驿站场地年租金1.5至3万元/点位，3个点位合计约6至9万元）、品牌授权费（直接归村集体）和组织召集费（骑行联盟赛事分成中归杨家东庄村的部分）等资产性收入直接进入村集体账户，第三年合计约15至20万元。两者叠加，村集体在第三年的综合可支配收入预计在95至110万元区间，保守取值约100万元。相较于2025年约20万元的樱桃销售收入和2020年约60万元的历史峰值，这一数字代表了3至5倍的增长，且收入结构更加稳定、可持续性显著增强。</w:t>
      </w:r>
    </w:p>
    <w:p w14:paraId="598556EB">
      <w:pPr>
        <w:pStyle w:val="3"/>
      </w:pPr>
      <w:bookmarkStart w:id="181" w:name="_Toc11886"/>
      <w:r>
        <w:t>10.6 盈亏平衡分析</w:t>
      </w:r>
      <w:bookmarkEnd w:id="181"/>
    </w:p>
    <w:p w14:paraId="6B646E4E">
      <w:pPr>
        <w:ind w:firstLine="480"/>
      </w:pPr>
      <w:r>
        <w:t>盈亏平衡分析旨在回答一个关键问题：在最不利的情况下，项目需要达到多大规模才能覆盖全部成本而不发生亏损。</w:t>
      </w:r>
      <w:r>
        <w:rPr>
          <w:rFonts w:hint="eastAsia"/>
        </w:rPr>
        <w:t>因此，</w:t>
      </w:r>
      <w:r>
        <w:t>本项目的成本可拆分为</w:t>
      </w:r>
      <w:r>
        <w:rPr>
          <w:b/>
          <w:bCs/>
        </w:rPr>
        <w:t>固定成本与变动成本</w:t>
      </w:r>
      <w:r>
        <w:t>两部分。固定成本是指无论产量和游客量如何变化都必须发生的</w:t>
      </w:r>
      <w:r>
        <w:rPr>
          <w:b/>
          <w:bCs/>
        </w:rPr>
        <w:t>年度支出</w:t>
      </w:r>
      <w:r>
        <w:t>，主要包括樱桃园种植管护费用（30万元，涵盖农资、日常用工和水电支出）、认养管家和驿站人员的基础工资部分（约3万元）、骑行标识与打卡桩的折旧摊销（1万元）以及小程序云服务的年度运维费用（0.5万元），固定成本合计约34.5万元。变动成本是指</w:t>
      </w:r>
      <w:r>
        <w:rPr>
          <w:rFonts w:hint="eastAsia"/>
          <w:b/>
          <w:bCs/>
        </w:rPr>
        <w:t>项目</w:t>
      </w:r>
      <w:r>
        <w:rPr>
          <w:b/>
          <w:bCs/>
        </w:rPr>
        <w:t>随销量和客流变化而同步增减的支出</w:t>
      </w:r>
      <w:r>
        <w:t>，包括包装物流（约占总收入的8%）、林菌生产成本（约3%）、活动运营中的物资消耗（约6%）以及营销推广中的效果投放部分（约3%），综合变动成本率约为20%。</w:t>
      </w:r>
    </w:p>
    <w:p w14:paraId="649632FC">
      <w:pPr>
        <w:ind w:firstLine="480"/>
      </w:pPr>
      <w:r>
        <w:t>根据盈亏平衡点的计算公式——</w:t>
      </w:r>
      <w:r>
        <w:rPr>
          <w:rFonts w:hint="eastAsia"/>
        </w:rPr>
        <w:t>盈亏平衡收入 = 固定成本 ÷ (1-变动成本率)，</w:t>
      </w:r>
      <w:r>
        <w:t>代入</w:t>
      </w:r>
      <w:r>
        <w:rPr>
          <w:rFonts w:hint="eastAsia"/>
        </w:rPr>
        <w:t>数值公式</w:t>
      </w:r>
      <w:r>
        <w:t>可得：34.5</w:t>
      </w:r>
      <w:r>
        <w:rPr>
          <w:rFonts w:hint="eastAsia"/>
        </w:rPr>
        <w:t>÷</w:t>
      </w:r>
      <w:r>
        <w:t>0.80</w:t>
      </w:r>
      <w:r>
        <w:rPr>
          <w:rFonts w:ascii="宋体" w:hAnsi="宋体"/>
          <w:sz w:val="21"/>
          <w:szCs w:val="21"/>
        </w:rPr>
        <w:t>≈</w:t>
      </w:r>
      <w:r>
        <w:t>43.1万元。这意味着项目在任何一年只需实现约43万元的收入即可覆盖全部成本，超出部分即为净利润。对比第一年预测总收入137.8万元，盈亏平衡收入仅占预期收入的31%，安全边际非常充分。</w:t>
      </w:r>
      <w:r>
        <w:rPr>
          <w:rFonts w:hint="eastAsia"/>
        </w:rPr>
        <w:t xml:space="preserve"> </w:t>
      </w:r>
    </w:p>
    <w:p w14:paraId="06E8869F">
      <w:pPr>
        <w:ind w:firstLine="480"/>
      </w:pPr>
      <w:r>
        <w:t>即使在极端悲观情景下——比如</w:t>
      </w:r>
      <w:r>
        <w:rPr>
          <w:rFonts w:hint="eastAsia"/>
        </w:rPr>
        <w:t>当地</w:t>
      </w:r>
      <w:r>
        <w:t>遭遇严重倒春寒导致樱桃减产过半、骑行客流因外部因素大幅萎缩——</w:t>
      </w:r>
      <w:r>
        <w:rPr>
          <w:rFonts w:hint="eastAsia"/>
        </w:rPr>
        <w:t>本</w:t>
      </w:r>
      <w:r>
        <w:t>项目</w:t>
      </w:r>
      <w:r>
        <w:rPr>
          <w:rFonts w:hint="eastAsia"/>
        </w:rPr>
        <w:t>页</w:t>
      </w:r>
      <w:r>
        <w:t>只需发挥约三分之一的预期产能即可避免亏损。这一稳健的盈亏平衡结构源于两个设计特征：其一是</w:t>
      </w:r>
      <w:r>
        <w:rPr>
          <w:b/>
          <w:bCs/>
        </w:rPr>
        <w:t>固定成本占比极低</w:t>
      </w:r>
      <w:r>
        <w:t>（约占总成本的54%，显著低于重资产乡村项目的70%至80%），其二是</w:t>
      </w:r>
      <w:r>
        <w:rPr>
          <w:b/>
          <w:bCs/>
        </w:rPr>
        <w:t>高毛利的认养订阅和组织型收入在总收入中占有相当比重</w:t>
      </w:r>
      <w:r>
        <w:t>，这些业务线的变动成本率远低于行业均值。</w:t>
      </w:r>
    </w:p>
    <w:p w14:paraId="218144F9">
      <w:pPr>
        <w:pStyle w:val="3"/>
      </w:pPr>
      <w:bookmarkStart w:id="182" w:name="_Toc21690"/>
      <w:r>
        <w:t>10.7 敏感性分析</w:t>
      </w:r>
      <w:bookmarkEnd w:id="182"/>
    </w:p>
    <w:p w14:paraId="773FDBAC">
      <w:pPr>
        <w:ind w:firstLine="480"/>
      </w:pPr>
      <w:r>
        <w:t>敏感性分析用于测试关键变量的波动对项目净利润的影响程度，从而识别出需要重点管控的风险因子。本</w:t>
      </w:r>
      <w:r>
        <w:rPr>
          <w:rFonts w:hint="eastAsia"/>
        </w:rPr>
        <w:t>项目</w:t>
      </w:r>
      <w:r>
        <w:t>选取</w:t>
      </w:r>
      <w:r>
        <w:rPr>
          <w:rFonts w:hint="eastAsia"/>
        </w:rPr>
        <w:t>了</w:t>
      </w:r>
      <w:r>
        <w:t>年游客量、樱桃产量和认养规模三个对项目收入影响最为直接的变量，以第三年的预测值为基准，分别测试其在上升20%和下降20%两种情景下净利润的变化幅度。</w:t>
      </w:r>
    </w:p>
    <w:p w14:paraId="67DB3FCE">
      <w:pPr>
        <w:pStyle w:val="6"/>
        <w:ind w:firstLine="400"/>
      </w:pPr>
      <w:r>
        <w:t>表10-11 敏感性分析（以第三年数据为基准）</w:t>
      </w:r>
    </w:p>
    <w:tbl>
      <w:tblPr>
        <w:tblStyle w:val="29"/>
        <w:tblW w:w="5000" w:type="pct"/>
        <w:tblInd w:w="0" w:type="dxa"/>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7"/>
        <w:gridCol w:w="1154"/>
        <w:gridCol w:w="1277"/>
        <w:gridCol w:w="1309"/>
        <w:gridCol w:w="3005"/>
      </w:tblGrid>
      <w:tr w14:paraId="2F087C3D">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043" w:type="pct"/>
            <w:tcBorders>
              <w:bottom w:val="single" w:color="auto" w:sz="12" w:space="0"/>
            </w:tcBorders>
            <w:vAlign w:val="center"/>
          </w:tcPr>
          <w:p w14:paraId="612BB872">
            <w:pPr>
              <w:ind w:firstLine="0" w:firstLineChars="0"/>
              <w:jc w:val="center"/>
              <w:rPr>
                <w:b/>
                <w:bCs/>
              </w:rPr>
            </w:pPr>
            <w:r>
              <w:rPr>
                <w:b/>
                <w:bCs/>
              </w:rPr>
              <w:t>变量</w:t>
            </w:r>
          </w:p>
        </w:tc>
        <w:tc>
          <w:tcPr>
            <w:tcW w:w="677" w:type="pct"/>
            <w:tcBorders>
              <w:bottom w:val="single" w:color="auto" w:sz="12" w:space="0"/>
            </w:tcBorders>
            <w:vAlign w:val="center"/>
          </w:tcPr>
          <w:p w14:paraId="654FDBDB">
            <w:pPr>
              <w:ind w:firstLine="0" w:firstLineChars="0"/>
              <w:jc w:val="center"/>
              <w:rPr>
                <w:b/>
                <w:bCs/>
              </w:rPr>
            </w:pPr>
            <w:r>
              <w:rPr>
                <w:b/>
                <w:bCs/>
              </w:rPr>
              <w:t>基准值</w:t>
            </w:r>
          </w:p>
        </w:tc>
        <w:tc>
          <w:tcPr>
            <w:tcW w:w="749" w:type="pct"/>
            <w:tcBorders>
              <w:bottom w:val="single" w:color="auto" w:sz="12" w:space="0"/>
            </w:tcBorders>
            <w:vAlign w:val="center"/>
          </w:tcPr>
          <w:p w14:paraId="73FDA815">
            <w:pPr>
              <w:ind w:firstLine="0" w:firstLineChars="0"/>
              <w:jc w:val="center"/>
              <w:rPr>
                <w:b/>
                <w:bCs/>
              </w:rPr>
            </w:pPr>
            <w:r>
              <w:rPr>
                <w:b/>
                <w:bCs/>
              </w:rPr>
              <w:t>-20%</w:t>
            </w:r>
          </w:p>
          <w:p w14:paraId="43B256B8">
            <w:pPr>
              <w:ind w:firstLine="0" w:firstLineChars="0"/>
              <w:jc w:val="center"/>
              <w:rPr>
                <w:b/>
                <w:bCs/>
              </w:rPr>
            </w:pPr>
            <w:r>
              <w:rPr>
                <w:b/>
                <w:bCs/>
              </w:rPr>
              <w:t>情景</w:t>
            </w:r>
          </w:p>
        </w:tc>
        <w:tc>
          <w:tcPr>
            <w:tcW w:w="768" w:type="pct"/>
            <w:tcBorders>
              <w:bottom w:val="single" w:color="auto" w:sz="12" w:space="0"/>
            </w:tcBorders>
            <w:vAlign w:val="center"/>
          </w:tcPr>
          <w:p w14:paraId="01A57991">
            <w:pPr>
              <w:ind w:firstLine="0" w:firstLineChars="0"/>
              <w:jc w:val="center"/>
              <w:rPr>
                <w:b/>
                <w:bCs/>
              </w:rPr>
            </w:pPr>
            <w:r>
              <w:rPr>
                <w:b/>
                <w:bCs/>
              </w:rPr>
              <w:t>+20%</w:t>
            </w:r>
          </w:p>
          <w:p w14:paraId="2BB5BBD8">
            <w:pPr>
              <w:ind w:firstLine="0" w:firstLineChars="0"/>
              <w:jc w:val="center"/>
              <w:rPr>
                <w:b/>
                <w:bCs/>
              </w:rPr>
            </w:pPr>
            <w:r>
              <w:rPr>
                <w:b/>
                <w:bCs/>
              </w:rPr>
              <w:t>情景</w:t>
            </w:r>
          </w:p>
        </w:tc>
        <w:tc>
          <w:tcPr>
            <w:tcW w:w="1763" w:type="pct"/>
            <w:tcBorders>
              <w:bottom w:val="single" w:color="auto" w:sz="12" w:space="0"/>
            </w:tcBorders>
            <w:vAlign w:val="center"/>
          </w:tcPr>
          <w:p w14:paraId="75F40FA1">
            <w:pPr>
              <w:ind w:firstLine="0" w:firstLineChars="0"/>
              <w:jc w:val="center"/>
              <w:rPr>
                <w:b/>
                <w:bCs/>
              </w:rPr>
            </w:pPr>
            <w:r>
              <w:rPr>
                <w:b/>
                <w:bCs/>
              </w:rPr>
              <w:t>对净利润的影响</w:t>
            </w:r>
          </w:p>
        </w:tc>
      </w:tr>
      <w:tr w14:paraId="1DA47A68">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043" w:type="pct"/>
            <w:tcBorders>
              <w:top w:val="single" w:color="auto" w:sz="12" w:space="0"/>
            </w:tcBorders>
            <w:vAlign w:val="center"/>
          </w:tcPr>
          <w:p w14:paraId="73930799">
            <w:pPr>
              <w:ind w:firstLine="0" w:firstLineChars="0"/>
              <w:jc w:val="center"/>
            </w:pPr>
            <w:r>
              <w:t>年游客量</w:t>
            </w:r>
          </w:p>
        </w:tc>
        <w:tc>
          <w:tcPr>
            <w:tcW w:w="677" w:type="pct"/>
            <w:tcBorders>
              <w:top w:val="single" w:color="auto" w:sz="12" w:space="0"/>
            </w:tcBorders>
            <w:vAlign w:val="center"/>
          </w:tcPr>
          <w:p w14:paraId="4CE21B18">
            <w:pPr>
              <w:ind w:firstLine="0" w:firstLineChars="0"/>
              <w:jc w:val="center"/>
            </w:pPr>
            <w:r>
              <w:t>2.0万</w:t>
            </w:r>
          </w:p>
          <w:p w14:paraId="6A9777CF">
            <w:pPr>
              <w:ind w:firstLine="0" w:firstLineChars="0"/>
              <w:jc w:val="center"/>
            </w:pPr>
            <w:r>
              <w:t>人次</w:t>
            </w:r>
          </w:p>
        </w:tc>
        <w:tc>
          <w:tcPr>
            <w:tcW w:w="749" w:type="pct"/>
            <w:tcBorders>
              <w:top w:val="single" w:color="auto" w:sz="12" w:space="0"/>
            </w:tcBorders>
            <w:vAlign w:val="center"/>
          </w:tcPr>
          <w:p w14:paraId="5207D66A">
            <w:pPr>
              <w:ind w:firstLine="0" w:firstLineChars="0"/>
              <w:jc w:val="center"/>
            </w:pPr>
            <w:r>
              <w:t>1.6万</w:t>
            </w:r>
          </w:p>
          <w:p w14:paraId="4FDC2A86">
            <w:pPr>
              <w:ind w:firstLine="0" w:firstLineChars="0"/>
              <w:jc w:val="center"/>
            </w:pPr>
            <w:r>
              <w:t>人次</w:t>
            </w:r>
          </w:p>
        </w:tc>
        <w:tc>
          <w:tcPr>
            <w:tcW w:w="768" w:type="pct"/>
            <w:tcBorders>
              <w:top w:val="single" w:color="auto" w:sz="12" w:space="0"/>
            </w:tcBorders>
            <w:vAlign w:val="center"/>
          </w:tcPr>
          <w:p w14:paraId="12A04521">
            <w:pPr>
              <w:ind w:firstLine="0" w:firstLineChars="0"/>
              <w:jc w:val="center"/>
            </w:pPr>
            <w:r>
              <w:t>2.4万</w:t>
            </w:r>
          </w:p>
          <w:p w14:paraId="4C5826DA">
            <w:pPr>
              <w:ind w:firstLine="0" w:firstLineChars="0"/>
              <w:jc w:val="center"/>
            </w:pPr>
            <w:r>
              <w:t>人次</w:t>
            </w:r>
          </w:p>
        </w:tc>
        <w:tc>
          <w:tcPr>
            <w:tcW w:w="1763" w:type="pct"/>
            <w:tcBorders>
              <w:top w:val="single" w:color="auto" w:sz="12" w:space="0"/>
            </w:tcBorders>
            <w:vAlign w:val="center"/>
          </w:tcPr>
          <w:p w14:paraId="6CD760AB">
            <w:pPr>
              <w:ind w:firstLine="0" w:firstLineChars="0"/>
              <w:jc w:val="center"/>
            </w:pPr>
            <w:r>
              <w:t>净利变动±约35万元（±11%）</w:t>
            </w:r>
          </w:p>
        </w:tc>
      </w:tr>
      <w:tr w14:paraId="0CDEB43A">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043" w:type="pct"/>
            <w:vAlign w:val="center"/>
          </w:tcPr>
          <w:p w14:paraId="49F8AC0A">
            <w:pPr>
              <w:ind w:firstLine="0" w:firstLineChars="0"/>
              <w:jc w:val="center"/>
            </w:pPr>
            <w:r>
              <w:t>樱桃产量（Y3）</w:t>
            </w:r>
          </w:p>
        </w:tc>
        <w:tc>
          <w:tcPr>
            <w:tcW w:w="677" w:type="pct"/>
            <w:vAlign w:val="center"/>
          </w:tcPr>
          <w:p w14:paraId="20E51848">
            <w:pPr>
              <w:ind w:firstLine="0" w:firstLineChars="0"/>
              <w:jc w:val="center"/>
            </w:pPr>
            <w:r>
              <w:t>4.2万</w:t>
            </w:r>
          </w:p>
          <w:p w14:paraId="63ECE7AD">
            <w:pPr>
              <w:ind w:firstLine="0" w:firstLineChars="0"/>
              <w:jc w:val="center"/>
            </w:pPr>
            <w:r>
              <w:t>公斤</w:t>
            </w:r>
          </w:p>
        </w:tc>
        <w:tc>
          <w:tcPr>
            <w:tcW w:w="749" w:type="pct"/>
            <w:vAlign w:val="center"/>
          </w:tcPr>
          <w:p w14:paraId="52B2E165">
            <w:pPr>
              <w:ind w:firstLine="0" w:firstLineChars="0"/>
              <w:jc w:val="center"/>
            </w:pPr>
            <w:r>
              <w:t>3.36万</w:t>
            </w:r>
          </w:p>
          <w:p w14:paraId="1280D535">
            <w:pPr>
              <w:ind w:firstLine="0" w:firstLineChars="0"/>
              <w:jc w:val="center"/>
            </w:pPr>
            <w:r>
              <w:t>公斤</w:t>
            </w:r>
          </w:p>
        </w:tc>
        <w:tc>
          <w:tcPr>
            <w:tcW w:w="768" w:type="pct"/>
            <w:vAlign w:val="center"/>
          </w:tcPr>
          <w:p w14:paraId="7B5FCFC3">
            <w:pPr>
              <w:ind w:firstLine="0" w:firstLineChars="0"/>
              <w:jc w:val="center"/>
            </w:pPr>
            <w:r>
              <w:t>5.04万</w:t>
            </w:r>
          </w:p>
          <w:p w14:paraId="7380014E">
            <w:pPr>
              <w:ind w:firstLine="0" w:firstLineChars="0"/>
              <w:jc w:val="center"/>
            </w:pPr>
            <w:r>
              <w:t>公斤</w:t>
            </w:r>
          </w:p>
        </w:tc>
        <w:tc>
          <w:tcPr>
            <w:tcW w:w="1763" w:type="pct"/>
            <w:vAlign w:val="center"/>
          </w:tcPr>
          <w:p w14:paraId="10BF103D">
            <w:pPr>
              <w:ind w:firstLine="0" w:firstLineChars="0"/>
              <w:jc w:val="center"/>
            </w:pPr>
            <w:r>
              <w:t>净利变动±约25万元（±8%）</w:t>
            </w:r>
          </w:p>
        </w:tc>
      </w:tr>
      <w:tr w14:paraId="1713081E">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043" w:type="pct"/>
            <w:vAlign w:val="center"/>
          </w:tcPr>
          <w:p w14:paraId="56B4D429">
            <w:pPr>
              <w:ind w:firstLine="0" w:firstLineChars="0"/>
              <w:jc w:val="center"/>
            </w:pPr>
            <w:r>
              <w:t>认养规模（Y3）</w:t>
            </w:r>
          </w:p>
        </w:tc>
        <w:tc>
          <w:tcPr>
            <w:tcW w:w="677" w:type="pct"/>
            <w:vAlign w:val="center"/>
          </w:tcPr>
          <w:p w14:paraId="723C007C">
            <w:pPr>
              <w:ind w:firstLine="0" w:firstLineChars="0"/>
              <w:jc w:val="center"/>
            </w:pPr>
            <w:r>
              <w:t>450棵</w:t>
            </w:r>
          </w:p>
        </w:tc>
        <w:tc>
          <w:tcPr>
            <w:tcW w:w="749" w:type="pct"/>
            <w:vAlign w:val="center"/>
          </w:tcPr>
          <w:p w14:paraId="02EB7BDA">
            <w:pPr>
              <w:ind w:firstLine="0" w:firstLineChars="0"/>
              <w:jc w:val="center"/>
            </w:pPr>
            <w:r>
              <w:t>360棵</w:t>
            </w:r>
          </w:p>
        </w:tc>
        <w:tc>
          <w:tcPr>
            <w:tcW w:w="768" w:type="pct"/>
            <w:vAlign w:val="center"/>
          </w:tcPr>
          <w:p w14:paraId="1EFB15C4">
            <w:pPr>
              <w:ind w:firstLine="0" w:firstLineChars="0"/>
              <w:jc w:val="center"/>
            </w:pPr>
            <w:r>
              <w:t>540棵</w:t>
            </w:r>
          </w:p>
        </w:tc>
        <w:tc>
          <w:tcPr>
            <w:tcW w:w="1763" w:type="pct"/>
            <w:vAlign w:val="center"/>
          </w:tcPr>
          <w:p w14:paraId="217EC332">
            <w:pPr>
              <w:ind w:firstLine="0" w:firstLineChars="0"/>
              <w:jc w:val="center"/>
            </w:pPr>
            <w:r>
              <w:t>净利变动±约15万元（±5%）</w:t>
            </w:r>
          </w:p>
        </w:tc>
      </w:tr>
    </w:tbl>
    <w:p w14:paraId="502B2E28">
      <w:pPr>
        <w:ind w:firstLine="480"/>
      </w:pPr>
      <w:r>
        <w:t>从</w:t>
      </w:r>
      <w:r>
        <w:rPr>
          <w:rFonts w:hint="eastAsia"/>
        </w:rPr>
        <w:t>本项目的</w:t>
      </w:r>
      <w:r>
        <w:t>测试结果可以得出三个重要判断。第一，</w:t>
      </w:r>
      <w:r>
        <w:rPr>
          <w:b/>
          <w:bCs/>
        </w:rPr>
        <w:t>认养规模对净利润的敏感度最低</w:t>
      </w:r>
      <w:r>
        <w:t>，仅为正负5%</w:t>
      </w:r>
      <w:r>
        <w:rPr>
          <w:rFonts w:hint="eastAsia"/>
        </w:rPr>
        <w:t>，</w:t>
      </w:r>
      <w:r>
        <w:t>这是因为认养业务具有订阅制的</w:t>
      </w:r>
      <w:r>
        <w:rPr>
          <w:b/>
          <w:bCs/>
        </w:rPr>
        <w:t>收入确认特征</w:t>
      </w:r>
      <w:r>
        <w:t>——用户在年初即全额支付年费，收入锁定程度高；互动增值包的购买虽然有一定弹性，但基础认养费构成了稳定的收入底盘；加之绝产年份的</w:t>
      </w:r>
      <w:r>
        <w:rPr>
          <w:b/>
          <w:bCs/>
        </w:rPr>
        <w:t>合同对冲条款</w:t>
      </w:r>
      <w:r>
        <w:t>（认养权顺延而非退款）进一步平滑了极端情况下的现金流波动。</w:t>
      </w:r>
      <w:r>
        <w:rPr>
          <w:rFonts w:hint="eastAsia"/>
        </w:rPr>
        <w:t>而项目的</w:t>
      </w:r>
      <w:r>
        <w:t>认养业务相当于为整个项目的财务模型安装了一个“减震器”，这也是本项目将其作为线上销售唯一主线的深层财务逻辑。</w:t>
      </w:r>
    </w:p>
    <w:p w14:paraId="23968468">
      <w:pPr>
        <w:ind w:firstLine="480"/>
      </w:pPr>
      <w:r>
        <w:t>第二，</w:t>
      </w:r>
      <w:r>
        <w:rPr>
          <w:b/>
          <w:bCs/>
        </w:rPr>
        <w:t>樱桃产量的敏感度居中</w:t>
      </w:r>
      <w:r>
        <w:t>，为正负8%。产量的波动主要受天气因素（尤其是倒春寒）影响。</w:t>
      </w:r>
      <w:r>
        <w:rPr>
          <w:rFonts w:hint="eastAsia"/>
        </w:rPr>
        <w:t>因此本</w:t>
      </w:r>
      <w:r>
        <w:t>项目对此的应对策略是双重的：一方面</w:t>
      </w:r>
      <w:r>
        <w:rPr>
          <w:b/>
          <w:bCs/>
        </w:rPr>
        <w:t>对接农科院提供防冻技术指导</w:t>
      </w:r>
      <w:r>
        <w:t>，从源头降低绝产概率；另一方面通过品牌溢价提升单价，使得即使减产年份的总收入也不至于同比例下滑。</w:t>
      </w:r>
      <w:r>
        <w:rPr>
          <w:rFonts w:hint="eastAsia"/>
        </w:rPr>
        <w:t>根据</w:t>
      </w:r>
      <w:r>
        <w:t>第三年的敏感性测试显示，产量下降20%时净利润仍可达285万元，</w:t>
      </w:r>
      <w:r>
        <w:rPr>
          <w:rFonts w:hint="eastAsia"/>
        </w:rPr>
        <w:t>项目的</w:t>
      </w:r>
      <w:r>
        <w:t>盈利能力依然强劲。</w:t>
      </w:r>
    </w:p>
    <w:p w14:paraId="60625562">
      <w:pPr>
        <w:ind w:firstLine="480"/>
      </w:pPr>
      <w:r>
        <w:t>第三，</w:t>
      </w:r>
      <w:r>
        <w:rPr>
          <w:b/>
          <w:bCs/>
        </w:rPr>
        <w:t>年游客量的敏感度相对最高</w:t>
      </w:r>
      <w:r>
        <w:t>，为正负11%。骑行联盟的引流效果、研学和企业团建订单的获取能力，直接影响骑行及体验服务板块的收入规模。这一结果提示项目团队需在内容矩阵运营、渠道合作拓展和产品迭代优化方面保持持续投入，不能因第三年整体盈利能力强而放松流量端的精细化运营。</w:t>
      </w:r>
    </w:p>
    <w:p w14:paraId="7E2A5F92">
      <w:pPr>
        <w:ind w:firstLine="480"/>
      </w:pPr>
      <w:r>
        <w:t>年游客量敏感度较高的另一层</w:t>
      </w:r>
      <w:r>
        <w:rPr>
          <w:b/>
          <w:bCs/>
        </w:rPr>
        <w:t>结构性原因在于客群构成</w:t>
      </w:r>
      <w:r>
        <w:t>。根据消费者细分数据，潜力客群（当前对樱桃采摘与骑行兴趣较低的人群）占比达42.5%，其预期转化率仅为5%，显著低于核心客群的18%。这意味着年游客量目标的实现不仅依赖于</w:t>
      </w:r>
      <w:r>
        <w:rPr>
          <w:b/>
          <w:bCs/>
        </w:rPr>
        <w:t>核心客群的精准触达与高效转化</w:t>
      </w:r>
      <w:r>
        <w:t>，还需要对潜力客群进行长期的内容教育与心智培育。为此，项目在Y1至Y2的营销预算中预留约15%专项用于该部分客群的认知建设，预计Y3起逐步释放转化效果。此外，Logistic预测模型的AUC值为0.760，存在约28%的误判率，提示在鲜果备货与认养产能规划中需预留缓冲空间。项目已在运营方案中设计了10%的安全库存机制，以对冲因预测偏差可能导致的供需错配风险。</w:t>
      </w:r>
    </w:p>
    <w:p w14:paraId="61E0CE33">
      <w:pPr>
        <w:ind w:firstLine="480"/>
      </w:pPr>
    </w:p>
    <w:p w14:paraId="3CFF907D">
      <w:pPr>
        <w:pStyle w:val="3"/>
      </w:pPr>
      <w:bookmarkStart w:id="183" w:name="_Toc3548"/>
      <w:r>
        <w:t>10.8 社会效益</w:t>
      </w:r>
      <w:bookmarkEnd w:id="183"/>
    </w:p>
    <w:p w14:paraId="3356DF2E">
      <w:pPr>
        <w:ind w:firstLine="480"/>
      </w:pPr>
      <w:r>
        <w:rPr>
          <w:rFonts w:hint="eastAsia"/>
        </w:rPr>
        <w:t>本</w:t>
      </w:r>
      <w:r>
        <w:t>项目的综合效益不仅体现在财务数字上，更体现在对村庄社会结构和居民福祉的实质性改善。</w:t>
      </w:r>
      <w:r>
        <w:rPr>
          <w:rFonts w:hint="eastAsia"/>
        </w:rPr>
        <w:t>本项目的</w:t>
      </w:r>
      <w:r>
        <w:t>社会效益维度的评估</w:t>
      </w:r>
      <w:r>
        <w:rPr>
          <w:rFonts w:hint="eastAsia"/>
        </w:rPr>
        <w:t>将</w:t>
      </w:r>
      <w:r>
        <w:t>从就业带动、村民增收、青年返乡吸引力和村庄治理提升四个方面展开。</w:t>
      </w:r>
    </w:p>
    <w:p w14:paraId="26BCC466">
      <w:pPr>
        <w:ind w:firstLine="480"/>
      </w:pPr>
      <w:r>
        <w:t>在就业带动方面，项目预计</w:t>
      </w:r>
      <w:r>
        <w:rPr>
          <w:b/>
          <w:bCs/>
        </w:rPr>
        <w:t>直接创造就业岗位15至20个</w:t>
      </w:r>
      <w:r>
        <w:rPr>
          <w:rFonts w:hint="eastAsia"/>
        </w:rPr>
        <w:t>，</w:t>
      </w:r>
      <w:r>
        <w:t>具体包括认养管家2至3人（采用一人多岗模式，兼任驿站巡检和研学接待）、驿站巡检员1至2人（主要负责设备状态巡查和补货协助）、导览讲解员3至5人（负责骑行路线讲解、采摘引导和水源科普展馆接待）、研学接待员2至3人（负责研学团队的课程执行和现场组织）以及活动助理5至10人（根据赛事和节庆活动的规模弹性用工）。此外，骑行联盟扩展至周边村庄后，还将间接带动铠甲村等联盟村的民宿、餐饮、非遗体验等岗位10至15个，形成</w:t>
      </w:r>
      <w:r>
        <w:rPr>
          <w:b/>
          <w:bCs/>
        </w:rPr>
        <w:t>区域性的就业拉动效应</w:t>
      </w:r>
      <w:r>
        <w:t>。</w:t>
      </w:r>
    </w:p>
    <w:p w14:paraId="32C74AFB">
      <w:pPr>
        <w:ind w:firstLine="480"/>
      </w:pPr>
      <w:r>
        <w:t>在村民增收方面，参与</w:t>
      </w:r>
      <w:r>
        <w:rPr>
          <w:rFonts w:hint="eastAsia"/>
        </w:rPr>
        <w:t>本</w:t>
      </w:r>
      <w:r>
        <w:t>项目的村民可通</w:t>
      </w:r>
      <w:r>
        <w:rPr>
          <w:b/>
          <w:bCs/>
        </w:rPr>
        <w:t>过多条路径获得收入增长</w:t>
      </w:r>
      <w:r>
        <w:t>。采摘服务岗位按日计酬，日薪80至150元，樱桃季约30天的工作量可为参与村民带来</w:t>
      </w:r>
      <w:r>
        <w:rPr>
          <w:b/>
          <w:bCs/>
        </w:rPr>
        <w:t>2400至4500元的季节性收入</w:t>
      </w:r>
      <w:r>
        <w:rPr>
          <w:rFonts w:hint="eastAsia"/>
        </w:rPr>
        <w:t>；</w:t>
      </w:r>
      <w:r>
        <w:t>认养管家岗位采用“基础工资+互动服务提成+驿站销售奖金”的薪酬结构，月综合收入预计在3000至4500元之间，年收入可达3.6至5.4万元</w:t>
      </w:r>
      <w:r>
        <w:rPr>
          <w:rFonts w:hint="eastAsia"/>
        </w:rPr>
        <w:t>；</w:t>
      </w:r>
      <w:r>
        <w:t>驿站巡检员每日工作时间约1小时，月薪1500至2000元，适合村内年龄较大但有一定责任心的村民担任。</w:t>
      </w:r>
      <w:r>
        <w:rPr>
          <w:rFonts w:hint="eastAsia"/>
        </w:rPr>
        <w:t>而</w:t>
      </w:r>
      <w:r>
        <w:t>出租闲置农房给无人驿站作为场地的农户，每年可获得1.5至3万元的固定租金收入。综合来看，深度参与项目的</w:t>
      </w:r>
      <w:r>
        <w:rPr>
          <w:b/>
          <w:bCs/>
        </w:rPr>
        <w:t>农户年增收幅度在1.5至3万元之间</w:t>
      </w:r>
      <w:r>
        <w:t>，对于经济薄弱村的居民而言具有实质性的改善意义。</w:t>
      </w:r>
    </w:p>
    <w:p w14:paraId="2294556E">
      <w:pPr>
        <w:ind w:firstLine="480"/>
      </w:pPr>
      <w:r>
        <w:t>在青年返乡吸引力方面，项目所创设的数字化运营、内容创作、活动策划、数据分析等岗位，不同于传统的体力劳动型岗位，能够为具备一定学历和技能的年轻人提供体面的收入与职业成长空间</w:t>
      </w:r>
      <w:r>
        <w:rPr>
          <w:rFonts w:hint="eastAsia"/>
        </w:rPr>
        <w:t>，</w:t>
      </w:r>
      <w:r>
        <w:t>项目还将积极对接怀柔区</w:t>
      </w:r>
      <w:r>
        <w:rPr>
          <w:b/>
          <w:bCs/>
        </w:rPr>
        <w:t>“乡村运营师”培育计划</w:t>
      </w:r>
      <w:r>
        <w:t>，争取5至10万元每年的运营补贴，进一步降低青年人才返乡的机会成本。</w:t>
      </w:r>
    </w:p>
    <w:p w14:paraId="5E4E05D5">
      <w:pPr>
        <w:pStyle w:val="3"/>
      </w:pPr>
      <w:bookmarkStart w:id="184" w:name="_Toc21590"/>
      <w:r>
        <w:t>10.9 生态效益</w:t>
      </w:r>
      <w:bookmarkEnd w:id="184"/>
    </w:p>
    <w:p w14:paraId="72429EFB">
      <w:pPr>
        <w:ind w:firstLine="480"/>
      </w:pPr>
      <w:r>
        <w:t>杨家东庄村位于一级水源保护区，任何发展举措都必须以不损害、乃至强化生态保护为前提。本项目的生态效益体现在</w:t>
      </w:r>
      <w:r>
        <w:rPr>
          <w:b/>
          <w:bCs/>
        </w:rPr>
        <w:t>开发模式、环保意识提升、碳减排贡献和生态价值正循环</w:t>
      </w:r>
      <w:r>
        <w:t>四个层面。</w:t>
      </w:r>
    </w:p>
    <w:p w14:paraId="00DA04E3">
      <w:pPr>
        <w:ind w:firstLine="480"/>
      </w:pPr>
      <w:r>
        <w:t>在开发模式方面，</w:t>
      </w:r>
      <w:r>
        <w:rPr>
          <w:rFonts w:hint="eastAsia"/>
        </w:rPr>
        <w:t>本</w:t>
      </w:r>
      <w:r>
        <w:t>项目严格遵循</w:t>
      </w:r>
      <w:r>
        <w:rPr>
          <w:b/>
          <w:bCs/>
        </w:rPr>
        <w:t>“轻改造、低扰动、可循环”的原则</w:t>
      </w:r>
      <w:r>
        <w:t>。所有新增设施——包括骑行打卡标识牌、路线导览立牌、无人驿站设备柜——均为可移动、可拆卸的</w:t>
      </w:r>
      <w:r>
        <w:rPr>
          <w:b/>
          <w:bCs/>
        </w:rPr>
        <w:t>临时性装置</w:t>
      </w:r>
      <w:r>
        <w:t>，不涉及一平方米的永久性建筑施工。闲置农房的功能性改造仅限于</w:t>
      </w:r>
      <w:r>
        <w:rPr>
          <w:b/>
          <w:bCs/>
        </w:rPr>
        <w:t>内部空间优化</w:t>
      </w:r>
      <w:r>
        <w:t>，不改变建筑外观和占地面积，不新增排污口，所有废弃物均</w:t>
      </w:r>
      <w:r>
        <w:rPr>
          <w:b/>
          <w:bCs/>
        </w:rPr>
        <w:t>纳入日产日清管理体系</w:t>
      </w:r>
      <w:r>
        <w:t>。这一开发模式确保项目对水源地生态环境的扰动降至最低。</w:t>
      </w:r>
    </w:p>
    <w:p w14:paraId="46FA3C20">
      <w:pPr>
        <w:ind w:firstLine="480"/>
      </w:pPr>
      <w:r>
        <w:t>在环保意识提升方面，依托水源科普展馆、生态实时数据看板以及增强</w:t>
      </w:r>
      <w:r>
        <w:rPr>
          <w:b/>
          <w:bCs/>
        </w:rPr>
        <w:t>现实导览系统</w:t>
      </w:r>
      <w:r>
        <w:t>，项目预计每年可覆盖2至3万人次的生态保护教育。</w:t>
      </w:r>
      <w:r>
        <w:rPr>
          <w:rFonts w:hint="eastAsia"/>
        </w:rPr>
        <w:t>本项目在</w:t>
      </w:r>
      <w:r>
        <w:t>展馆内设置的</w:t>
      </w:r>
      <w:r>
        <w:rPr>
          <w:b/>
          <w:bCs/>
        </w:rPr>
        <w:t>“一滴水的旅程”互动沙盘、“水源地守护者”文化展区</w:t>
      </w:r>
      <w:r>
        <w:t>以及水质检测实操环节，</w:t>
      </w:r>
      <w:r>
        <w:rPr>
          <w:rFonts w:hint="eastAsia"/>
        </w:rPr>
        <w:t>都能</w:t>
      </w:r>
      <w:r>
        <w:t>将抽象的</w:t>
      </w:r>
      <w:r>
        <w:rPr>
          <w:b/>
          <w:bCs/>
        </w:rPr>
        <w:t>生态保护理念转化为可感知</w:t>
      </w:r>
      <w:r>
        <w:t>、</w:t>
      </w:r>
      <w:r>
        <w:rPr>
          <w:b/>
          <w:bCs/>
        </w:rPr>
        <w:t>可参与的体验内容</w:t>
      </w:r>
      <w:r>
        <w:rPr>
          <w:rFonts w:hint="eastAsia"/>
        </w:rPr>
        <w:t>；而</w:t>
      </w:r>
      <w:r>
        <w:t>“小小水源守护者”研学课程面向中小学生群体，通过</w:t>
      </w:r>
      <w:r>
        <w:rPr>
          <w:b/>
          <w:bCs/>
        </w:rPr>
        <w:t>闯关式任务设计</w:t>
      </w:r>
      <w:r>
        <w:t>传递水源保护知识，在年轻一代心中播下生态意识的种子。</w:t>
      </w:r>
    </w:p>
    <w:p w14:paraId="08E1724B">
      <w:pPr>
        <w:ind w:firstLine="480"/>
      </w:pPr>
      <w:r>
        <w:t>在碳减排贡献方面，项目以</w:t>
      </w:r>
      <w:r>
        <w:rPr>
          <w:b/>
          <w:bCs/>
        </w:rPr>
        <w:t>骑行替代自驾作为核心引流方式</w:t>
      </w:r>
      <w:r>
        <w:t>，产生了可量化的环境正效益。按照第三年预计2万骑行人次、每人次平均替代10公里自驾出行计算，全年可减少约40吨二氧化碳排放</w:t>
      </w:r>
      <w:r>
        <w:rPr>
          <w:rFonts w:hint="eastAsia"/>
        </w:rPr>
        <w:t>；</w:t>
      </w:r>
      <w:r>
        <w:t>生态实时看板将动态展示这一碳减排数据，既是对骑行用户环保行为的正向激励，也是</w:t>
      </w:r>
      <w:r>
        <w:rPr>
          <w:b/>
          <w:bCs/>
        </w:rPr>
        <w:t>品牌“越保护越值钱”叙事</w:t>
      </w:r>
      <w:r>
        <w:t>的数据支撑。</w:t>
      </w:r>
    </w:p>
    <w:p w14:paraId="4BEA5DF1">
      <w:pPr>
        <w:ind w:firstLine="480"/>
      </w:pPr>
      <w:r>
        <w:t>在生态价值正循环方面，</w:t>
      </w:r>
      <w:r>
        <w:rPr>
          <w:rFonts w:hint="eastAsia"/>
        </w:rPr>
        <w:t>本</w:t>
      </w:r>
      <w:r>
        <w:t>项目致力于将一级水源保护区</w:t>
      </w:r>
      <w:r>
        <w:rPr>
          <w:b/>
          <w:bCs/>
        </w:rPr>
        <w:t>从“发展的约束”转化为“品牌的护城河”</w:t>
      </w:r>
      <w:r>
        <w:t>。其核心逻辑链条为：严格的生态保护保障了樱桃和林菌的卓越品质，品质保障支撑了品牌溢价和认养定价，溢价带来的收入增长使村集体有更充裕的资金投入生态管护和环境提升，而更好的生态环境又进一步强化了</w:t>
      </w:r>
      <w:r>
        <w:rPr>
          <w:b/>
          <w:bCs/>
        </w:rPr>
        <w:t>“一级水源地”的品牌稀缺性</w:t>
      </w:r>
      <w:r>
        <w:t>。这一“越保护越赚钱”的正向循环一旦建立，杨家东庄村就不再是政策约束下的被动承受者，而是生态价值转化的主动受益者，为全国数千个位于水源保护区、自然保护区内的村庄提供了可参照的发展范式。</w:t>
      </w:r>
    </w:p>
    <w:p w14:paraId="7922D751">
      <w:pPr>
        <w:pStyle w:val="3"/>
      </w:pPr>
      <w:bookmarkStart w:id="185" w:name="_Toc2419"/>
      <w:r>
        <w:t>10.10 示范效益</w:t>
      </w:r>
      <w:bookmarkEnd w:id="185"/>
    </w:p>
    <w:p w14:paraId="48AB266D">
      <w:pPr>
        <w:ind w:firstLine="480"/>
      </w:pPr>
      <w:r>
        <w:t>本项目作为“挑战杯”揭榜挂帅赛道的参赛作品，其价值不仅在于为杨家东庄村设计了一套可落地的振兴方案，更在于通过这一实践过程，提炼出可供同类村庄借鉴的方法论和工具包。</w:t>
      </w:r>
    </w:p>
    <w:p w14:paraId="68EE01EE">
      <w:pPr>
        <w:ind w:firstLine="480"/>
      </w:pPr>
      <w:r>
        <w:t>在模式可复制性方面，项目形成的“</w:t>
      </w:r>
      <w:r>
        <w:rPr>
          <w:b/>
          <w:bCs/>
        </w:rPr>
        <w:t>生态约束→品质背书→品牌溢价→体验增值→数字驱动”的发展路径</w:t>
      </w:r>
      <w:r>
        <w:t>，直接适用于全国一级水源保护区、自然保护区、生态红线区内的数千个村庄。这些村庄普遍面临相似的困境——政策限制严格、建设空间有限、人口老龄化明显、产业基础薄弱——而本项目证明，在不突破政策红线、不新增经营主体、不要求村委会大额投入的前提下，完全可以通过品牌运营、数字工具和组织能力将存量资源的定价权重新夺回。</w:t>
      </w:r>
      <w:r>
        <w:rPr>
          <w:rFonts w:hint="eastAsia"/>
        </w:rPr>
        <w:t>项目的</w:t>
      </w:r>
      <w:r>
        <w:t>核心方法论</w:t>
      </w:r>
      <w:r>
        <w:rPr>
          <w:rFonts w:hint="eastAsia"/>
        </w:rPr>
        <w:t>——</w:t>
      </w:r>
      <w:r>
        <w:rPr>
          <w:b/>
          <w:bCs/>
        </w:rPr>
        <w:t>“村不经营、组织变现”</w:t>
      </w:r>
      <w:r>
        <w:rPr>
          <w:rFonts w:hint="eastAsia"/>
        </w:rPr>
        <w:t>——</w:t>
      </w:r>
      <w:r>
        <w:t>为政策硬约束下的乡村产业振兴提供了一条合规且可持续的解决方案，其背后的合规审查框架、合作模式设计和风险隔离机制均可平移复用。</w:t>
      </w:r>
    </w:p>
    <w:p w14:paraId="0DCCFB9A">
      <w:pPr>
        <w:ind w:firstLine="480"/>
      </w:pPr>
      <w:r>
        <w:t>在方法论输出方面，</w:t>
      </w:r>
      <w:r>
        <w:rPr>
          <w:rFonts w:hint="eastAsia"/>
        </w:rPr>
        <w:t>本</w:t>
      </w:r>
      <w:r>
        <w:t>项目将在实施过程中</w:t>
      </w:r>
      <w:r>
        <w:rPr>
          <w:b/>
          <w:bCs/>
        </w:rPr>
        <w:t>沉淀一批标准化文档</w:t>
      </w:r>
      <w:r>
        <w:t>。</w:t>
      </w:r>
      <w:r>
        <w:rPr>
          <w:rFonts w:hint="eastAsia"/>
        </w:rPr>
        <w:t>其中</w:t>
      </w:r>
      <w:r>
        <w:t>《一级水源保护区乡村振兴运营手册》将涵盖政策合规逐条审查清单、认养合同范本（含天气不可抗力条款）、骑行联盟合作协议模板、无人驿站场地租赁合同范本等核心法律与运营文件</w:t>
      </w:r>
      <w:r>
        <w:rPr>
          <w:rFonts w:hint="eastAsia"/>
        </w:rPr>
        <w:t>；</w:t>
      </w:r>
      <w:r>
        <w:t>《数字平台部署指南》将公开小程序六大模块的架构设计、接口文档和部署流程，帮助不具备全栈开发能力的村庄以较低成本复现数字化底座</w:t>
      </w:r>
      <w:r>
        <w:rPr>
          <w:rFonts w:hint="eastAsia"/>
        </w:rPr>
        <w:t>；而</w:t>
      </w:r>
      <w:r>
        <w:t>《林下经济+认养对冲模式指引》则将</w:t>
      </w:r>
      <w:r>
        <w:rPr>
          <w:b/>
          <w:bCs/>
        </w:rPr>
        <w:t>绝产风险的结构性对冲方案系统化</w:t>
      </w:r>
      <w:r>
        <w:t>，为面临类似气候风险的农业村庄提供参考。</w:t>
      </w:r>
    </w:p>
    <w:p w14:paraId="4B0504E8">
      <w:pPr>
        <w:pStyle w:val="2"/>
        <w:bidi w:val="0"/>
        <w:rPr>
          <w:rFonts w:hint="eastAsia"/>
        </w:rPr>
      </w:pPr>
      <w:bookmarkStart w:id="186" w:name="_Toc30190"/>
      <w:r>
        <w:rPr>
          <w:rFonts w:hint="eastAsia"/>
        </w:rPr>
        <w:t>第十一章  团队介绍</w:t>
      </w:r>
      <w:bookmarkEnd w:id="186"/>
    </w:p>
    <w:p w14:paraId="1EE6A6F3">
      <w:pPr>
        <w:pStyle w:val="13"/>
        <w:widowControl/>
        <w:spacing w:beforeAutospacing="0" w:after="120" w:afterAutospacing="0" w:line="21" w:lineRule="atLeast"/>
        <w:ind w:left="0" w:right="0" w:firstLine="0"/>
        <w:jc w:val="left"/>
        <w:rPr>
          <w:rFonts w:hint="eastAsia" w:ascii="宋体" w:hAnsi="宋体" w:eastAsia="宋体" w:cs="宋体"/>
          <w:i w:val="0"/>
          <w:caps w:val="0"/>
          <w:color w:val="000000"/>
          <w:spacing w:val="0"/>
          <w:sz w:val="18"/>
          <w:szCs w:val="18"/>
        </w:rPr>
      </w:pPr>
      <w:r>
        <w:rPr>
          <w:rFonts w:hint="eastAsia"/>
          <w:sz w:val="18"/>
          <w:szCs w:val="18"/>
        </w:rPr>
        <w:t>本章介绍项目团队的配置与核心优势，重点说明团队何以承接杨家东庄村“从品牌奠基到生态运营”的落地任务，以及何以保障方案从调研、设计、开发到可持续运营的全链条实施。</w:t>
      </w:r>
    </w:p>
    <w:p w14:paraId="1BEAEC51">
      <w:pPr>
        <w:pStyle w:val="3"/>
        <w:bidi w:val="0"/>
        <w:rPr>
          <w:rFonts w:hint="eastAsia"/>
        </w:rPr>
      </w:pPr>
      <w:bookmarkStart w:id="187" w:name="_Toc23741"/>
      <w:r>
        <w:rPr>
          <w:rFonts w:hint="eastAsia"/>
        </w:rPr>
        <w:t>11.1  指导老师</w:t>
      </w:r>
      <w:bookmarkEnd w:id="187"/>
    </w:p>
    <w:p w14:paraId="0125FE0C">
      <w:pPr>
        <w:pStyle w:val="13"/>
        <w:widowControl/>
        <w:spacing w:beforeAutospacing="0" w:after="120" w:afterAutospacing="0" w:line="21" w:lineRule="atLeast"/>
        <w:ind w:left="0" w:right="0" w:firstLine="0"/>
        <w:jc w:val="left"/>
        <w:rPr>
          <w:rFonts w:hint="eastAsia"/>
          <w:sz w:val="18"/>
          <w:szCs w:val="18"/>
        </w:rPr>
      </w:pPr>
      <w:r>
        <w:rPr>
          <w:rFonts w:hint="eastAsia"/>
          <w:sz w:val="18"/>
          <w:szCs w:val="18"/>
        </w:rPr>
        <w:t>指导老师一：研究领域</w:t>
      </w:r>
      <w:r>
        <w:rPr>
          <w:rFonts w:hint="eastAsia"/>
          <w:sz w:val="18"/>
          <w:szCs w:val="18"/>
          <w:lang w:val="en-US" w:eastAsia="zh-CN"/>
        </w:rPr>
        <w:t>为</w:t>
      </w:r>
      <w:r>
        <w:rPr>
          <w:rFonts w:hint="eastAsia"/>
          <w:sz w:val="18"/>
          <w:szCs w:val="18"/>
        </w:rPr>
        <w:t>产业组织创新与创新创业管理。近年来聚焦国家发展战略和首都“四个中心”，主持和参与“‘双循’新发展格局下我国现代流通业高质量发展路径研究”等国家和北京市课题研究。指导学生参加、“挑战杯”、“互联网+”、全国大学生电子商务“创新、创意及创业”挑战赛等创新创业竞赛，荣获60余项省部级以上奖励。</w:t>
      </w:r>
    </w:p>
    <w:p w14:paraId="333DAB31">
      <w:pPr>
        <w:pStyle w:val="3"/>
        <w:bidi w:val="0"/>
        <w:rPr>
          <w:rFonts w:hint="eastAsia"/>
        </w:rPr>
      </w:pPr>
      <w:bookmarkStart w:id="188" w:name="_Toc29824"/>
      <w:r>
        <w:rPr>
          <w:rFonts w:hint="eastAsia"/>
        </w:rPr>
        <w:t>11.2  团队成员与分工</w:t>
      </w:r>
      <w:bookmarkEnd w:id="188"/>
    </w:p>
    <w:p w14:paraId="2F74F85A">
      <w:pPr>
        <w:pStyle w:val="13"/>
        <w:widowControl/>
        <w:spacing w:beforeAutospacing="0" w:after="120" w:afterAutospacing="0" w:line="21" w:lineRule="atLeast"/>
        <w:ind w:left="0" w:right="0" w:firstLine="0"/>
        <w:jc w:val="left"/>
        <w:rPr>
          <w:rFonts w:hint="eastAsia" w:ascii="宋体" w:hAnsi="宋体" w:eastAsia="宋体" w:cs="宋体"/>
          <w:b/>
          <w:i w:val="0"/>
          <w:caps w:val="0"/>
          <w:color w:val="000000"/>
          <w:spacing w:val="0"/>
          <w:sz w:val="18"/>
          <w:szCs w:val="18"/>
        </w:rPr>
      </w:pPr>
      <w:r>
        <w:rPr>
          <w:rFonts w:hint="eastAsia"/>
          <w:sz w:val="18"/>
          <w:szCs w:val="18"/>
        </w:rPr>
        <w:t>项目由十名成员构成，专业背景覆盖金融学、大数据管理与应用、新闻学、产品设计、数字媒体、工商管理、金融工程、商务英语、计算机科学与技术等9个学科方向，形成“调研+策划+设计+技术+财务+传播”全链条能力闭环。团队分工严格对标出题方“樱桃品牌升级、骑行打卡落地、三产融合创新”三项核心任务。品牌升级任务由新闻传播、设计、商业分析三个方向协同完成；骑行打卡任务由资源对接和技术开发两个方向承接；三产融合任务由商业分析、财务、调研三个方向支撑；全栈技术能力作为数字化底座贯穿三条任务主线。所有成员均为本科生，跨年级组合保障了项目的持续性与传承性。</w:t>
      </w:r>
    </w:p>
    <w:p w14:paraId="66A9B8C2">
      <w:pPr>
        <w:pStyle w:val="13"/>
        <w:widowControl/>
        <w:spacing w:beforeAutospacing="0" w:after="120" w:afterAutospacing="0" w:line="21" w:lineRule="atLeast"/>
        <w:ind w:left="0" w:right="0" w:firstLine="0"/>
        <w:jc w:val="center"/>
        <w:rPr>
          <w:rFonts w:hint="eastAsia" w:ascii="宋体" w:hAnsi="宋体" w:eastAsia="宋体" w:cs="宋体"/>
          <w:i w:val="0"/>
          <w:caps w:val="0"/>
          <w:color w:val="000000"/>
          <w:spacing w:val="0"/>
          <w:sz w:val="18"/>
          <w:szCs w:val="18"/>
        </w:rPr>
      </w:pPr>
      <w:r>
        <w:rPr>
          <w:rFonts w:hint="eastAsia" w:ascii="宋体" w:hAnsi="宋体" w:eastAsia="宋体" w:cs="宋体"/>
          <w:b/>
          <w:i w:val="0"/>
          <w:caps w:val="0"/>
          <w:color w:val="000000"/>
          <w:spacing w:val="0"/>
          <w:sz w:val="18"/>
          <w:szCs w:val="18"/>
        </w:rPr>
        <w:t>表11-1  团队成员与分工</w:t>
      </w:r>
    </w:p>
    <w:tbl>
      <w:tblPr>
        <w:tblStyle w:val="14"/>
        <w:tblW w:w="0" w:type="auto"/>
        <w:tblInd w:w="0" w:type="dxa"/>
        <w:tblBorders>
          <w:top w:val="none" w:color="000000" w:sz="0" w:space="0"/>
          <w:left w:val="none" w:color="000000" w:sz="0" w:space="0"/>
          <w:bottom w:val="none" w:color="000000" w:sz="0" w:space="0"/>
          <w:right w:val="none" w:color="000000"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160"/>
        <w:gridCol w:w="2160"/>
        <w:gridCol w:w="2160"/>
        <w:gridCol w:w="2160"/>
      </w:tblGrid>
      <w:tr w14:paraId="45267151">
        <w:tblPrEx>
          <w:tblBorders>
            <w:top w:val="none" w:color="000000" w:sz="0" w:space="0"/>
            <w:left w:val="none" w:color="000000" w:sz="0" w:space="0"/>
            <w:bottom w:val="none" w:color="000000" w:sz="0" w:space="0"/>
            <w:right w:val="none" w:color="000000"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1F14382C">
            <w:pPr>
              <w:pStyle w:val="13"/>
              <w:widowControl/>
              <w:spacing w:beforeAutospacing="0" w:after="120" w:afterAutospacing="0" w:line="21" w:lineRule="atLeast"/>
              <w:ind w:left="0" w:right="0" w:firstLine="0"/>
              <w:jc w:val="left"/>
              <w:rPr>
                <w:rFonts w:hint="eastAsia" w:ascii="宋体" w:hAnsi="宋体" w:eastAsia="宋体" w:cs="宋体"/>
                <w:sz w:val="18"/>
                <w:szCs w:val="18"/>
              </w:rPr>
            </w:pPr>
            <w:r>
              <w:rPr>
                <w:rFonts w:hint="eastAsia" w:ascii="宋体" w:hAnsi="宋体" w:eastAsia="宋体" w:cs="宋体"/>
                <w:caps w:val="0"/>
                <w:spacing w:val="0"/>
                <w:sz w:val="18"/>
                <w:szCs w:val="18"/>
              </w:rPr>
              <w:t>角色</w:t>
            </w:r>
          </w:p>
        </w:tc>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68FA82C9">
            <w:pPr>
              <w:pStyle w:val="13"/>
              <w:widowControl/>
              <w:spacing w:beforeAutospacing="0" w:after="120" w:afterAutospacing="0" w:line="21" w:lineRule="atLeast"/>
              <w:ind w:left="0" w:right="0" w:firstLine="0"/>
              <w:jc w:val="left"/>
              <w:rPr>
                <w:rFonts w:hint="eastAsia" w:ascii="宋体" w:hAnsi="宋体" w:eastAsia="宋体" w:cs="宋体"/>
                <w:sz w:val="18"/>
                <w:szCs w:val="18"/>
              </w:rPr>
            </w:pPr>
            <w:r>
              <w:rPr>
                <w:rFonts w:hint="eastAsia" w:ascii="宋体" w:hAnsi="宋体" w:eastAsia="宋体" w:cs="宋体"/>
                <w:caps w:val="0"/>
                <w:spacing w:val="0"/>
                <w:sz w:val="18"/>
                <w:szCs w:val="18"/>
              </w:rPr>
              <w:t>专业背景</w:t>
            </w:r>
          </w:p>
        </w:tc>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43E01EC3">
            <w:pPr>
              <w:pStyle w:val="13"/>
              <w:widowControl/>
              <w:spacing w:beforeAutospacing="0" w:after="120" w:afterAutospacing="0" w:line="21" w:lineRule="atLeast"/>
              <w:ind w:left="0" w:right="0" w:firstLine="0"/>
              <w:jc w:val="left"/>
              <w:rPr>
                <w:rFonts w:hint="eastAsia" w:ascii="宋体" w:hAnsi="宋体" w:eastAsia="宋体" w:cs="宋体"/>
                <w:sz w:val="18"/>
                <w:szCs w:val="18"/>
              </w:rPr>
            </w:pPr>
            <w:r>
              <w:rPr>
                <w:rFonts w:hint="eastAsia" w:ascii="宋体" w:hAnsi="宋体" w:eastAsia="宋体" w:cs="宋体"/>
                <w:caps w:val="0"/>
                <w:spacing w:val="0"/>
                <w:sz w:val="18"/>
                <w:szCs w:val="18"/>
              </w:rPr>
              <w:t>核心职责</w:t>
            </w:r>
          </w:p>
        </w:tc>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538BB111">
            <w:pPr>
              <w:pStyle w:val="13"/>
              <w:widowControl/>
              <w:spacing w:beforeAutospacing="0" w:after="120" w:afterAutospacing="0" w:line="21" w:lineRule="atLeast"/>
              <w:ind w:left="0" w:right="0" w:firstLine="0"/>
              <w:jc w:val="left"/>
              <w:rPr>
                <w:rFonts w:hint="eastAsia" w:ascii="宋体" w:hAnsi="宋体" w:eastAsia="宋体" w:cs="宋体"/>
                <w:sz w:val="18"/>
                <w:szCs w:val="18"/>
              </w:rPr>
            </w:pPr>
            <w:r>
              <w:rPr>
                <w:rFonts w:hint="eastAsia" w:ascii="宋体" w:hAnsi="宋体" w:eastAsia="宋体" w:cs="宋体"/>
                <w:caps w:val="0"/>
                <w:spacing w:val="0"/>
                <w:sz w:val="18"/>
                <w:szCs w:val="18"/>
              </w:rPr>
              <w:t>核心能力</w:t>
            </w:r>
          </w:p>
        </w:tc>
      </w:tr>
      <w:tr w14:paraId="04739338">
        <w:tblPrEx>
          <w:tblBorders>
            <w:top w:val="none" w:color="000000" w:sz="0" w:space="0"/>
            <w:left w:val="none" w:color="000000" w:sz="0" w:space="0"/>
            <w:bottom w:val="none" w:color="000000" w:sz="0" w:space="0"/>
            <w:right w:val="none" w:color="000000"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4F91D932">
            <w:pPr>
              <w:pStyle w:val="13"/>
              <w:widowControl/>
              <w:spacing w:beforeAutospacing="0" w:after="120" w:afterAutospacing="0" w:line="21" w:lineRule="atLeast"/>
              <w:ind w:left="0" w:right="0" w:firstLine="0"/>
              <w:jc w:val="left"/>
              <w:rPr>
                <w:rFonts w:hint="eastAsia" w:ascii="宋体" w:hAnsi="宋体" w:eastAsia="宋体" w:cs="宋体"/>
                <w:sz w:val="18"/>
                <w:szCs w:val="18"/>
              </w:rPr>
            </w:pPr>
            <w:r>
              <w:rPr>
                <w:rFonts w:hint="eastAsia" w:ascii="宋体" w:hAnsi="宋体" w:eastAsia="宋体" w:cs="宋体"/>
                <w:caps w:val="0"/>
                <w:spacing w:val="0"/>
                <w:sz w:val="18"/>
                <w:szCs w:val="18"/>
              </w:rPr>
              <w:t>项目负责人</w:t>
            </w:r>
          </w:p>
        </w:tc>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14E26000">
            <w:pPr>
              <w:pStyle w:val="13"/>
              <w:widowControl/>
              <w:spacing w:beforeAutospacing="0" w:after="120" w:afterAutospacing="0" w:line="21" w:lineRule="atLeast"/>
              <w:ind w:left="0" w:right="0" w:firstLine="0"/>
              <w:jc w:val="left"/>
              <w:rPr>
                <w:rFonts w:hint="eastAsia" w:ascii="宋体" w:hAnsi="宋体" w:eastAsia="宋体" w:cs="宋体"/>
                <w:sz w:val="18"/>
                <w:szCs w:val="18"/>
                <w:lang w:eastAsia="zh-CN"/>
              </w:rPr>
            </w:pPr>
            <w:r>
              <w:rPr>
                <w:rFonts w:hint="eastAsia" w:ascii="宋体" w:hAnsi="宋体" w:eastAsia="宋体" w:cs="宋体"/>
                <w:sz w:val="18"/>
                <w:szCs w:val="18"/>
                <w:lang w:eastAsia="zh-CN"/>
              </w:rPr>
              <w:t>金融学</w:t>
            </w:r>
          </w:p>
        </w:tc>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48151E30">
            <w:pPr>
              <w:pStyle w:val="13"/>
              <w:widowControl/>
              <w:spacing w:beforeAutospacing="0" w:after="120" w:afterAutospacing="0" w:line="21" w:lineRule="atLeast"/>
              <w:ind w:left="0" w:right="0" w:firstLine="0"/>
              <w:jc w:val="left"/>
              <w:rPr>
                <w:rFonts w:hint="eastAsia" w:ascii="宋体" w:hAnsi="宋体" w:eastAsia="宋体" w:cs="宋体"/>
                <w:sz w:val="18"/>
                <w:szCs w:val="18"/>
              </w:rPr>
            </w:pPr>
            <w:r>
              <w:rPr>
                <w:rFonts w:hint="eastAsia" w:ascii="宋体" w:hAnsi="宋体" w:eastAsia="宋体" w:cs="宋体"/>
                <w:caps w:val="0"/>
                <w:spacing w:val="0"/>
                <w:sz w:val="18"/>
                <w:szCs w:val="18"/>
              </w:rPr>
              <w:t>统筹协调、对外对接、方案把控、进度管理</w:t>
            </w:r>
          </w:p>
        </w:tc>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7F6B2C6B">
            <w:pPr>
              <w:pStyle w:val="13"/>
              <w:widowControl/>
              <w:spacing w:beforeAutospacing="0" w:after="120" w:afterAutospacing="0" w:line="21" w:lineRule="atLeast"/>
              <w:ind w:left="0" w:right="0" w:firstLine="0"/>
              <w:jc w:val="left"/>
              <w:rPr>
                <w:rFonts w:hint="eastAsia" w:ascii="宋体" w:hAnsi="宋体" w:eastAsia="宋体" w:cs="宋体"/>
                <w:sz w:val="18"/>
                <w:szCs w:val="18"/>
              </w:rPr>
            </w:pPr>
            <w:r>
              <w:rPr>
                <w:rFonts w:hint="eastAsia" w:ascii="宋体" w:hAnsi="宋体" w:eastAsia="宋体" w:cs="宋体"/>
                <w:caps w:val="0"/>
                <w:spacing w:val="0"/>
                <w:sz w:val="18"/>
                <w:szCs w:val="18"/>
              </w:rPr>
              <w:t>领导力+沟通协调+全局视野</w:t>
            </w:r>
          </w:p>
        </w:tc>
      </w:tr>
      <w:tr w14:paraId="6739E812">
        <w:tblPrEx>
          <w:tblBorders>
            <w:top w:val="none" w:color="000000" w:sz="0" w:space="0"/>
            <w:left w:val="none" w:color="000000" w:sz="0" w:space="0"/>
            <w:bottom w:val="none" w:color="000000" w:sz="0" w:space="0"/>
            <w:right w:val="none" w:color="000000"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63C20CF9">
            <w:pPr>
              <w:pStyle w:val="13"/>
              <w:widowControl/>
              <w:spacing w:beforeAutospacing="0" w:after="120" w:afterAutospacing="0" w:line="21" w:lineRule="atLeast"/>
              <w:ind w:left="0" w:right="0" w:firstLine="0"/>
              <w:jc w:val="left"/>
              <w:rPr>
                <w:rFonts w:hint="eastAsia" w:ascii="宋体" w:hAnsi="宋体" w:eastAsia="宋体" w:cs="宋体"/>
                <w:sz w:val="18"/>
                <w:szCs w:val="18"/>
              </w:rPr>
            </w:pPr>
            <w:r>
              <w:rPr>
                <w:rFonts w:hint="eastAsia" w:ascii="宋体" w:hAnsi="宋体" w:eastAsia="宋体" w:cs="宋体"/>
                <w:caps w:val="0"/>
                <w:spacing w:val="0"/>
                <w:sz w:val="18"/>
                <w:szCs w:val="18"/>
              </w:rPr>
              <w:t>调研与数据分析</w:t>
            </w:r>
          </w:p>
        </w:tc>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20BF3628">
            <w:pPr>
              <w:pStyle w:val="13"/>
              <w:widowControl/>
              <w:spacing w:beforeAutospacing="0" w:after="120" w:afterAutospacing="0" w:line="21" w:lineRule="atLeast"/>
              <w:ind w:left="0" w:right="0" w:firstLine="0"/>
              <w:jc w:val="left"/>
              <w:rPr>
                <w:rFonts w:hint="eastAsia" w:ascii="宋体" w:hAnsi="宋体" w:eastAsia="宋体" w:cs="宋体"/>
                <w:sz w:val="18"/>
                <w:szCs w:val="18"/>
                <w:lang w:eastAsia="zh-CN"/>
              </w:rPr>
            </w:pPr>
            <w:r>
              <w:rPr>
                <w:rFonts w:hint="eastAsia" w:ascii="宋体" w:hAnsi="宋体" w:eastAsia="宋体" w:cs="宋体"/>
                <w:sz w:val="18"/>
                <w:szCs w:val="18"/>
                <w:lang w:eastAsia="zh-CN"/>
              </w:rPr>
              <w:t>大数据管理与运用</w:t>
            </w:r>
          </w:p>
        </w:tc>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72C582EA">
            <w:pPr>
              <w:pStyle w:val="13"/>
              <w:widowControl/>
              <w:spacing w:beforeAutospacing="0" w:after="120" w:afterAutospacing="0" w:line="21" w:lineRule="atLeast"/>
              <w:ind w:left="0" w:right="0" w:firstLine="0"/>
              <w:jc w:val="left"/>
              <w:rPr>
                <w:rFonts w:hint="eastAsia" w:ascii="宋体" w:hAnsi="宋体" w:eastAsia="宋体" w:cs="宋体"/>
                <w:sz w:val="18"/>
                <w:szCs w:val="18"/>
              </w:rPr>
            </w:pPr>
            <w:r>
              <w:rPr>
                <w:rFonts w:hint="eastAsia" w:ascii="宋体" w:hAnsi="宋体" w:eastAsia="宋体" w:cs="宋体"/>
                <w:caps w:val="0"/>
                <w:spacing w:val="0"/>
                <w:sz w:val="18"/>
                <w:szCs w:val="18"/>
              </w:rPr>
              <w:t>问卷设计、数据采集、统计分析、数据建模</w:t>
            </w:r>
          </w:p>
        </w:tc>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27C69EB1">
            <w:pPr>
              <w:pStyle w:val="13"/>
              <w:widowControl/>
              <w:spacing w:beforeAutospacing="0" w:after="120" w:afterAutospacing="0" w:line="21" w:lineRule="atLeast"/>
              <w:ind w:left="0" w:right="0" w:firstLine="0"/>
              <w:jc w:val="left"/>
              <w:rPr>
                <w:rFonts w:hint="eastAsia" w:ascii="宋体" w:hAnsi="宋体" w:eastAsia="宋体" w:cs="宋体"/>
                <w:sz w:val="18"/>
                <w:szCs w:val="18"/>
              </w:rPr>
            </w:pPr>
            <w:r>
              <w:rPr>
                <w:rFonts w:hint="eastAsia" w:ascii="宋体" w:hAnsi="宋体" w:eastAsia="宋体" w:cs="宋体"/>
                <w:caps w:val="0"/>
                <w:spacing w:val="0"/>
                <w:sz w:val="18"/>
                <w:szCs w:val="18"/>
              </w:rPr>
              <w:t>SPSS/Excel数据分析+问卷设计</w:t>
            </w:r>
          </w:p>
        </w:tc>
      </w:tr>
      <w:tr w14:paraId="4D07E674">
        <w:tblPrEx>
          <w:tblBorders>
            <w:top w:val="none" w:color="000000" w:sz="0" w:space="0"/>
            <w:left w:val="none" w:color="000000" w:sz="0" w:space="0"/>
            <w:bottom w:val="none" w:color="000000" w:sz="0" w:space="0"/>
            <w:right w:val="none" w:color="000000"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55E2E1D2">
            <w:pPr>
              <w:pStyle w:val="13"/>
              <w:widowControl/>
              <w:spacing w:beforeAutospacing="0" w:after="120" w:afterAutospacing="0" w:line="21" w:lineRule="atLeast"/>
              <w:ind w:left="0" w:right="0" w:firstLine="0"/>
              <w:jc w:val="left"/>
              <w:rPr>
                <w:rFonts w:hint="eastAsia" w:ascii="宋体" w:hAnsi="宋体" w:eastAsia="宋体" w:cs="宋体"/>
                <w:sz w:val="18"/>
                <w:szCs w:val="18"/>
              </w:rPr>
            </w:pPr>
            <w:r>
              <w:rPr>
                <w:rFonts w:hint="eastAsia" w:ascii="宋体" w:hAnsi="宋体" w:eastAsia="宋体" w:cs="宋体"/>
                <w:caps w:val="0"/>
                <w:spacing w:val="0"/>
                <w:sz w:val="18"/>
                <w:szCs w:val="18"/>
              </w:rPr>
              <w:t>新闻传播与内容</w:t>
            </w:r>
          </w:p>
        </w:tc>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303166F8">
            <w:pPr>
              <w:pStyle w:val="13"/>
              <w:widowControl/>
              <w:spacing w:beforeAutospacing="0" w:after="120" w:afterAutospacing="0" w:line="21" w:lineRule="atLeast"/>
              <w:ind w:left="0" w:right="0" w:firstLine="0"/>
              <w:jc w:val="left"/>
              <w:rPr>
                <w:rFonts w:hint="eastAsia" w:ascii="宋体" w:hAnsi="宋体" w:eastAsia="宋体" w:cs="宋体"/>
                <w:sz w:val="18"/>
                <w:szCs w:val="18"/>
              </w:rPr>
            </w:pPr>
            <w:r>
              <w:rPr>
                <w:rFonts w:hint="eastAsia" w:ascii="宋体" w:hAnsi="宋体" w:eastAsia="宋体" w:cs="宋体"/>
                <w:caps w:val="0"/>
                <w:spacing w:val="0"/>
                <w:sz w:val="18"/>
                <w:szCs w:val="18"/>
              </w:rPr>
              <w:t>新闻学</w:t>
            </w:r>
          </w:p>
        </w:tc>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39E567A3">
            <w:pPr>
              <w:pStyle w:val="13"/>
              <w:widowControl/>
              <w:spacing w:beforeAutospacing="0" w:after="120" w:afterAutospacing="0" w:line="21" w:lineRule="atLeast"/>
              <w:ind w:left="0" w:right="0" w:firstLine="0"/>
              <w:jc w:val="left"/>
              <w:rPr>
                <w:rFonts w:hint="eastAsia" w:ascii="宋体" w:hAnsi="宋体" w:eastAsia="宋体" w:cs="宋体"/>
                <w:sz w:val="18"/>
                <w:szCs w:val="18"/>
              </w:rPr>
            </w:pPr>
            <w:r>
              <w:rPr>
                <w:rFonts w:hint="eastAsia" w:ascii="宋体" w:hAnsi="宋体" w:eastAsia="宋体" w:cs="宋体"/>
                <w:caps w:val="0"/>
                <w:spacing w:val="0"/>
                <w:sz w:val="18"/>
                <w:szCs w:val="18"/>
              </w:rPr>
              <w:t>视频拍摄剪辑、采访、内容矩阵运营</w:t>
            </w:r>
          </w:p>
        </w:tc>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3CFBA8B4">
            <w:pPr>
              <w:pStyle w:val="13"/>
              <w:widowControl/>
              <w:spacing w:beforeAutospacing="0" w:after="120" w:afterAutospacing="0" w:line="21" w:lineRule="atLeast"/>
              <w:ind w:left="0" w:right="0" w:firstLine="0"/>
              <w:jc w:val="left"/>
              <w:rPr>
                <w:rFonts w:hint="eastAsia" w:ascii="宋体" w:hAnsi="宋体" w:eastAsia="宋体" w:cs="宋体"/>
                <w:sz w:val="18"/>
                <w:szCs w:val="18"/>
              </w:rPr>
            </w:pPr>
            <w:r>
              <w:rPr>
                <w:rFonts w:hint="eastAsia" w:ascii="宋体" w:hAnsi="宋体" w:eastAsia="宋体" w:cs="宋体"/>
                <w:caps w:val="0"/>
                <w:spacing w:val="0"/>
                <w:sz w:val="18"/>
                <w:szCs w:val="18"/>
              </w:rPr>
              <w:t>视频剪辑+运营+采访经验</w:t>
            </w:r>
          </w:p>
        </w:tc>
      </w:tr>
      <w:tr w14:paraId="36428F6A">
        <w:tblPrEx>
          <w:tblBorders>
            <w:top w:val="none" w:color="000000" w:sz="0" w:space="0"/>
            <w:left w:val="none" w:color="000000" w:sz="0" w:space="0"/>
            <w:bottom w:val="none" w:color="000000" w:sz="0" w:space="0"/>
            <w:right w:val="none" w:color="000000"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33B98FC1">
            <w:pPr>
              <w:pStyle w:val="13"/>
              <w:widowControl/>
              <w:spacing w:beforeAutospacing="0" w:after="120" w:afterAutospacing="0" w:line="21" w:lineRule="atLeast"/>
              <w:ind w:left="0" w:right="0" w:firstLine="0"/>
              <w:jc w:val="left"/>
              <w:rPr>
                <w:rFonts w:hint="eastAsia" w:ascii="宋体" w:hAnsi="宋体" w:eastAsia="宋体" w:cs="宋体"/>
                <w:sz w:val="18"/>
                <w:szCs w:val="18"/>
              </w:rPr>
            </w:pPr>
            <w:r>
              <w:rPr>
                <w:rFonts w:hint="eastAsia" w:ascii="宋体" w:hAnsi="宋体" w:eastAsia="宋体" w:cs="宋体"/>
                <w:caps w:val="0"/>
                <w:spacing w:val="0"/>
                <w:sz w:val="18"/>
                <w:szCs w:val="18"/>
              </w:rPr>
              <w:t>IP设计与视觉（2人）</w:t>
            </w:r>
          </w:p>
        </w:tc>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0B566BE1">
            <w:pPr>
              <w:pStyle w:val="13"/>
              <w:widowControl/>
              <w:spacing w:beforeAutospacing="0" w:after="120" w:afterAutospacing="0" w:line="21" w:lineRule="atLeast"/>
              <w:ind w:left="0" w:right="0" w:firstLine="0"/>
              <w:jc w:val="left"/>
              <w:rPr>
                <w:rFonts w:hint="eastAsia" w:ascii="宋体" w:hAnsi="宋体" w:eastAsia="宋体" w:cs="宋体"/>
                <w:sz w:val="18"/>
                <w:szCs w:val="18"/>
                <w:lang w:eastAsia="zh-CN"/>
              </w:rPr>
            </w:pPr>
            <w:r>
              <w:rPr>
                <w:rFonts w:hint="eastAsia" w:ascii="宋体" w:hAnsi="宋体" w:eastAsia="宋体" w:cs="宋体"/>
                <w:sz w:val="18"/>
                <w:szCs w:val="18"/>
                <w:lang w:eastAsia="zh-CN"/>
              </w:rPr>
              <w:t>产设、数媒</w:t>
            </w:r>
          </w:p>
        </w:tc>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195611D3">
            <w:pPr>
              <w:pStyle w:val="13"/>
              <w:widowControl/>
              <w:spacing w:beforeAutospacing="0" w:after="120" w:afterAutospacing="0" w:line="21" w:lineRule="atLeast"/>
              <w:ind w:left="0" w:right="0" w:firstLine="0"/>
              <w:jc w:val="left"/>
              <w:rPr>
                <w:rFonts w:hint="eastAsia" w:ascii="宋体" w:hAnsi="宋体" w:eastAsia="宋体" w:cs="宋体"/>
                <w:sz w:val="18"/>
                <w:szCs w:val="18"/>
              </w:rPr>
            </w:pPr>
            <w:r>
              <w:rPr>
                <w:rFonts w:hint="eastAsia" w:ascii="宋体" w:hAnsi="宋体" w:eastAsia="宋体" w:cs="宋体"/>
                <w:caps w:val="0"/>
                <w:spacing w:val="0"/>
                <w:sz w:val="18"/>
                <w:szCs w:val="18"/>
              </w:rPr>
              <w:t>IP形象设计、文创产品设计、PPT制作、品牌VI</w:t>
            </w:r>
          </w:p>
        </w:tc>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73432FE3">
            <w:pPr>
              <w:pStyle w:val="13"/>
              <w:widowControl/>
              <w:spacing w:beforeAutospacing="0" w:after="120" w:afterAutospacing="0" w:line="21" w:lineRule="atLeast"/>
              <w:ind w:left="0" w:right="0" w:firstLine="0"/>
              <w:jc w:val="left"/>
              <w:rPr>
                <w:rFonts w:hint="eastAsia" w:ascii="宋体" w:hAnsi="宋体" w:eastAsia="宋体" w:cs="宋体"/>
                <w:sz w:val="18"/>
                <w:szCs w:val="18"/>
              </w:rPr>
            </w:pPr>
            <w:r>
              <w:rPr>
                <w:rFonts w:hint="eastAsia" w:ascii="宋体" w:hAnsi="宋体" w:eastAsia="宋体" w:cs="宋体"/>
                <w:caps w:val="0"/>
                <w:spacing w:val="0"/>
                <w:sz w:val="18"/>
                <w:szCs w:val="18"/>
              </w:rPr>
              <w:t>AI/PS/设计软件+审美能力</w:t>
            </w:r>
          </w:p>
        </w:tc>
      </w:tr>
      <w:tr w14:paraId="1E2A9033">
        <w:tblPrEx>
          <w:tblBorders>
            <w:top w:val="none" w:color="000000" w:sz="0" w:space="0"/>
            <w:left w:val="none" w:color="000000" w:sz="0" w:space="0"/>
            <w:bottom w:val="none" w:color="000000" w:sz="0" w:space="0"/>
            <w:right w:val="none" w:color="000000"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513F7BC2">
            <w:pPr>
              <w:pStyle w:val="13"/>
              <w:widowControl/>
              <w:spacing w:beforeAutospacing="0" w:after="120" w:afterAutospacing="0" w:line="21" w:lineRule="atLeast"/>
              <w:ind w:left="0" w:right="0" w:firstLine="0"/>
              <w:jc w:val="left"/>
              <w:rPr>
                <w:rFonts w:hint="eastAsia" w:ascii="宋体" w:hAnsi="宋体" w:eastAsia="宋体" w:cs="宋体"/>
                <w:sz w:val="18"/>
                <w:szCs w:val="18"/>
              </w:rPr>
            </w:pPr>
            <w:r>
              <w:rPr>
                <w:rFonts w:hint="eastAsia" w:ascii="宋体" w:hAnsi="宋体" w:eastAsia="宋体" w:cs="宋体"/>
                <w:caps w:val="0"/>
                <w:spacing w:val="0"/>
                <w:sz w:val="18"/>
                <w:szCs w:val="18"/>
              </w:rPr>
              <w:t>财务分析</w:t>
            </w:r>
          </w:p>
        </w:tc>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0E77A2D6">
            <w:pPr>
              <w:pStyle w:val="13"/>
              <w:widowControl/>
              <w:spacing w:beforeAutospacing="0" w:after="120" w:afterAutospacing="0" w:line="21" w:lineRule="atLeast"/>
              <w:ind w:left="0" w:right="0" w:firstLine="0"/>
              <w:jc w:val="left"/>
              <w:rPr>
                <w:rFonts w:hint="eastAsia" w:ascii="宋体" w:hAnsi="宋体" w:eastAsia="宋体" w:cs="宋体"/>
                <w:sz w:val="18"/>
                <w:szCs w:val="18"/>
                <w:lang w:eastAsia="zh-CN"/>
              </w:rPr>
            </w:pPr>
            <w:r>
              <w:rPr>
                <w:rFonts w:hint="eastAsia" w:ascii="宋体" w:hAnsi="宋体" w:eastAsia="宋体" w:cs="宋体"/>
                <w:sz w:val="18"/>
                <w:szCs w:val="18"/>
                <w:lang w:eastAsia="zh-CN"/>
              </w:rPr>
              <w:t>工商管理</w:t>
            </w:r>
          </w:p>
        </w:tc>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25FF882D">
            <w:pPr>
              <w:pStyle w:val="13"/>
              <w:widowControl/>
              <w:spacing w:beforeAutospacing="0" w:after="120" w:afterAutospacing="0" w:line="21" w:lineRule="atLeast"/>
              <w:ind w:left="0" w:right="0" w:firstLine="0"/>
              <w:jc w:val="left"/>
              <w:rPr>
                <w:rFonts w:hint="eastAsia" w:ascii="宋体" w:hAnsi="宋体" w:eastAsia="宋体" w:cs="宋体"/>
                <w:sz w:val="18"/>
                <w:szCs w:val="18"/>
              </w:rPr>
            </w:pPr>
            <w:r>
              <w:rPr>
                <w:rFonts w:hint="eastAsia" w:ascii="宋体" w:hAnsi="宋体" w:eastAsia="宋体" w:cs="宋体"/>
                <w:caps w:val="0"/>
                <w:spacing w:val="0"/>
                <w:sz w:val="18"/>
                <w:szCs w:val="18"/>
              </w:rPr>
              <w:t>财务建模、收益预测、成本核算、盈利分析</w:t>
            </w:r>
          </w:p>
        </w:tc>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4F7274D5">
            <w:pPr>
              <w:pStyle w:val="13"/>
              <w:widowControl/>
              <w:spacing w:beforeAutospacing="0" w:after="120" w:afterAutospacing="0" w:line="21" w:lineRule="atLeast"/>
              <w:ind w:left="0" w:right="0" w:firstLine="0"/>
              <w:jc w:val="left"/>
              <w:rPr>
                <w:rFonts w:hint="eastAsia" w:ascii="宋体" w:hAnsi="宋体" w:eastAsia="宋体" w:cs="宋体"/>
                <w:sz w:val="18"/>
                <w:szCs w:val="18"/>
              </w:rPr>
            </w:pPr>
            <w:r>
              <w:rPr>
                <w:rFonts w:hint="eastAsia" w:ascii="宋体" w:hAnsi="宋体" w:eastAsia="宋体" w:cs="宋体"/>
                <w:caps w:val="0"/>
                <w:spacing w:val="0"/>
                <w:sz w:val="18"/>
                <w:szCs w:val="18"/>
              </w:rPr>
              <w:t>财务建模+Excel+数据分析</w:t>
            </w:r>
          </w:p>
        </w:tc>
      </w:tr>
      <w:tr w14:paraId="5288FB80">
        <w:tblPrEx>
          <w:tblBorders>
            <w:top w:val="none" w:color="000000" w:sz="0" w:space="0"/>
            <w:left w:val="none" w:color="000000" w:sz="0" w:space="0"/>
            <w:bottom w:val="none" w:color="000000" w:sz="0" w:space="0"/>
            <w:right w:val="none" w:color="000000"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59448FB9">
            <w:pPr>
              <w:pStyle w:val="13"/>
              <w:widowControl/>
              <w:spacing w:beforeAutospacing="0" w:after="120" w:afterAutospacing="0" w:line="21" w:lineRule="atLeast"/>
              <w:ind w:left="0" w:right="0" w:firstLine="0"/>
              <w:jc w:val="left"/>
              <w:rPr>
                <w:rFonts w:hint="eastAsia" w:ascii="宋体" w:hAnsi="宋体" w:eastAsia="宋体" w:cs="宋体"/>
                <w:sz w:val="18"/>
                <w:szCs w:val="18"/>
              </w:rPr>
            </w:pPr>
            <w:r>
              <w:rPr>
                <w:rFonts w:hint="eastAsia" w:ascii="宋体" w:hAnsi="宋体" w:eastAsia="宋体" w:cs="宋体"/>
                <w:caps w:val="0"/>
                <w:spacing w:val="0"/>
                <w:sz w:val="18"/>
                <w:szCs w:val="18"/>
              </w:rPr>
              <w:t>商业分析（2人）</w:t>
            </w:r>
          </w:p>
        </w:tc>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1CA9D3D7">
            <w:pPr>
              <w:pStyle w:val="13"/>
              <w:widowControl/>
              <w:spacing w:beforeAutospacing="0" w:after="120" w:afterAutospacing="0" w:line="21" w:lineRule="atLeast"/>
              <w:ind w:left="0" w:right="0" w:firstLine="0"/>
              <w:jc w:val="left"/>
              <w:rPr>
                <w:rFonts w:hint="eastAsia" w:ascii="宋体" w:hAnsi="宋体" w:eastAsia="宋体" w:cs="宋体"/>
                <w:sz w:val="18"/>
                <w:szCs w:val="18"/>
                <w:lang w:eastAsia="zh-CN"/>
              </w:rPr>
            </w:pPr>
            <w:r>
              <w:rPr>
                <w:rFonts w:hint="eastAsia" w:ascii="宋体" w:hAnsi="宋体" w:eastAsia="宋体" w:cs="宋体"/>
                <w:sz w:val="18"/>
                <w:szCs w:val="18"/>
                <w:lang w:eastAsia="zh-CN"/>
              </w:rPr>
              <w:t>金融工程、商务英语</w:t>
            </w:r>
          </w:p>
        </w:tc>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5273CDFA">
            <w:pPr>
              <w:pStyle w:val="13"/>
              <w:widowControl/>
              <w:spacing w:beforeAutospacing="0" w:after="120" w:afterAutospacing="0" w:line="21" w:lineRule="atLeast"/>
              <w:ind w:left="0" w:right="0" w:firstLine="0"/>
              <w:jc w:val="left"/>
              <w:rPr>
                <w:rFonts w:hint="eastAsia" w:ascii="宋体" w:hAnsi="宋体" w:eastAsia="宋体" w:cs="宋体"/>
                <w:sz w:val="18"/>
                <w:szCs w:val="18"/>
              </w:rPr>
            </w:pPr>
            <w:r>
              <w:rPr>
                <w:rFonts w:hint="eastAsia" w:ascii="宋体" w:hAnsi="宋体" w:eastAsia="宋体" w:cs="宋体"/>
                <w:caps w:val="0"/>
                <w:spacing w:val="0"/>
                <w:sz w:val="18"/>
                <w:szCs w:val="18"/>
              </w:rPr>
              <w:t>竞品分析、商业模式设计、市场调研、STP分析</w:t>
            </w:r>
          </w:p>
        </w:tc>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046DA451">
            <w:pPr>
              <w:pStyle w:val="13"/>
              <w:widowControl/>
              <w:spacing w:beforeAutospacing="0" w:after="120" w:afterAutospacing="0" w:line="21" w:lineRule="atLeast"/>
              <w:ind w:left="0" w:right="0" w:firstLine="0"/>
              <w:jc w:val="left"/>
              <w:rPr>
                <w:rFonts w:hint="eastAsia" w:ascii="宋体" w:hAnsi="宋体" w:eastAsia="宋体" w:cs="宋体"/>
                <w:sz w:val="18"/>
                <w:szCs w:val="18"/>
              </w:rPr>
            </w:pPr>
            <w:r>
              <w:rPr>
                <w:rFonts w:hint="eastAsia" w:ascii="宋体" w:hAnsi="宋体" w:eastAsia="宋体" w:cs="宋体"/>
                <w:caps w:val="0"/>
                <w:spacing w:val="0"/>
                <w:sz w:val="18"/>
                <w:szCs w:val="18"/>
              </w:rPr>
              <w:t>市场分析+商业逻辑+调研方法</w:t>
            </w:r>
          </w:p>
        </w:tc>
      </w:tr>
      <w:tr w14:paraId="26D4D6EE">
        <w:tblPrEx>
          <w:tblBorders>
            <w:top w:val="none" w:color="000000" w:sz="0" w:space="0"/>
            <w:left w:val="none" w:color="000000" w:sz="0" w:space="0"/>
            <w:bottom w:val="none" w:color="000000" w:sz="0" w:space="0"/>
            <w:right w:val="none" w:color="000000"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25E32A0C">
            <w:pPr>
              <w:pStyle w:val="13"/>
              <w:widowControl/>
              <w:spacing w:beforeAutospacing="0" w:after="120" w:afterAutospacing="0" w:line="21" w:lineRule="atLeast"/>
              <w:ind w:left="0" w:right="0" w:firstLine="0"/>
              <w:jc w:val="left"/>
              <w:rPr>
                <w:rFonts w:hint="eastAsia" w:ascii="宋体" w:hAnsi="宋体" w:eastAsia="宋体" w:cs="宋体"/>
                <w:sz w:val="18"/>
                <w:szCs w:val="18"/>
              </w:rPr>
            </w:pPr>
            <w:r>
              <w:rPr>
                <w:rFonts w:hint="eastAsia" w:ascii="宋体" w:hAnsi="宋体" w:eastAsia="宋体" w:cs="宋体"/>
                <w:caps w:val="0"/>
                <w:spacing w:val="0"/>
                <w:sz w:val="18"/>
                <w:szCs w:val="18"/>
              </w:rPr>
              <w:t>资源对接</w:t>
            </w:r>
          </w:p>
        </w:tc>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49C9A5A0">
            <w:pPr>
              <w:pStyle w:val="13"/>
              <w:widowControl/>
              <w:spacing w:beforeAutospacing="0" w:after="120" w:afterAutospacing="0" w:line="21" w:lineRule="atLeast"/>
              <w:ind w:left="0" w:right="0" w:firstLine="0"/>
              <w:jc w:val="left"/>
              <w:rPr>
                <w:rFonts w:hint="eastAsia" w:ascii="宋体" w:hAnsi="宋体" w:eastAsia="宋体" w:cs="宋体"/>
                <w:sz w:val="18"/>
                <w:szCs w:val="18"/>
                <w:lang w:eastAsia="zh-CN"/>
              </w:rPr>
            </w:pPr>
            <w:r>
              <w:rPr>
                <w:rFonts w:hint="eastAsia" w:ascii="宋体" w:hAnsi="宋体" w:eastAsia="宋体" w:cs="宋体"/>
                <w:sz w:val="18"/>
                <w:szCs w:val="18"/>
                <w:lang w:eastAsia="zh-CN"/>
              </w:rPr>
              <w:t>金融学</w:t>
            </w:r>
          </w:p>
        </w:tc>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408351E8">
            <w:pPr>
              <w:pStyle w:val="13"/>
              <w:widowControl/>
              <w:spacing w:beforeAutospacing="0" w:after="120" w:afterAutospacing="0" w:line="21" w:lineRule="atLeast"/>
              <w:ind w:left="0" w:right="0" w:firstLine="0"/>
              <w:jc w:val="left"/>
              <w:rPr>
                <w:rFonts w:hint="eastAsia" w:ascii="宋体" w:hAnsi="宋体" w:eastAsia="宋体" w:cs="宋体"/>
                <w:sz w:val="18"/>
                <w:szCs w:val="18"/>
              </w:rPr>
            </w:pPr>
            <w:r>
              <w:rPr>
                <w:rFonts w:hint="eastAsia" w:ascii="宋体" w:hAnsi="宋体" w:eastAsia="宋体" w:cs="宋体"/>
                <w:caps w:val="0"/>
                <w:spacing w:val="0"/>
                <w:sz w:val="18"/>
                <w:szCs w:val="18"/>
              </w:rPr>
              <w:t>村书记内部人脉对接、外部资源协调</w:t>
            </w:r>
          </w:p>
        </w:tc>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49C74D89">
            <w:pPr>
              <w:pStyle w:val="13"/>
              <w:widowControl/>
              <w:spacing w:beforeAutospacing="0" w:after="120" w:afterAutospacing="0" w:line="21" w:lineRule="atLeast"/>
              <w:ind w:left="0" w:right="0" w:firstLine="0"/>
              <w:jc w:val="left"/>
              <w:rPr>
                <w:rFonts w:hint="eastAsia" w:ascii="宋体" w:hAnsi="宋体" w:eastAsia="宋体" w:cs="宋体"/>
                <w:sz w:val="18"/>
                <w:szCs w:val="18"/>
              </w:rPr>
            </w:pPr>
            <w:r>
              <w:rPr>
                <w:rFonts w:hint="eastAsia" w:ascii="宋体" w:hAnsi="宋体" w:eastAsia="宋体" w:cs="宋体"/>
                <w:caps w:val="0"/>
                <w:spacing w:val="0"/>
                <w:sz w:val="18"/>
                <w:szCs w:val="18"/>
              </w:rPr>
              <w:t>人脉资源+沟通能力</w:t>
            </w:r>
          </w:p>
        </w:tc>
      </w:tr>
      <w:tr w14:paraId="1D53AE0C">
        <w:tblPrEx>
          <w:tblBorders>
            <w:top w:val="none" w:color="000000" w:sz="0" w:space="0"/>
            <w:left w:val="none" w:color="000000" w:sz="0" w:space="0"/>
            <w:bottom w:val="none" w:color="000000" w:sz="0" w:space="0"/>
            <w:right w:val="none" w:color="000000"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00126C79">
            <w:pPr>
              <w:pStyle w:val="13"/>
              <w:widowControl/>
              <w:spacing w:beforeAutospacing="0" w:after="120" w:afterAutospacing="0" w:line="21" w:lineRule="atLeast"/>
              <w:ind w:left="0" w:right="0" w:firstLine="0"/>
              <w:jc w:val="left"/>
              <w:rPr>
                <w:rFonts w:hint="eastAsia" w:ascii="宋体" w:hAnsi="宋体" w:eastAsia="宋体" w:cs="宋体"/>
                <w:sz w:val="18"/>
                <w:szCs w:val="18"/>
              </w:rPr>
            </w:pPr>
            <w:r>
              <w:rPr>
                <w:rFonts w:hint="eastAsia" w:ascii="宋体" w:hAnsi="宋体" w:eastAsia="宋体" w:cs="宋体"/>
                <w:caps w:val="0"/>
                <w:spacing w:val="0"/>
                <w:sz w:val="18"/>
                <w:szCs w:val="18"/>
              </w:rPr>
              <w:t>技术开发</w:t>
            </w:r>
          </w:p>
        </w:tc>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764A585E">
            <w:pPr>
              <w:pStyle w:val="13"/>
              <w:widowControl/>
              <w:spacing w:beforeAutospacing="0" w:after="120" w:afterAutospacing="0" w:line="21" w:lineRule="atLeast"/>
              <w:ind w:left="0" w:right="0" w:firstLine="0"/>
              <w:jc w:val="left"/>
              <w:rPr>
                <w:rFonts w:hint="eastAsia" w:ascii="宋体" w:hAnsi="宋体" w:eastAsia="宋体" w:cs="宋体"/>
                <w:sz w:val="18"/>
                <w:szCs w:val="18"/>
              </w:rPr>
            </w:pPr>
            <w:r>
              <w:rPr>
                <w:rFonts w:hint="eastAsia" w:ascii="宋体" w:hAnsi="宋体" w:eastAsia="宋体" w:cs="宋体"/>
                <w:caps w:val="0"/>
                <w:spacing w:val="0"/>
                <w:sz w:val="18"/>
                <w:szCs w:val="18"/>
              </w:rPr>
              <w:t>计算机</w:t>
            </w:r>
          </w:p>
        </w:tc>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30D1AFC9">
            <w:pPr>
              <w:pStyle w:val="13"/>
              <w:widowControl/>
              <w:spacing w:beforeAutospacing="0" w:after="120" w:afterAutospacing="0" w:line="21" w:lineRule="atLeast"/>
              <w:ind w:left="0" w:right="0" w:firstLine="0"/>
              <w:jc w:val="left"/>
              <w:rPr>
                <w:rFonts w:hint="eastAsia" w:ascii="宋体" w:hAnsi="宋体" w:eastAsia="宋体" w:cs="宋体"/>
                <w:sz w:val="18"/>
                <w:szCs w:val="18"/>
              </w:rPr>
            </w:pPr>
            <w:r>
              <w:rPr>
                <w:rFonts w:hint="eastAsia" w:ascii="宋体" w:hAnsi="宋体" w:eastAsia="宋体" w:cs="宋体"/>
                <w:caps w:val="0"/>
                <w:spacing w:val="0"/>
                <w:sz w:val="18"/>
                <w:szCs w:val="18"/>
              </w:rPr>
              <w:t>小程序全栈开发、数字平台建设维护</w:t>
            </w:r>
          </w:p>
        </w:tc>
        <w:tc>
          <w:tcPr>
            <w:tcW w:w="0" w:type="auto"/>
            <w:tcBorders>
              <w:top w:val="single" w:color="000000" w:sz="2" w:space="0"/>
              <w:left w:val="single" w:color="000000" w:sz="2" w:space="0"/>
              <w:bottom w:val="single" w:color="000000" w:sz="2" w:space="0"/>
              <w:right w:val="single" w:color="000000" w:sz="2" w:space="0"/>
            </w:tcBorders>
            <w:shd w:val="clear" w:color="auto" w:fill="auto"/>
            <w:vAlign w:val="top"/>
          </w:tcPr>
          <w:p w14:paraId="643BBF2B">
            <w:pPr>
              <w:pStyle w:val="13"/>
              <w:widowControl/>
              <w:spacing w:beforeAutospacing="0" w:after="120" w:afterAutospacing="0" w:line="21" w:lineRule="atLeast"/>
              <w:ind w:left="0" w:right="0" w:firstLine="0"/>
              <w:jc w:val="left"/>
              <w:rPr>
                <w:rFonts w:hint="eastAsia" w:ascii="宋体" w:hAnsi="宋体" w:eastAsia="宋体" w:cs="宋体"/>
                <w:sz w:val="18"/>
                <w:szCs w:val="18"/>
              </w:rPr>
            </w:pPr>
            <w:r>
              <w:rPr>
                <w:rFonts w:hint="eastAsia" w:ascii="宋体" w:hAnsi="宋体" w:eastAsia="宋体" w:cs="宋体"/>
                <w:caps w:val="0"/>
                <w:spacing w:val="0"/>
                <w:sz w:val="18"/>
                <w:szCs w:val="18"/>
              </w:rPr>
              <w:t>全栈开发（前端+后端+数据库+地图/AR/AI）</w:t>
            </w:r>
          </w:p>
        </w:tc>
      </w:tr>
    </w:tbl>
    <w:p w14:paraId="68B6D4AD">
      <w:pPr>
        <w:pStyle w:val="3"/>
        <w:bidi w:val="0"/>
        <w:rPr>
          <w:rFonts w:hint="eastAsia"/>
        </w:rPr>
      </w:pPr>
      <w:bookmarkStart w:id="189" w:name="_Toc5586"/>
      <w:r>
        <w:rPr>
          <w:rFonts w:hint="eastAsia"/>
        </w:rPr>
        <w:t>11.3 团队优势</w:t>
      </w:r>
      <w:bookmarkEnd w:id="189"/>
    </w:p>
    <w:p w14:paraId="198EE94C">
      <w:pPr>
        <w:pStyle w:val="13"/>
        <w:widowControl/>
        <w:spacing w:beforeAutospacing="0" w:after="120" w:afterAutospacing="0" w:line="21" w:lineRule="atLeast"/>
        <w:ind w:left="0" w:right="0" w:firstLine="0"/>
        <w:jc w:val="left"/>
        <w:rPr>
          <w:rFonts w:hint="eastAsia"/>
          <w:b/>
          <w:bCs/>
          <w:sz w:val="18"/>
          <w:szCs w:val="18"/>
        </w:rPr>
      </w:pPr>
      <w:r>
        <w:rPr>
          <w:rFonts w:hint="eastAsia"/>
          <w:b/>
          <w:bCs/>
          <w:sz w:val="18"/>
          <w:szCs w:val="18"/>
        </w:rPr>
        <w:t>（1）跨学科全链条覆盖</w:t>
      </w:r>
    </w:p>
    <w:p w14:paraId="51614966">
      <w:pPr>
        <w:pStyle w:val="13"/>
        <w:widowControl/>
        <w:spacing w:beforeAutospacing="0" w:after="120" w:afterAutospacing="0" w:line="21" w:lineRule="atLeast"/>
        <w:ind w:left="0" w:right="0" w:firstLine="0"/>
        <w:jc w:val="left"/>
        <w:rPr>
          <w:rFonts w:hint="eastAsia"/>
          <w:sz w:val="18"/>
          <w:szCs w:val="18"/>
        </w:rPr>
      </w:pPr>
      <w:r>
        <w:rPr>
          <w:rFonts w:hint="eastAsia"/>
          <w:sz w:val="18"/>
          <w:szCs w:val="18"/>
        </w:rPr>
        <w:t>十名成员横跨经济管理、新闻传播、设计、计算机等9个学科，覆盖“策划+设计+技术+财务+传播+数据”全链条。乡村振兴类项目的复杂性在于其涉及品牌、技术、运营、财务等多个专业领域，单一学科团队难以兼顾。本团队通过跨学科配置，确保从品牌VI设计、小程序开发、内容传播到财务测算的各环节均可在团队内部完成闭环，无需外部外包，显著降低沟通成本和项目风险。</w:t>
      </w:r>
    </w:p>
    <w:p w14:paraId="0F257120">
      <w:pPr>
        <w:pStyle w:val="13"/>
        <w:widowControl/>
        <w:spacing w:beforeAutospacing="0" w:after="120" w:afterAutospacing="0" w:line="21" w:lineRule="atLeast"/>
        <w:ind w:left="0" w:right="0" w:firstLine="0"/>
        <w:jc w:val="left"/>
        <w:rPr>
          <w:rFonts w:hint="eastAsia"/>
          <w:b/>
          <w:bCs/>
          <w:sz w:val="18"/>
          <w:szCs w:val="18"/>
        </w:rPr>
      </w:pPr>
      <w:r>
        <w:rPr>
          <w:rFonts w:hint="eastAsia"/>
          <w:b/>
          <w:bCs/>
          <w:sz w:val="18"/>
          <w:szCs w:val="18"/>
        </w:rPr>
        <w:t>（2）全栈自主开发能力</w:t>
      </w:r>
    </w:p>
    <w:p w14:paraId="78AB1676">
      <w:pPr>
        <w:pStyle w:val="13"/>
        <w:widowControl/>
        <w:spacing w:beforeAutospacing="0" w:after="120" w:afterAutospacing="0" w:line="21" w:lineRule="atLeast"/>
        <w:ind w:left="0" w:right="0" w:firstLine="0"/>
        <w:jc w:val="left"/>
        <w:rPr>
          <w:rFonts w:hint="eastAsia"/>
          <w:sz w:val="18"/>
          <w:szCs w:val="18"/>
        </w:rPr>
      </w:pPr>
      <w:r>
        <w:rPr>
          <w:rFonts w:hint="eastAsia"/>
          <w:sz w:val="18"/>
          <w:szCs w:val="18"/>
        </w:rPr>
        <w:t>团队具备独立完成微信小程序全栈开发的技术能力，涵盖前端开发、后端数据库管理、地图SDK接入、Canvas图像合成、AR交互设计等关键环节。本方案中的骑行GPS打卡、社交海报自动合成、认养树数字孪生、生态数据看板、AI行程推荐等六大技术创新模块均可自主实现。在答辩环节可现场演示可运行的产品Demo——这一能力在乡村振兴类参赛团队中具有显著的差异化竞争优势。</w:t>
      </w:r>
    </w:p>
    <w:p w14:paraId="78DD178A">
      <w:pPr>
        <w:pStyle w:val="13"/>
        <w:widowControl/>
        <w:spacing w:beforeAutospacing="0" w:after="120" w:afterAutospacing="0" w:line="21" w:lineRule="atLeast"/>
        <w:ind w:left="0" w:right="0" w:firstLine="0"/>
        <w:jc w:val="left"/>
        <w:rPr>
          <w:rFonts w:hint="eastAsia"/>
          <w:b/>
          <w:bCs/>
          <w:sz w:val="18"/>
          <w:szCs w:val="18"/>
        </w:rPr>
      </w:pPr>
      <w:r>
        <w:rPr>
          <w:rFonts w:hint="eastAsia"/>
          <w:b/>
          <w:bCs/>
          <w:sz w:val="18"/>
          <w:szCs w:val="18"/>
        </w:rPr>
        <w:t>（3）与前任擂主的能力衔接与延续</w:t>
      </w:r>
    </w:p>
    <w:p w14:paraId="06041A98">
      <w:pPr>
        <w:pStyle w:val="13"/>
        <w:widowControl/>
        <w:spacing w:beforeAutospacing="0" w:after="120" w:afterAutospacing="0" w:line="21" w:lineRule="atLeast"/>
        <w:ind w:left="0" w:right="0" w:firstLine="0"/>
        <w:jc w:val="left"/>
        <w:rPr>
          <w:rFonts w:hint="eastAsia"/>
          <w:sz w:val="18"/>
          <w:szCs w:val="18"/>
        </w:rPr>
      </w:pPr>
      <w:r>
        <w:rPr>
          <w:rFonts w:hint="eastAsia"/>
          <w:sz w:val="18"/>
          <w:szCs w:val="18"/>
        </w:rPr>
        <w:t>“樱有尽有”团队（2025年擂主）已为杨家东庄村完成了品牌命名、初步VI设计、小程序雏形、品牌故事框架以及高校合作资源整合等基础工作。但这些成果仍停留在“品牌起步”阶段，距离可持续运营尚有四项关键缺口：骑行打卡体系未落地、数字平台停运、四季产品体系空白、深加工与区域联动欠缺。本团队的技术开发能力、骑行运营设计和区域联盟机制规划，正是对前任团队的直接补充与延续，确保项目实现从“品牌奠基”到“生态运营”的阶</w:t>
      </w:r>
      <w:r>
        <w:rPr>
          <w:rFonts w:hint="eastAsia"/>
          <w:sz w:val="18"/>
          <w:szCs w:val="18"/>
          <w:lang w:val="en-US" w:eastAsia="zh-CN"/>
        </w:rPr>
        <w:t>段</w:t>
      </w:r>
      <w:r>
        <w:rPr>
          <w:rFonts w:hint="eastAsia"/>
          <w:sz w:val="18"/>
          <w:szCs w:val="18"/>
        </w:rPr>
        <w:t>跃升。</w:t>
      </w:r>
    </w:p>
    <w:p w14:paraId="3E319C66">
      <w:pPr>
        <w:pStyle w:val="13"/>
        <w:widowControl/>
        <w:spacing w:beforeAutospacing="0" w:after="120" w:afterAutospacing="0" w:line="21" w:lineRule="atLeast"/>
        <w:ind w:left="0" w:right="0" w:firstLine="0"/>
        <w:jc w:val="left"/>
        <w:rPr>
          <w:rFonts w:hint="eastAsia"/>
          <w:b/>
          <w:bCs/>
          <w:sz w:val="18"/>
          <w:szCs w:val="18"/>
        </w:rPr>
      </w:pPr>
      <w:r>
        <w:rPr>
          <w:rFonts w:hint="eastAsia"/>
          <w:b/>
          <w:bCs/>
          <w:sz w:val="18"/>
          <w:szCs w:val="18"/>
        </w:rPr>
        <w:t>（4）内部人脉与在地资源</w:t>
      </w:r>
    </w:p>
    <w:p w14:paraId="53BD01F1">
      <w:pPr>
        <w:pStyle w:val="13"/>
        <w:widowControl/>
        <w:spacing w:beforeAutospacing="0" w:after="120" w:afterAutospacing="0" w:line="21" w:lineRule="atLeast"/>
        <w:ind w:left="0" w:right="0" w:firstLine="0"/>
        <w:jc w:val="left"/>
        <w:rPr>
          <w:rFonts w:hint="eastAsia"/>
          <w:sz w:val="18"/>
          <w:szCs w:val="18"/>
        </w:rPr>
      </w:pPr>
      <w:r>
        <w:rPr>
          <w:rFonts w:hint="eastAsia"/>
          <w:sz w:val="18"/>
          <w:szCs w:val="18"/>
        </w:rPr>
        <w:t>团队成员持有杨家东庄村第一书记的直接沟通渠道，已开展多轮实地调研，并与村委会建立了稳定的协作关系。这一在地资源保障了后续方案落地过程中政策解读、资源协调、村民动员等关键环节的顺畅推进。</w:t>
      </w:r>
    </w:p>
    <w:p w14:paraId="47C44788">
      <w:pPr>
        <w:pStyle w:val="13"/>
        <w:widowControl/>
        <w:spacing w:beforeAutospacing="0" w:after="120" w:afterAutospacing="0" w:line="21" w:lineRule="atLeast"/>
        <w:ind w:left="0" w:right="0" w:firstLine="0"/>
        <w:jc w:val="left"/>
        <w:rPr>
          <w:rFonts w:hint="eastAsia"/>
          <w:b/>
          <w:bCs/>
          <w:sz w:val="18"/>
          <w:szCs w:val="18"/>
        </w:rPr>
      </w:pPr>
      <w:r>
        <w:rPr>
          <w:rFonts w:hint="eastAsia"/>
          <w:b/>
          <w:bCs/>
          <w:sz w:val="18"/>
          <w:szCs w:val="18"/>
        </w:rPr>
        <w:t>（5）竞赛指导经验</w:t>
      </w:r>
    </w:p>
    <w:p w14:paraId="156FE438">
      <w:pPr>
        <w:pStyle w:val="13"/>
        <w:widowControl/>
        <w:spacing w:beforeAutospacing="0" w:after="120" w:afterAutospacing="0" w:line="21" w:lineRule="atLeast"/>
        <w:ind w:left="0" w:right="0" w:firstLine="0"/>
        <w:jc w:val="left"/>
        <w:rPr>
          <w:rFonts w:hint="eastAsia"/>
          <w:sz w:val="18"/>
          <w:szCs w:val="18"/>
        </w:rPr>
      </w:pPr>
      <w:r>
        <w:rPr>
          <w:rFonts w:hint="eastAsia"/>
          <w:sz w:val="18"/>
          <w:szCs w:val="18"/>
          <w:lang w:val="en-US" w:eastAsia="zh-CN"/>
        </w:rPr>
        <w:t>指导老师</w:t>
      </w:r>
      <w:r>
        <w:rPr>
          <w:rFonts w:hint="eastAsia"/>
          <w:sz w:val="18"/>
          <w:szCs w:val="18"/>
        </w:rPr>
        <w:t>研究领域</w:t>
      </w:r>
      <w:r>
        <w:rPr>
          <w:rFonts w:hint="eastAsia"/>
          <w:sz w:val="18"/>
          <w:szCs w:val="18"/>
          <w:lang w:val="en-US" w:eastAsia="zh-CN"/>
        </w:rPr>
        <w:t>为</w:t>
      </w:r>
      <w:r>
        <w:rPr>
          <w:rFonts w:hint="eastAsia"/>
          <w:sz w:val="18"/>
          <w:szCs w:val="18"/>
        </w:rPr>
        <w:t>产业组织创新与创新创业管理。近年来聚焦国家发展战略和首都“四个中心”，主持和参与“‘双循’新发展格局下我国现代流通业高质量发展路径研究”等国家和北京市课题研究。指导学生参加、“挑战杯”、“互联网+”、全国大学生电子商务“创新、创意及创业”挑战赛等创新创业竞赛，荣获60余项省部级以上奖励。</w:t>
      </w:r>
    </w:p>
    <w:p w14:paraId="7ECD6CB9">
      <w:pPr>
        <w:pStyle w:val="3"/>
        <w:bidi w:val="0"/>
        <w:rPr>
          <w:rFonts w:hint="eastAsia"/>
        </w:rPr>
      </w:pPr>
      <w:bookmarkStart w:id="190" w:name="_Toc20603"/>
      <w:r>
        <w:rPr>
          <w:rFonts w:hint="eastAsia"/>
        </w:rPr>
        <w:t>11.4 团队协作机制</w:t>
      </w:r>
      <w:bookmarkEnd w:id="190"/>
    </w:p>
    <w:p w14:paraId="3891DC08">
      <w:pPr>
        <w:pStyle w:val="13"/>
        <w:widowControl/>
        <w:spacing w:beforeAutospacing="0" w:after="120" w:afterAutospacing="0" w:line="21" w:lineRule="atLeast"/>
        <w:ind w:left="0" w:right="0" w:firstLine="0"/>
        <w:jc w:val="left"/>
        <w:rPr>
          <w:rFonts w:hint="eastAsia"/>
          <w:sz w:val="18"/>
          <w:szCs w:val="18"/>
        </w:rPr>
      </w:pPr>
      <w:r>
        <w:rPr>
          <w:rFonts w:hint="eastAsia"/>
          <w:sz w:val="18"/>
          <w:szCs w:val="18"/>
        </w:rPr>
        <w:t>（1）沟通机制</w:t>
      </w:r>
    </w:p>
    <w:p w14:paraId="23808DEB">
      <w:pPr>
        <w:pStyle w:val="13"/>
        <w:widowControl/>
        <w:spacing w:beforeAutospacing="0" w:after="120" w:afterAutospacing="0" w:line="21" w:lineRule="atLeast"/>
        <w:ind w:left="0" w:right="0" w:firstLine="0"/>
        <w:jc w:val="left"/>
        <w:rPr>
          <w:rFonts w:hint="eastAsia"/>
          <w:sz w:val="18"/>
          <w:szCs w:val="18"/>
        </w:rPr>
      </w:pPr>
      <w:r>
        <w:rPr>
          <w:rFonts w:hint="eastAsia"/>
          <w:sz w:val="18"/>
          <w:szCs w:val="18"/>
        </w:rPr>
        <w:t>每周一次全体线上例会，各组同步进展、暴露问题、协调资源；每日通过飞书群进行异步信息更新，确保信息及时触达；关键决策由项目负责人及相关组长在48小时内完成拍板并同步全体成员。</w:t>
      </w:r>
    </w:p>
    <w:p w14:paraId="673A36A0">
      <w:pPr>
        <w:pStyle w:val="13"/>
        <w:widowControl/>
        <w:spacing w:beforeAutospacing="0" w:after="120" w:afterAutospacing="0" w:line="21" w:lineRule="atLeast"/>
        <w:ind w:left="0" w:right="0" w:firstLine="0"/>
        <w:jc w:val="left"/>
        <w:rPr>
          <w:rFonts w:hint="eastAsia"/>
          <w:sz w:val="18"/>
          <w:szCs w:val="18"/>
        </w:rPr>
      </w:pPr>
      <w:r>
        <w:rPr>
          <w:rFonts w:hint="eastAsia"/>
          <w:sz w:val="18"/>
          <w:szCs w:val="18"/>
        </w:rPr>
        <w:t>（2）文档协作</w:t>
      </w:r>
    </w:p>
    <w:p w14:paraId="055627F8">
      <w:pPr>
        <w:pStyle w:val="13"/>
        <w:widowControl/>
        <w:spacing w:beforeAutospacing="0" w:after="120" w:afterAutospacing="0" w:line="21" w:lineRule="atLeast"/>
        <w:ind w:left="0" w:right="0" w:firstLine="0"/>
        <w:jc w:val="left"/>
        <w:rPr>
          <w:rFonts w:hint="eastAsia"/>
          <w:sz w:val="18"/>
          <w:szCs w:val="18"/>
        </w:rPr>
      </w:pPr>
      <w:r>
        <w:rPr>
          <w:rFonts w:hint="eastAsia"/>
          <w:sz w:val="18"/>
          <w:szCs w:val="18"/>
        </w:rPr>
        <w:t>全部文档使用腾讯文档/飞书在线协作，版本统一管控；建立“项目总览—分章节稿件—设计素材—数据源文件”四级文档结构，确保文件可追溯、可查阅。</w:t>
      </w:r>
    </w:p>
    <w:p w14:paraId="72C44EA9">
      <w:pPr>
        <w:pStyle w:val="13"/>
        <w:widowControl/>
        <w:spacing w:beforeAutospacing="0" w:after="120" w:afterAutospacing="0" w:line="21" w:lineRule="atLeast"/>
        <w:ind w:left="0" w:right="0" w:firstLine="0"/>
        <w:jc w:val="left"/>
        <w:rPr>
          <w:rFonts w:hint="eastAsia"/>
          <w:sz w:val="18"/>
          <w:szCs w:val="18"/>
        </w:rPr>
      </w:pPr>
      <w:r>
        <w:rPr>
          <w:rFonts w:hint="eastAsia"/>
          <w:sz w:val="18"/>
          <w:szCs w:val="18"/>
        </w:rPr>
        <w:t>（3）任务管理</w:t>
      </w:r>
    </w:p>
    <w:p w14:paraId="2DC07CCF">
      <w:pPr>
        <w:pStyle w:val="13"/>
        <w:widowControl/>
        <w:spacing w:beforeAutospacing="0" w:after="120" w:afterAutospacing="0" w:line="21" w:lineRule="atLeast"/>
        <w:ind w:left="0" w:right="0" w:firstLine="0"/>
        <w:jc w:val="left"/>
        <w:rPr>
          <w:rFonts w:hint="eastAsia"/>
          <w:sz w:val="18"/>
          <w:szCs w:val="18"/>
        </w:rPr>
      </w:pPr>
      <w:r>
        <w:rPr>
          <w:rFonts w:hint="eastAsia"/>
          <w:sz w:val="18"/>
          <w:szCs w:val="18"/>
        </w:rPr>
        <w:t>采用看板工具（飞书多维表格）拆解任务至“人-周-天”三级颗粒度，每周一复盘上周完成率并调整本周优先级。任务看板对全体成员公开透明，避免信息不对称导致的进度延误。</w:t>
      </w:r>
    </w:p>
    <w:p w14:paraId="46E3C827">
      <w:pPr>
        <w:pStyle w:val="13"/>
        <w:widowControl/>
        <w:spacing w:beforeAutospacing="0" w:after="120" w:afterAutospacing="0" w:line="21" w:lineRule="atLeast"/>
        <w:ind w:left="0" w:right="0" w:firstLine="0"/>
        <w:jc w:val="left"/>
        <w:rPr>
          <w:rFonts w:hint="eastAsia"/>
          <w:sz w:val="18"/>
          <w:szCs w:val="18"/>
        </w:rPr>
      </w:pPr>
      <w:r>
        <w:rPr>
          <w:rFonts w:hint="eastAsia"/>
          <w:sz w:val="18"/>
          <w:szCs w:val="18"/>
        </w:rPr>
        <w:t>（4）交叉审核制度</w:t>
      </w:r>
    </w:p>
    <w:p w14:paraId="01F46B9C">
      <w:pPr>
        <w:pStyle w:val="13"/>
        <w:widowControl/>
        <w:spacing w:beforeAutospacing="0" w:after="120" w:afterAutospacing="0" w:line="21" w:lineRule="atLeast"/>
        <w:ind w:left="0" w:right="0" w:firstLine="0"/>
        <w:jc w:val="left"/>
        <w:rPr>
          <w:rFonts w:hint="eastAsia"/>
          <w:sz w:val="18"/>
          <w:szCs w:val="18"/>
        </w:rPr>
      </w:pPr>
      <w:r>
        <w:rPr>
          <w:rFonts w:hint="eastAsia"/>
          <w:sz w:val="18"/>
          <w:szCs w:val="18"/>
        </w:rPr>
        <w:t>关键交付物（策划书章节、设计稿、代码模块、财务模型）执行“非负责组交叉审核”：由非该交付物产出的成员进行审核，以旁观者视角发现逻辑漏洞、表述问题或设计缺陷，确保交付质量。</w:t>
      </w:r>
    </w:p>
    <w:p w14:paraId="45B528F9">
      <w:pPr>
        <w:pStyle w:val="3"/>
        <w:bidi w:val="0"/>
        <w:rPr>
          <w:rFonts w:hint="eastAsia"/>
        </w:rPr>
      </w:pPr>
      <w:bookmarkStart w:id="191" w:name="_Toc31572"/>
      <w:r>
        <w:rPr>
          <w:rFonts w:hint="eastAsia"/>
        </w:rPr>
        <w:t>11.5 质量保障体系</w:t>
      </w:r>
      <w:bookmarkEnd w:id="191"/>
    </w:p>
    <w:p w14:paraId="31E29871">
      <w:pPr>
        <w:pStyle w:val="13"/>
        <w:widowControl/>
        <w:spacing w:beforeAutospacing="0" w:after="120" w:afterAutospacing="0" w:line="21" w:lineRule="atLeast"/>
        <w:ind w:left="0" w:right="0" w:firstLine="0"/>
        <w:jc w:val="left"/>
        <w:rPr>
          <w:rFonts w:hint="eastAsia"/>
          <w:sz w:val="18"/>
          <w:szCs w:val="18"/>
        </w:rPr>
      </w:pPr>
      <w:r>
        <w:rPr>
          <w:rFonts w:hint="eastAsia"/>
          <w:sz w:val="18"/>
          <w:szCs w:val="18"/>
        </w:rPr>
        <w:t>（1）方案质量</w:t>
      </w:r>
    </w:p>
    <w:p w14:paraId="39214521">
      <w:pPr>
        <w:pStyle w:val="13"/>
        <w:widowControl/>
        <w:spacing w:beforeAutospacing="0" w:after="120" w:afterAutospacing="0" w:line="21" w:lineRule="atLeast"/>
        <w:ind w:left="0" w:right="0" w:firstLine="0"/>
        <w:jc w:val="left"/>
        <w:rPr>
          <w:rFonts w:hint="eastAsia"/>
          <w:sz w:val="18"/>
          <w:szCs w:val="18"/>
        </w:rPr>
      </w:pPr>
      <w:r>
        <w:rPr>
          <w:rFonts w:hint="eastAsia"/>
          <w:sz w:val="18"/>
          <w:szCs w:val="18"/>
        </w:rPr>
        <w:t>策划书经历“初稿→组内审→交叉审→指导老师审→</w:t>
      </w:r>
      <w:r>
        <w:rPr>
          <w:rFonts w:hint="eastAsia"/>
          <w:sz w:val="18"/>
          <w:szCs w:val="18"/>
          <w:lang w:val="en-US" w:eastAsia="zh-CN"/>
        </w:rPr>
        <w:t>实地调研</w:t>
      </w:r>
      <w:r>
        <w:rPr>
          <w:rFonts w:hint="eastAsia"/>
          <w:sz w:val="18"/>
          <w:szCs w:val="18"/>
        </w:rPr>
        <w:t>→</w:t>
      </w:r>
      <w:r>
        <w:rPr>
          <w:rFonts w:hint="eastAsia"/>
          <w:sz w:val="18"/>
          <w:szCs w:val="18"/>
          <w:lang w:val="en-US" w:eastAsia="zh-CN"/>
        </w:rPr>
        <w:t>一轮修改</w:t>
      </w:r>
      <w:r>
        <w:rPr>
          <w:rFonts w:hint="eastAsia"/>
          <w:sz w:val="18"/>
          <w:szCs w:val="18"/>
        </w:rPr>
        <w:t>→</w:t>
      </w:r>
      <w:r>
        <w:rPr>
          <w:rFonts w:hint="eastAsia"/>
          <w:sz w:val="18"/>
          <w:szCs w:val="18"/>
          <w:lang w:val="en-US" w:eastAsia="zh-CN"/>
        </w:rPr>
        <w:t>组内审</w:t>
      </w:r>
      <w:r>
        <w:rPr>
          <w:rFonts w:hint="eastAsia"/>
          <w:sz w:val="18"/>
          <w:szCs w:val="18"/>
        </w:rPr>
        <w:t>→</w:t>
      </w:r>
      <w:r>
        <w:rPr>
          <w:rFonts w:hint="eastAsia"/>
          <w:sz w:val="18"/>
          <w:szCs w:val="18"/>
          <w:lang w:val="en-US" w:eastAsia="zh-CN"/>
        </w:rPr>
        <w:t>二轮修改</w:t>
      </w:r>
      <w:r>
        <w:rPr>
          <w:rFonts w:hint="eastAsia"/>
          <w:sz w:val="18"/>
          <w:szCs w:val="18"/>
        </w:rPr>
        <w:t>→</w:t>
      </w:r>
      <w:r>
        <w:rPr>
          <w:rFonts w:hint="eastAsia"/>
          <w:sz w:val="18"/>
          <w:szCs w:val="18"/>
          <w:lang w:val="en-US" w:eastAsia="zh-CN"/>
        </w:rPr>
        <w:t>指导老师审</w:t>
      </w:r>
      <w:r>
        <w:rPr>
          <w:rFonts w:hint="eastAsia"/>
          <w:sz w:val="18"/>
          <w:szCs w:val="18"/>
        </w:rPr>
        <w:t>→</w:t>
      </w:r>
      <w:r>
        <w:rPr>
          <w:rFonts w:hint="eastAsia"/>
          <w:sz w:val="18"/>
          <w:szCs w:val="18"/>
          <w:lang w:val="en-US" w:eastAsia="zh-CN"/>
        </w:rPr>
        <w:t>三轮修改</w:t>
      </w:r>
      <w:r>
        <w:rPr>
          <w:rFonts w:hint="eastAsia"/>
          <w:sz w:val="18"/>
          <w:szCs w:val="18"/>
        </w:rPr>
        <w:t>→</w:t>
      </w:r>
      <w:r>
        <w:rPr>
          <w:rFonts w:hint="eastAsia"/>
          <w:sz w:val="18"/>
          <w:szCs w:val="18"/>
          <w:lang w:val="en-US" w:eastAsia="zh-CN"/>
        </w:rPr>
        <w:t>交叉审</w:t>
      </w:r>
      <w:r>
        <w:rPr>
          <w:rFonts w:hint="eastAsia"/>
          <w:sz w:val="18"/>
          <w:szCs w:val="18"/>
        </w:rPr>
        <w:t>→终稿”</w:t>
      </w:r>
      <w:r>
        <w:rPr>
          <w:rFonts w:hint="eastAsia"/>
          <w:sz w:val="18"/>
          <w:szCs w:val="18"/>
          <w:lang w:val="en-US" w:eastAsia="zh-CN"/>
        </w:rPr>
        <w:t>数</w:t>
      </w:r>
      <w:r>
        <w:rPr>
          <w:rFonts w:hint="eastAsia"/>
          <w:sz w:val="18"/>
          <w:szCs w:val="18"/>
        </w:rPr>
        <w:t>轮迭代，每轮均形成修改清单并逐条落实，确保逻辑严密、数据准确、表述规范。</w:t>
      </w:r>
    </w:p>
    <w:p w14:paraId="0861E129">
      <w:pPr>
        <w:pStyle w:val="13"/>
        <w:widowControl/>
        <w:spacing w:beforeAutospacing="0" w:after="120" w:afterAutospacing="0" w:line="21" w:lineRule="atLeast"/>
        <w:ind w:left="0" w:right="0" w:firstLine="0"/>
        <w:jc w:val="left"/>
        <w:rPr>
          <w:rFonts w:hint="eastAsia"/>
          <w:sz w:val="18"/>
          <w:szCs w:val="18"/>
        </w:rPr>
      </w:pPr>
      <w:r>
        <w:rPr>
          <w:rFonts w:hint="eastAsia"/>
          <w:sz w:val="18"/>
          <w:szCs w:val="18"/>
        </w:rPr>
        <w:t>（2）设计质量</w:t>
      </w:r>
    </w:p>
    <w:p w14:paraId="3703BCDB">
      <w:pPr>
        <w:pStyle w:val="13"/>
        <w:widowControl/>
        <w:spacing w:beforeAutospacing="0" w:after="120" w:afterAutospacing="0" w:line="21" w:lineRule="atLeast"/>
        <w:ind w:left="0" w:right="0" w:firstLine="0"/>
        <w:jc w:val="left"/>
        <w:rPr>
          <w:rFonts w:hint="eastAsia"/>
          <w:sz w:val="18"/>
          <w:szCs w:val="18"/>
        </w:rPr>
      </w:pPr>
      <w:r>
        <w:rPr>
          <w:rFonts w:hint="eastAsia"/>
          <w:sz w:val="18"/>
          <w:szCs w:val="18"/>
        </w:rPr>
        <w:t>所有VI/IP/文创设计稿经历“草图→初稿→组内审→指导老师审→终稿”流程，确保视觉统一性和专业水准。设计定稿后建立品牌VI规范手册，供后续宣传物料统一调用。</w:t>
      </w:r>
    </w:p>
    <w:p w14:paraId="618FF22F">
      <w:pPr>
        <w:pStyle w:val="13"/>
        <w:widowControl/>
        <w:spacing w:beforeAutospacing="0" w:after="120" w:afterAutospacing="0" w:line="21" w:lineRule="atLeast"/>
        <w:ind w:left="0" w:right="0" w:firstLine="0"/>
        <w:jc w:val="left"/>
        <w:rPr>
          <w:rFonts w:hint="eastAsia"/>
          <w:sz w:val="18"/>
          <w:szCs w:val="18"/>
        </w:rPr>
      </w:pPr>
      <w:r>
        <w:rPr>
          <w:rFonts w:hint="eastAsia"/>
          <w:sz w:val="18"/>
          <w:szCs w:val="18"/>
        </w:rPr>
        <w:t>（3）技术质量</w:t>
      </w:r>
    </w:p>
    <w:p w14:paraId="294C52A3">
      <w:pPr>
        <w:pStyle w:val="13"/>
        <w:widowControl/>
        <w:spacing w:beforeAutospacing="0" w:after="120" w:afterAutospacing="0" w:line="21" w:lineRule="atLeast"/>
        <w:ind w:left="0" w:right="0" w:firstLine="0"/>
        <w:jc w:val="left"/>
        <w:rPr>
          <w:rFonts w:hint="eastAsia"/>
          <w:sz w:val="18"/>
          <w:szCs w:val="18"/>
        </w:rPr>
      </w:pPr>
      <w:r>
        <w:rPr>
          <w:rFonts w:hint="eastAsia"/>
          <w:sz w:val="18"/>
          <w:szCs w:val="18"/>
        </w:rPr>
        <w:t>小程序开发执行“功能开发→自测→交叉测试→全流程联调→压力测试”五步流程。代码采用模块化结构，便于后续迭代维护。上线前完成至少三轮模拟用户全流程测试，确保骑行打卡、认养下单、积分兑换等核心功能稳定可靠。</w:t>
      </w:r>
    </w:p>
    <w:p w14:paraId="678991D1">
      <w:pPr>
        <w:pStyle w:val="13"/>
        <w:widowControl/>
        <w:spacing w:beforeAutospacing="0" w:after="120" w:afterAutospacing="0" w:line="21" w:lineRule="atLeast"/>
        <w:ind w:left="0" w:right="0" w:firstLine="0"/>
        <w:jc w:val="left"/>
        <w:rPr>
          <w:rFonts w:hint="eastAsia"/>
          <w:sz w:val="18"/>
          <w:szCs w:val="18"/>
        </w:rPr>
      </w:pPr>
      <w:r>
        <w:rPr>
          <w:rFonts w:hint="eastAsia"/>
          <w:sz w:val="18"/>
          <w:szCs w:val="18"/>
        </w:rPr>
        <w:t>（4）答辩准备</w:t>
      </w:r>
    </w:p>
    <w:p w14:paraId="188B310B">
      <w:pPr>
        <w:pStyle w:val="13"/>
        <w:widowControl/>
        <w:spacing w:beforeAutospacing="0" w:after="120" w:afterAutospacing="0" w:line="21" w:lineRule="atLeast"/>
        <w:ind w:left="0" w:right="0" w:firstLine="0"/>
        <w:jc w:val="left"/>
        <w:rPr>
          <w:rFonts w:hint="eastAsia"/>
          <w:sz w:val="18"/>
          <w:szCs w:val="18"/>
        </w:rPr>
      </w:pPr>
      <w:r>
        <w:rPr>
          <w:rFonts w:hint="eastAsia"/>
          <w:sz w:val="18"/>
          <w:szCs w:val="18"/>
        </w:rPr>
        <w:t>提前两周启动答辩演练，按“每人限时陈述→模拟评委提问→录像回看优化”流程进行至少三轮完整彩排。答辩材料（PPT、演示视频、小程序Demo）提前一周完成定稿，预留充足时间优化细节。</w:t>
      </w:r>
    </w:p>
    <w:p w14:paraId="6A537696">
      <w:pPr>
        <w:pStyle w:val="3"/>
        <w:bidi w:val="0"/>
        <w:rPr>
          <w:rFonts w:hint="eastAsia"/>
        </w:rPr>
      </w:pPr>
      <w:bookmarkStart w:id="192" w:name="_Toc1592"/>
      <w:r>
        <w:rPr>
          <w:rFonts w:hint="eastAsia"/>
        </w:rPr>
        <w:t>11.6 匿名处理说明</w:t>
      </w:r>
      <w:bookmarkEnd w:id="192"/>
    </w:p>
    <w:p w14:paraId="057133AF">
      <w:pPr>
        <w:pStyle w:val="13"/>
        <w:widowControl/>
        <w:spacing w:beforeAutospacing="0" w:after="120" w:afterAutospacing="0" w:line="21" w:lineRule="atLeast"/>
        <w:ind w:left="0" w:right="0" w:firstLine="0"/>
        <w:jc w:val="left"/>
        <w:rPr>
          <w:rFonts w:hint="eastAsia" w:ascii="宋体" w:hAnsi="宋体" w:eastAsia="宋体" w:cs="宋体"/>
          <w:i w:val="0"/>
          <w:caps w:val="0"/>
          <w:color w:val="000000"/>
          <w:spacing w:val="0"/>
          <w:sz w:val="18"/>
          <w:szCs w:val="18"/>
        </w:rPr>
      </w:pPr>
      <w:r>
        <w:rPr>
          <w:rFonts w:hint="eastAsia"/>
          <w:sz w:val="18"/>
          <w:szCs w:val="18"/>
        </w:rPr>
        <w:t>根据“青创北京”2026年“挑战杯”竞赛盲审要求，作品正文及附件中不得出现学校名称、学校标志性标识、指导教师姓名及团队成员姓名。本章已在上述信息处作匿名标记，团队成员的姓名、专业班级及所属学院名称均不在作品正文中显示。作品提交前将由专人逐页逐项核查，确保完全符合匿名评审要求。</w:t>
      </w:r>
    </w:p>
    <w:p w14:paraId="6B1CAB3C">
      <w:pPr>
        <w:widowControl/>
        <w:jc w:val="left"/>
      </w:pPr>
    </w:p>
    <w:p w14:paraId="6B082D84">
      <w:pPr>
        <w:rPr>
          <w:rFonts w:hint="eastAsia"/>
          <w:lang w:eastAsia="zh-CN"/>
        </w:rPr>
      </w:pPr>
    </w:p>
    <w:p w14:paraId="61A97324">
      <w:pPr>
        <w:rPr>
          <w:rFonts w:hint="eastAsia" w:ascii="宋体" w:hAnsi="宋体" w:eastAsia="宋体" w:cs="宋体"/>
          <w:sz w:val="24"/>
          <w:szCs w:val="24"/>
        </w:rPr>
      </w:pPr>
    </w:p>
    <w:sectPr>
      <w:headerReference r:id="rId5" w:type="default"/>
      <w:footerReference r:id="rId6" w:type="default"/>
      <w:pgSz w:w="11906" w:h="16838"/>
      <w:pgMar w:top="1440" w:right="1800" w:bottom="1440" w:left="180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标题 CS)">
    <w:altName w:val="宋体"/>
    <w:panose1 w:val="00000000000000000000"/>
    <w:charset w:val="86"/>
    <w:family w:val="roman"/>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Segoe UI Symbol">
    <w:panose1 w:val="020B0502040204020203"/>
    <w:charset w:val="00"/>
    <w:family w:val="swiss"/>
    <w:pitch w:val="default"/>
    <w:sig w:usb0="800001E3" w:usb1="1200FFEF" w:usb2="00040000" w:usb3="04000000" w:csb0="00000001" w:csb1="4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780335">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5B8820">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p w14:paraId="165B8820">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5293AE">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7C60A0"/>
    <w:multiLevelType w:val="singleLevel"/>
    <w:tmpl w:val="9D7C60A0"/>
    <w:lvl w:ilvl="0" w:tentative="0">
      <w:start w:val="2"/>
      <w:numFmt w:val="decimal"/>
      <w:suff w:val="nothing"/>
      <w:lvlText w:val="（%1）"/>
      <w:lvlJc w:val="left"/>
    </w:lvl>
  </w:abstractNum>
  <w:abstractNum w:abstractNumId="1">
    <w:nsid w:val="C24D0F39"/>
    <w:multiLevelType w:val="singleLevel"/>
    <w:tmpl w:val="C24D0F39"/>
    <w:lvl w:ilvl="0" w:tentative="0">
      <w:start w:val="2"/>
      <w:numFmt w:val="decimal"/>
      <w:suff w:val="nothing"/>
      <w:lvlText w:val="（%1）"/>
      <w:lvlJc w:val="left"/>
    </w:lvl>
  </w:abstractNum>
  <w:abstractNum w:abstractNumId="2">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3">
    <w:nsid w:val="0A6D1DB0"/>
    <w:multiLevelType w:val="multilevel"/>
    <w:tmpl w:val="0A6D1DB0"/>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
    <w:nsid w:val="0F945BBD"/>
    <w:multiLevelType w:val="multilevel"/>
    <w:tmpl w:val="0F945BBD"/>
    <w:lvl w:ilvl="0" w:tentative="0">
      <w:start w:val="2"/>
      <w:numFmt w:val="decimal"/>
      <w:suff w:val="nothing"/>
      <w:lvlText w:val="（%1）"/>
      <w:lvlJc w:val="left"/>
      <w:pPr>
        <w:ind w:left="12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4DD87A30"/>
    <w:multiLevelType w:val="singleLevel"/>
    <w:tmpl w:val="4DD87A30"/>
    <w:lvl w:ilvl="0" w:tentative="0">
      <w:start w:val="4"/>
      <w:numFmt w:val="decimal"/>
      <w:suff w:val="nothing"/>
      <w:lvlText w:val="（%1）"/>
      <w:lvlJc w:val="left"/>
    </w:lvl>
  </w:abstractNum>
  <w:abstractNum w:abstractNumId="6">
    <w:nsid w:val="4F4D7D7D"/>
    <w:multiLevelType w:val="multilevel"/>
    <w:tmpl w:val="4F4D7D7D"/>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
    <w:nsid w:val="57604F98"/>
    <w:multiLevelType w:val="multilevel"/>
    <w:tmpl w:val="57604F98"/>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
    <w:nsid w:val="65C632EB"/>
    <w:multiLevelType w:val="multilevel"/>
    <w:tmpl w:val="65C632EB"/>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
    <w:nsid w:val="6B7C428C"/>
    <w:multiLevelType w:val="multilevel"/>
    <w:tmpl w:val="6B7C428C"/>
    <w:lvl w:ilvl="0" w:tentative="0">
      <w:start w:val="1"/>
      <w:numFmt w:val="japaneseCounting"/>
      <w:lvlText w:val="%1、"/>
      <w:lvlJc w:val="left"/>
      <w:pPr>
        <w:ind w:left="480" w:hanging="480"/>
      </w:pPr>
      <w:rPr>
        <w:rFonts w:hint="default" w:ascii="Arial" w:hAnsi="Arial" w:eastAsia="等线" w:cs="Arial"/>
        <w:b/>
        <w:sz w:val="24"/>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9"/>
  </w:num>
  <w:num w:numId="2">
    <w:abstractNumId w:val="7"/>
  </w:num>
  <w:num w:numId="3">
    <w:abstractNumId w:val="8"/>
  </w:num>
  <w:num w:numId="4">
    <w:abstractNumId w:val="6"/>
  </w:num>
  <w:num w:numId="5">
    <w:abstractNumId w:val="1"/>
  </w:num>
  <w:num w:numId="6">
    <w:abstractNumId w:val="3"/>
  </w:num>
  <w:num w:numId="7">
    <w:abstractNumId w:val="2"/>
  </w:num>
  <w:num w:numId="8">
    <w:abstractNumId w:val="0"/>
  </w:num>
  <w:num w:numId="9">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804F3D"/>
    <w:rsid w:val="031B6986"/>
    <w:rsid w:val="2E804F3D"/>
    <w:rsid w:val="32713DBA"/>
    <w:rsid w:val="397F7AFE"/>
    <w:rsid w:val="48CA5331"/>
    <w:rsid w:val="71606B8F"/>
    <w:rsid w:val="7DE976D5"/>
    <w:rsid w:val="7E8B0B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35"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9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9"/>
    <w:pPr>
      <w:keepNext/>
      <w:keepLines/>
      <w:widowControl/>
      <w:spacing w:after="0" w:line="360" w:lineRule="auto"/>
      <w:outlineLvl w:val="1"/>
    </w:pPr>
    <w:rPr>
      <w:rFonts w:ascii="Arial" w:hAnsi="Arial" w:eastAsia="黑体" w:cs="Times New Roman (标题 CS)"/>
      <w:kern w:val="0"/>
      <w:sz w:val="28"/>
      <w:szCs w:val="32"/>
      <w:lang w:eastAsia="en-US"/>
      <w14:ligatures w14:val="none"/>
    </w:rPr>
  </w:style>
  <w:style w:type="paragraph" w:styleId="4">
    <w:name w:val="heading 3"/>
    <w:basedOn w:val="1"/>
    <w:next w:val="1"/>
    <w:link w:val="30"/>
    <w:unhideWhenUsed/>
    <w:qFormat/>
    <w:uiPriority w:val="9"/>
    <w:pPr>
      <w:keepNext/>
      <w:keepLines/>
      <w:widowControl/>
      <w:spacing w:after="0" w:line="360" w:lineRule="auto"/>
      <w:outlineLvl w:val="2"/>
    </w:pPr>
    <w:rPr>
      <w:rFonts w:ascii="Arial" w:hAnsi="Arial" w:eastAsia="黑体" w:cs="Times New Roman (标题 CS)"/>
      <w:kern w:val="0"/>
      <w:sz w:val="26"/>
      <w:szCs w:val="28"/>
      <w:lang w:eastAsia="en-US"/>
      <w14:ligatures w14:val="none"/>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6">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6">
    <w:name w:val="caption"/>
    <w:basedOn w:val="1"/>
    <w:next w:val="1"/>
    <w:semiHidden/>
    <w:unhideWhenUsed/>
    <w:qFormat/>
    <w:uiPriority w:val="35"/>
    <w:rPr>
      <w:rFonts w:eastAsia="黑体" w:asciiTheme="majorHAnsi" w:hAnsiTheme="majorHAnsi" w:cstheme="majorBidi"/>
      <w:sz w:val="20"/>
      <w:szCs w:val="20"/>
    </w:rPr>
  </w:style>
  <w:style w:type="paragraph" w:styleId="7">
    <w:name w:val="Body Text"/>
    <w:basedOn w:val="1"/>
    <w:unhideWhenUsed/>
    <w:qFormat/>
    <w:uiPriority w:val="99"/>
    <w:pPr>
      <w:spacing w:after="120"/>
    </w:pPr>
  </w:style>
  <w:style w:type="paragraph" w:styleId="8">
    <w:name w:val="toc 3"/>
    <w:basedOn w:val="1"/>
    <w:next w:val="1"/>
    <w:uiPriority w:val="0"/>
    <w:pPr>
      <w:ind w:left="840" w:leftChars="400"/>
    </w:pPr>
  </w:style>
  <w:style w:type="paragraph" w:styleId="9">
    <w:name w:val="footer"/>
    <w:basedOn w:val="1"/>
    <w:uiPriority w:val="0"/>
    <w:pPr>
      <w:tabs>
        <w:tab w:val="center" w:pos="4153"/>
        <w:tab w:val="right" w:pos="8306"/>
      </w:tabs>
      <w:snapToGrid w:val="0"/>
      <w:jc w:val="left"/>
    </w:pPr>
    <w:rPr>
      <w:sz w:val="18"/>
    </w:rPr>
  </w:style>
  <w:style w:type="paragraph" w:styleId="10">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toc 1"/>
    <w:basedOn w:val="1"/>
    <w:next w:val="1"/>
    <w:uiPriority w:val="0"/>
  </w:style>
  <w:style w:type="paragraph" w:styleId="12">
    <w:name w:val="toc 2"/>
    <w:basedOn w:val="1"/>
    <w:next w:val="1"/>
    <w:uiPriority w:val="0"/>
    <w:pPr>
      <w:ind w:left="420" w:leftChars="200"/>
    </w:pPr>
  </w:style>
  <w:style w:type="paragraph" w:styleId="13">
    <w:name w:val="Normal (Web)"/>
    <w:basedOn w:val="1"/>
    <w:semiHidden/>
    <w:unhideWhenUsed/>
    <w:qFormat/>
    <w:uiPriority w:val="99"/>
    <w:pPr>
      <w:widowControl/>
      <w:spacing w:before="100" w:beforeAutospacing="1" w:after="100" w:afterAutospacing="1" w:line="273" w:lineRule="auto"/>
    </w:pPr>
    <w:rPr>
      <w:rFonts w:ascii="Cambria" w:hAnsi="Cambria" w:eastAsia="MS Mincho" w:cs="Times New Roman"/>
      <w:kern w:val="0"/>
      <w:sz w:val="24"/>
      <w14:ligatures w14:val="none"/>
    </w:rPr>
  </w:style>
  <w:style w:type="table" w:styleId="15">
    <w:name w:val="Table Grid"/>
    <w:basedOn w:val="14"/>
    <w:qFormat/>
    <w:uiPriority w:val="9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bCs/>
    </w:rPr>
  </w:style>
  <w:style w:type="paragraph" w:customStyle="1" w:styleId="18">
    <w:name w:val="Compact"/>
    <w:basedOn w:val="7"/>
    <w:qFormat/>
    <w:uiPriority w:val="0"/>
    <w:pPr>
      <w:widowControl/>
      <w:spacing w:before="36" w:after="36" w:line="360" w:lineRule="auto"/>
    </w:pPr>
    <w:rPr>
      <w:rFonts w:ascii="Arial" w:hAnsi="Arial" w:eastAsia="宋体" w:cs="Times New Roman (正文 CS 字体)"/>
      <w:kern w:val="0"/>
      <w:sz w:val="24"/>
      <w:lang w:eastAsia="en-US"/>
      <w14:ligatures w14:val="none"/>
    </w:rPr>
  </w:style>
  <w:style w:type="paragraph" w:customStyle="1" w:styleId="19">
    <w:name w:val="Image Caption"/>
    <w:basedOn w:val="6"/>
    <w:qFormat/>
    <w:uiPriority w:val="0"/>
    <w:pPr>
      <w:widowControl/>
      <w:spacing w:after="0" w:line="360" w:lineRule="auto"/>
      <w:jc w:val="center"/>
    </w:pPr>
    <w:rPr>
      <w:rFonts w:ascii="Arial" w:hAnsi="Arial" w:eastAsia="宋体" w:cs="Times New Roman (正文 CS 字体)"/>
      <w:kern w:val="0"/>
      <w:szCs w:val="24"/>
      <w:lang w:eastAsia="en-US"/>
      <w14:ligatures w14:val="none"/>
    </w:rPr>
  </w:style>
  <w:style w:type="paragraph" w:styleId="20">
    <w:name w:val="List Paragraph"/>
    <w:basedOn w:val="1"/>
    <w:qFormat/>
    <w:uiPriority w:val="0"/>
    <w:pPr>
      <w:ind w:firstLine="420" w:firstLineChars="200"/>
    </w:pPr>
  </w:style>
  <w:style w:type="paragraph" w:customStyle="1" w:styleId="21">
    <w:name w:val="First Paragraph"/>
    <w:basedOn w:val="7"/>
    <w:next w:val="7"/>
    <w:qFormat/>
    <w:uiPriority w:val="0"/>
    <w:pPr>
      <w:widowControl/>
      <w:spacing w:after="0" w:line="360" w:lineRule="auto"/>
    </w:pPr>
    <w:rPr>
      <w:rFonts w:ascii="Arial" w:hAnsi="Arial" w:eastAsia="宋体" w:cs="Times New Roman (正文 CS 字体)"/>
      <w:kern w:val="0"/>
      <w:sz w:val="24"/>
      <w:lang w:eastAsia="en-US"/>
      <w14:ligatures w14:val="none"/>
    </w:rPr>
  </w:style>
  <w:style w:type="table" w:customStyle="1" w:styleId="22">
    <w:name w:val="OP_ExcelTableContent-1091"/>
    <w:basedOn w:val="14"/>
    <w:qFormat/>
    <w:uiPriority w:val="0"/>
    <w:rPr>
      <w:color w:val="464F41"/>
    </w:rPr>
    <w:tblPr>
      <w:tblBorders>
        <w:top w:val="single" w:color="464F41" w:sz="4" w:space="0"/>
        <w:bottom w:val="single" w:color="464F41" w:sz="4" w:space="0"/>
        <w:insideH w:val="dotted" w:color="464F41" w:sz="4" w:space="0"/>
      </w:tblBorders>
    </w:tblPr>
    <w:tcPr>
      <w:shd w:val="clear" w:color="auto" w:fill="auto"/>
    </w:tcPr>
    <w:tblStylePr w:type="firstRow">
      <w:rPr>
        <w:b/>
      </w:rPr>
      <w:tcPr>
        <w:tcBorders>
          <w:top w:val="single" w:color="464F41" w:sz="4" w:space="0"/>
          <w:left w:val="nil"/>
          <w:bottom w:val="single" w:color="464F41" w:sz="4" w:space="0"/>
          <w:insideH w:val="dotted" w:sz="4" w:space="0"/>
          <w:insideV w:val="nil"/>
        </w:tcBorders>
        <w:shd w:val="clear" w:color="auto" w:fill="FFFFFF"/>
      </w:tcPr>
    </w:tblStylePr>
  </w:style>
  <w:style w:type="table" w:customStyle="1" w:styleId="23">
    <w:name w:val="OP_ExcelTableContent-1084"/>
    <w:basedOn w:val="14"/>
    <w:qFormat/>
    <w:uiPriority w:val="0"/>
    <w:pPr>
      <w:spacing w:after="200" w:line="240" w:lineRule="auto"/>
    </w:pPr>
    <w:rPr>
      <w:color w:val="000000"/>
      <w:kern w:val="0"/>
      <w:sz w:val="24"/>
      <w:lang w:eastAsia="en-US"/>
      <w14:ligatures w14:val="none"/>
    </w:rPr>
    <w:tblPr>
      <w:tblBorders>
        <w:top w:val="single" w:color="F9CF93" w:sz="4" w:space="0"/>
        <w:bottom w:val="single" w:color="F9CF93" w:sz="4" w:space="0"/>
        <w:insideH w:val="dotted" w:color="DDDDDD" w:sz="4" w:space="0"/>
      </w:tblBorders>
    </w:tblPr>
    <w:tcPr>
      <w:shd w:val="clear" w:color="auto" w:fill="auto"/>
    </w:tcPr>
    <w:tblStylePr w:type="firstRow">
      <w:rPr>
        <w:b/>
      </w:rPr>
      <w:tcPr>
        <w:tcBorders>
          <w:top w:val="single" w:color="F9CF93" w:sz="4" w:space="0"/>
          <w:left w:val="nil"/>
          <w:bottom w:val="single" w:color="F9CF93" w:sz="4" w:space="0"/>
          <w:insideH w:val="dotted" w:sz="4" w:space="0"/>
          <w:insideV w:val="nil"/>
        </w:tcBorders>
        <w:shd w:val="clear" w:color="auto" w:fill="F9CF93"/>
      </w:tcPr>
    </w:tblStylePr>
    <w:tblStylePr w:type="firstCol">
      <w:rPr>
        <w:b/>
      </w:rPr>
      <w:tcPr>
        <w:tcBorders>
          <w:top w:val="single" w:color="F9CF93" w:sz="4" w:space="0"/>
          <w:left w:val="nil"/>
          <w:bottom w:val="single" w:color="F9CF93" w:sz="4" w:space="0"/>
          <w:insideH w:val="dotted" w:sz="4" w:space="0"/>
          <w:insideV w:val="nil"/>
        </w:tcBorders>
        <w:shd w:val="clear" w:color="auto" w:fill="F9E4C8"/>
      </w:tcPr>
    </w:tblStylePr>
  </w:style>
  <w:style w:type="table" w:customStyle="1" w:styleId="24">
    <w:name w:val="List Table 6 Colorful"/>
    <w:basedOn w:val="14"/>
    <w:qFormat/>
    <w:uiPriority w:val="51"/>
    <w:rPr>
      <w:color w:val="000000" w:themeColor="text1"/>
      <w14:textFill>
        <w14:solidFill>
          <w14:schemeClr w14:val="tx1"/>
        </w14:solidFill>
      </w14:textFill>
    </w:rPr>
    <w:tblPr>
      <w:tblBorders>
        <w:top w:val="single" w:color="000000" w:themeColor="text1" w:sz="4" w:space="0"/>
        <w:bottom w:val="single" w:color="000000" w:themeColor="text1" w:sz="4" w:space="0"/>
      </w:tblBorders>
    </w:tblPr>
    <w:tblStylePr w:type="firstRow">
      <w:rPr>
        <w:b/>
        <w:bCs/>
      </w:rPr>
      <w:tcPr>
        <w:tcBorders>
          <w:bottom w:val="single" w:color="000000" w:themeColor="text1" w:sz="4" w:space="0"/>
        </w:tcBorders>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5">
    <w:name w:val="网格型浅色1"/>
    <w:basedOn w:val="14"/>
    <w:qFormat/>
    <w:uiPriority w:val="0"/>
    <w:rPr>
      <w:rFonts w:ascii="Times New Roman" w:hAnsi="Times New Roman" w:eastAsia="Times New Roman" w:cs="Times New Roman"/>
      <w:kern w:val="0"/>
      <w:sz w:val="20"/>
      <w:szCs w:val="20"/>
      <w14:ligatures w14:val="none"/>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
  </w:style>
  <w:style w:type="table" w:customStyle="1" w:styleId="26">
    <w:name w:val="无格式表格 11"/>
    <w:basedOn w:val="14"/>
    <w:qFormat/>
    <w:uiPriority w:val="0"/>
    <w:rPr>
      <w:rFonts w:ascii="Times New Roman" w:hAnsi="Times New Roman" w:eastAsia="Times New Roman" w:cs="Times New Roman"/>
      <w:kern w:val="0"/>
      <w:sz w:val="20"/>
      <w:szCs w:val="20"/>
      <w14:ligatures w14:val="none"/>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
    <w:tblStylePr w:type="firstRow">
      <w:rPr>
        <w:rFonts w:hint="default" w:ascii="Times New Roman" w:hAnsi="Times New Roman" w:cs="Times New Roman"/>
        <w:b/>
        <w:bCs/>
      </w:rPr>
    </w:tblStylePr>
    <w:tblStylePr w:type="lastRow">
      <w:rPr>
        <w:rFonts w:hint="default" w:ascii="Times New Roman" w:hAnsi="Times New Roman" w:cs="Times New Roman"/>
        <w:b/>
        <w:bCs/>
      </w:rPr>
      <w:tcPr>
        <w:tcBorders>
          <w:top w:val="double" w:color="BEBEBE" w:sz="2" w:space="0"/>
        </w:tcBorders>
      </w:tcPr>
    </w:tblStylePr>
    <w:tblStylePr w:type="firstCol">
      <w:rPr>
        <w:rFonts w:hint="default" w:ascii="Times New Roman" w:hAnsi="Times New Roman" w:cs="Times New Roman"/>
        <w:b/>
        <w:bCs/>
      </w:rPr>
    </w:tblStylePr>
    <w:tblStylePr w:type="lastCol">
      <w:rPr>
        <w:rFonts w:hint="default" w:ascii="Times New Roman" w:hAnsi="Times New Roman" w:cs="Times New Roman"/>
        <w:b/>
        <w:bCs/>
      </w:rPr>
    </w:tblStylePr>
    <w:tblStylePr w:type="band1Vert">
      <w:tcPr>
        <w:shd w:val="clear" w:color="auto" w:fill="F1F1F1"/>
      </w:tcPr>
    </w:tblStylePr>
    <w:tblStylePr w:type="band1Horz">
      <w:tcPr>
        <w:shd w:val="clear" w:color="auto" w:fill="F1F1F1"/>
      </w:tcPr>
    </w:tblStylePr>
  </w:style>
  <w:style w:type="table" w:customStyle="1" w:styleId="27">
    <w:name w:val="Grid Table Light"/>
    <w:basedOn w:val="14"/>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28">
    <w:name w:val="网格表 1 浅色 - 着色 31"/>
    <w:basedOn w:val="14"/>
    <w:qFormat/>
    <w:uiPriority w:val="0"/>
    <w:rPr>
      <w:rFonts w:ascii="Times New Roman" w:hAnsi="Times New Roman" w:eastAsia="Times New Roman" w:cs="Times New Roman"/>
      <w:kern w:val="0"/>
      <w:sz w:val="20"/>
      <w:szCs w:val="20"/>
      <w14:ligatures w14:val="none"/>
    </w:rPr>
    <w:tblPr>
      <w:tblBorders>
        <w:top w:val="single" w:color="DADADA" w:sz="4" w:space="0"/>
        <w:left w:val="single" w:color="DADADA" w:sz="4" w:space="0"/>
        <w:bottom w:val="single" w:color="DADADA" w:sz="4" w:space="0"/>
        <w:right w:val="single" w:color="DADADA" w:sz="4" w:space="0"/>
        <w:insideH w:val="single" w:color="DADADA" w:sz="4" w:space="0"/>
        <w:insideV w:val="single" w:color="DADADA" w:sz="4" w:space="0"/>
      </w:tblBorders>
    </w:tblPr>
    <w:tblStylePr w:type="firstRow">
      <w:rPr>
        <w:rFonts w:hint="default" w:ascii="Times New Roman" w:hAnsi="Times New Roman" w:cs="Times New Roman"/>
        <w:b/>
        <w:bCs/>
      </w:rPr>
      <w:tcPr>
        <w:tcBorders>
          <w:bottom w:val="single" w:color="C8C8C8" w:sz="12" w:space="0"/>
        </w:tcBorders>
      </w:tcPr>
    </w:tblStylePr>
    <w:tblStylePr w:type="lastRow">
      <w:rPr>
        <w:rFonts w:hint="default" w:ascii="Times New Roman" w:hAnsi="Times New Roman" w:cs="Times New Roman"/>
        <w:b/>
        <w:bCs/>
      </w:rPr>
      <w:tcPr>
        <w:tcBorders>
          <w:top w:val="double" w:color="C8C8C8" w:sz="2" w:space="0"/>
        </w:tcBorders>
      </w:tcPr>
    </w:tblStylePr>
    <w:tblStylePr w:type="firstCol">
      <w:rPr>
        <w:rFonts w:hint="default" w:ascii="Times New Roman" w:hAnsi="Times New Roman" w:cs="Times New Roman"/>
        <w:b/>
        <w:bCs/>
      </w:rPr>
    </w:tblStylePr>
    <w:tblStylePr w:type="lastCol">
      <w:rPr>
        <w:rFonts w:hint="default" w:ascii="Times New Roman" w:hAnsi="Times New Roman" w:cs="Times New Roman"/>
        <w:b/>
        <w:bCs/>
      </w:rPr>
    </w:tblStylePr>
  </w:style>
  <w:style w:type="table" w:customStyle="1" w:styleId="29">
    <w:name w:val="样式1"/>
    <w:basedOn w:val="14"/>
    <w:qFormat/>
    <w:uiPriority w:val="99"/>
    <w:pPr>
      <w:jc w:val="center"/>
    </w:pPr>
    <w:tblPr>
      <w:tblBorders>
        <w:top w:val="single" w:color="auto" w:sz="18" w:space="0"/>
        <w:bottom w:val="single" w:color="auto" w:sz="18" w:space="0"/>
      </w:tblBorders>
    </w:tblPr>
    <w:tcPr>
      <w:vAlign w:val="center"/>
    </w:tcPr>
  </w:style>
  <w:style w:type="character" w:customStyle="1" w:styleId="30">
    <w:name w:val="标题 3 Char"/>
    <w:link w:val="4"/>
    <w:uiPriority w:val="9"/>
    <w:rPr>
      <w:rFonts w:ascii="Arial" w:hAnsi="Arial" w:eastAsia="黑体" w:cs="Times New Roman (标题 CS)"/>
      <w:kern w:val="0"/>
      <w:sz w:val="26"/>
      <w:szCs w:val="28"/>
      <w:lang w:eastAsia="en-US"/>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1" Type="http://schemas.openxmlformats.org/officeDocument/2006/relationships/fontTable" Target="fontTable.xml"/><Relationship Id="rId60" Type="http://schemas.openxmlformats.org/officeDocument/2006/relationships/numbering" Target="numbering.xml"/><Relationship Id="rId6" Type="http://schemas.openxmlformats.org/officeDocument/2006/relationships/footer" Target="footer1.xml"/><Relationship Id="rId59" Type="http://schemas.openxmlformats.org/officeDocument/2006/relationships/customXml" Target="../customXml/item1.xml"/><Relationship Id="rId58" Type="http://schemas.openxmlformats.org/officeDocument/2006/relationships/image" Target="media/image51.jpeg"/><Relationship Id="rId57" Type="http://schemas.openxmlformats.org/officeDocument/2006/relationships/image" Target="media/image50.png"/><Relationship Id="rId56" Type="http://schemas.openxmlformats.org/officeDocument/2006/relationships/image" Target="media/image49.jpeg"/><Relationship Id="rId55" Type="http://schemas.openxmlformats.org/officeDocument/2006/relationships/image" Target="media/image48.jpeg"/><Relationship Id="rId54" Type="http://schemas.openxmlformats.org/officeDocument/2006/relationships/image" Target="media/image47.jpeg"/><Relationship Id="rId53" Type="http://schemas.openxmlformats.org/officeDocument/2006/relationships/image" Target="media/image46.jpeg"/><Relationship Id="rId52" Type="http://schemas.openxmlformats.org/officeDocument/2006/relationships/image" Target="media/image45.jpe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jpeg"/><Relationship Id="rId48" Type="http://schemas.openxmlformats.org/officeDocument/2006/relationships/image" Target="media/image41.jpe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jpeg"/><Relationship Id="rId42" Type="http://schemas.openxmlformats.org/officeDocument/2006/relationships/image" Target="media/image35.jpeg"/><Relationship Id="rId41" Type="http://schemas.openxmlformats.org/officeDocument/2006/relationships/image" Target="media/image34.jpeg"/><Relationship Id="rId40" Type="http://schemas.openxmlformats.org/officeDocument/2006/relationships/image" Target="media/image33.jpeg"/><Relationship Id="rId4" Type="http://schemas.openxmlformats.org/officeDocument/2006/relationships/endnotes" Target="endnotes.xml"/><Relationship Id="rId39" Type="http://schemas.openxmlformats.org/officeDocument/2006/relationships/image" Target="media/image32.jpeg"/><Relationship Id="rId38" Type="http://schemas.openxmlformats.org/officeDocument/2006/relationships/image" Target="media/image31.jpeg"/><Relationship Id="rId37" Type="http://schemas.openxmlformats.org/officeDocument/2006/relationships/image" Target="media/image30.jpeg"/><Relationship Id="rId36" Type="http://schemas.openxmlformats.org/officeDocument/2006/relationships/image" Target="media/image29.jpeg"/><Relationship Id="rId35" Type="http://schemas.openxmlformats.org/officeDocument/2006/relationships/image" Target="media/image28.jpeg"/><Relationship Id="rId34" Type="http://schemas.openxmlformats.org/officeDocument/2006/relationships/image" Target="media/image27.jpeg"/><Relationship Id="rId33" Type="http://schemas.openxmlformats.org/officeDocument/2006/relationships/image" Target="media/image26.jpeg"/><Relationship Id="rId32" Type="http://schemas.openxmlformats.org/officeDocument/2006/relationships/image" Target="media/image25.jpeg"/><Relationship Id="rId31" Type="http://schemas.openxmlformats.org/officeDocument/2006/relationships/image" Target="media/image24.jpeg"/><Relationship Id="rId30" Type="http://schemas.openxmlformats.org/officeDocument/2006/relationships/image" Target="media/image23.jpeg"/><Relationship Id="rId3" Type="http://schemas.openxmlformats.org/officeDocument/2006/relationships/footnotes" Target="footnotes.xml"/><Relationship Id="rId29" Type="http://schemas.openxmlformats.org/officeDocument/2006/relationships/image" Target="media/image22.jpe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jpeg"/><Relationship Id="rId23" Type="http://schemas.openxmlformats.org/officeDocument/2006/relationships/image" Target="media/image16.png"/><Relationship Id="rId22" Type="http://schemas.openxmlformats.org/officeDocument/2006/relationships/image" Target="media/image15.jpeg"/><Relationship Id="rId21" Type="http://schemas.openxmlformats.org/officeDocument/2006/relationships/image" Target="media/image14.pn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130</Pages>
  <Words>8717</Words>
  <Characters>9531</Characters>
  <Lines>0</Lines>
  <Paragraphs>0</Paragraphs>
  <TotalTime>20</TotalTime>
  <ScaleCrop>false</ScaleCrop>
  <LinksUpToDate>false</LinksUpToDate>
  <CharactersWithSpaces>10173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2026-04-14T04:06:00Z</dcterms:created>
  <dc:creator>WPS_1760801310</dc:creator>
  <cp:lastModifiedBy>Yu</cp:lastModifiedBy>
  <dcterms:modified xsi:type="dcterms:W3CDTF">2026-04-16T15:51:07Z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70431C639DF54B59819B3A1CCA546858_13</vt:lpwstr>
  </property>
  <property fmtid="{D5CDD505-2E9C-101B-9397-08002B2CF9AE}" pid="4" name="KSOTemplateDocerSaveRecord">
    <vt:lpwstr>eyJoZGlkIjoiNTU0ZmIwYTQ3NzlmZGUxZmU3Zjk0M2IyZTNmM2IxNjAiLCJ1c2VySWQiOiIxMTY1NzgxMzE0In0=</vt:lpwstr>
  </property>
</Properties>
</file>