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EF69" w14:textId="682786F5" w:rsidR="003A678A" w:rsidRPr="00E508F9" w:rsidRDefault="00CC3BF8" w:rsidP="00CC3BF8">
      <w:pPr>
        <w:jc w:val="center"/>
        <w:rPr>
          <w:b/>
          <w:bCs/>
        </w:rPr>
      </w:pPr>
      <w:r w:rsidRPr="00E508F9">
        <w:rPr>
          <w:b/>
          <w:bCs/>
        </w:rPr>
        <w:t>g-BKMR: Causal Inference for Health Effects of Time-varying Correlated Environmental Mixtures</w:t>
      </w:r>
    </w:p>
    <w:p w14:paraId="493EBC94" w14:textId="0EF881C4" w:rsidR="00CC3BF8" w:rsidRPr="00E508F9" w:rsidRDefault="00E508F9" w:rsidP="00CC3BF8">
      <w:pPr>
        <w:jc w:val="center"/>
        <w:rPr>
          <w:b/>
          <w:bCs/>
          <w:lang w:val="es-ES_tradnl"/>
        </w:rPr>
      </w:pPr>
      <w:r w:rsidRPr="00E508F9">
        <w:rPr>
          <w:rFonts w:cs="Times New Roman"/>
          <w:kern w:val="0"/>
          <w:lang w:val="es-ES_tradnl"/>
        </w:rPr>
        <w:t>Zilan Chai,</w:t>
      </w:r>
      <w:r w:rsidRPr="00E508F9">
        <w:rPr>
          <w:rFonts w:cs="Times New Roman"/>
          <w:kern w:val="0"/>
          <w:sz w:val="18"/>
          <w:szCs w:val="18"/>
          <w:vertAlign w:val="superscript"/>
          <w:lang w:val="es-ES_tradnl"/>
        </w:rPr>
        <w:t>1,2</w:t>
      </w:r>
      <w:r w:rsidRPr="00E508F9">
        <w:rPr>
          <w:rFonts w:cs="Times New Roman"/>
          <w:kern w:val="0"/>
          <w:lang w:val="es-ES_tradnl"/>
        </w:rPr>
        <w:t xml:space="preserve"> Arce Domingo-Relloso</w:t>
      </w:r>
      <w:r>
        <w:rPr>
          <w:rFonts w:cs="Times New Roman"/>
          <w:kern w:val="0"/>
          <w:lang w:val="es-ES_tradnl"/>
        </w:rPr>
        <w:t>,</w:t>
      </w:r>
      <w:r>
        <w:rPr>
          <w:rFonts w:cs="Times New Roman"/>
          <w:kern w:val="0"/>
          <w:sz w:val="18"/>
          <w:szCs w:val="18"/>
          <w:vertAlign w:val="superscript"/>
          <w:lang w:val="es-ES_tradnl"/>
        </w:rPr>
        <w:t xml:space="preserve">1 </w:t>
      </w:r>
      <w:r w:rsidR="00D423AB">
        <w:rPr>
          <w:rFonts w:cs="Times New Roman"/>
          <w:kern w:val="0"/>
          <w:lang w:val="es-ES_tradnl"/>
        </w:rPr>
        <w:t>Yanran Li,</w:t>
      </w:r>
      <w:r w:rsidR="00866E2A" w:rsidRPr="00866E2A">
        <w:rPr>
          <w:rFonts w:cs="Times New Roman"/>
          <w:kern w:val="0"/>
          <w:vertAlign w:val="superscript"/>
          <w:lang w:val="es-ES_tradnl"/>
        </w:rPr>
        <w:t>1</w:t>
      </w:r>
      <w:r w:rsidR="00D423AB">
        <w:rPr>
          <w:rFonts w:cs="Times New Roman"/>
          <w:kern w:val="0"/>
          <w:lang w:val="es-ES_tradnl"/>
        </w:rPr>
        <w:t xml:space="preserve"> A</w:t>
      </w:r>
      <w:r w:rsidRPr="00E508F9">
        <w:rPr>
          <w:rFonts w:cs="Times New Roman"/>
          <w:kern w:val="0"/>
          <w:lang w:val="es-ES_tradnl"/>
        </w:rPr>
        <w:t>na Navas-Acien,</w:t>
      </w:r>
      <w:r w:rsidRPr="00E508F9">
        <w:rPr>
          <w:rFonts w:cs="Times New Roman"/>
          <w:kern w:val="0"/>
          <w:sz w:val="18"/>
          <w:szCs w:val="18"/>
          <w:vertAlign w:val="superscript"/>
          <w:lang w:val="es-ES_tradnl"/>
        </w:rPr>
        <w:t>3</w:t>
      </w:r>
      <w:r w:rsidRPr="00E508F9">
        <w:rPr>
          <w:rFonts w:cs="Times New Roman"/>
          <w:kern w:val="0"/>
          <w:lang w:val="es-ES_tradnl"/>
        </w:rPr>
        <w:t xml:space="preserve"> Brent Coull,</w:t>
      </w:r>
      <w:r w:rsidRPr="00E508F9">
        <w:rPr>
          <w:rFonts w:cs="Times New Roman"/>
          <w:kern w:val="0"/>
          <w:sz w:val="18"/>
          <w:szCs w:val="18"/>
          <w:vertAlign w:val="superscript"/>
          <w:lang w:val="es-ES_tradnl"/>
        </w:rPr>
        <w:t>4</w:t>
      </w:r>
      <w:r w:rsidRPr="00E508F9">
        <w:rPr>
          <w:rFonts w:cs="Times New Roman"/>
          <w:kern w:val="0"/>
          <w:lang w:val="es-ES_tradnl"/>
        </w:rPr>
        <w:t xml:space="preserve"> Linda Valeri</w:t>
      </w:r>
      <w:r>
        <w:rPr>
          <w:rFonts w:cs="Times New Roman"/>
          <w:kern w:val="0"/>
          <w:sz w:val="18"/>
          <w:szCs w:val="18"/>
          <w:vertAlign w:val="superscript"/>
          <w:lang w:val="es-ES_tradnl"/>
        </w:rPr>
        <w:t>1</w:t>
      </w:r>
      <w:r w:rsidRPr="00E508F9">
        <w:rPr>
          <w:rFonts w:cs="Times New Roman"/>
          <w:kern w:val="0"/>
          <w:sz w:val="18"/>
          <w:szCs w:val="18"/>
          <w:vertAlign w:val="superscript"/>
          <w:lang w:val="es-ES_tradnl"/>
        </w:rPr>
        <w:t>,5</w:t>
      </w:r>
    </w:p>
    <w:p w14:paraId="1483033C" w14:textId="77777777" w:rsidR="00E508F9" w:rsidRDefault="00E508F9" w:rsidP="00E508F9">
      <w:pPr>
        <w:pStyle w:val="NormalWeb"/>
        <w:shd w:val="clear" w:color="auto" w:fill="FFFFFF"/>
        <w:contextualSpacing/>
        <w:rPr>
          <w:rFonts w:ascii="Fira Sans" w:hAnsi="Fira Sans"/>
          <w:color w:val="333333"/>
        </w:rPr>
      </w:pPr>
      <w:r w:rsidRPr="004E50FF">
        <w:rPr>
          <w:rFonts w:ascii="Fira Sans" w:hAnsi="Fira Sans"/>
          <w:color w:val="333333"/>
          <w:vertAlign w:val="superscript"/>
        </w:rPr>
        <w:t xml:space="preserve">1 </w:t>
      </w:r>
      <w:r w:rsidRPr="004E50FF">
        <w:rPr>
          <w:rFonts w:ascii="Fira Sans" w:hAnsi="Fira Sans"/>
          <w:color w:val="333333"/>
        </w:rPr>
        <w:t>Department of Biostatistics, Columbia University Mailman School of Public Health, New York, NY</w:t>
      </w:r>
    </w:p>
    <w:p w14:paraId="011FCFEB" w14:textId="77777777" w:rsidR="00E508F9" w:rsidRPr="0020049C" w:rsidRDefault="00E508F9" w:rsidP="00E508F9">
      <w:pPr>
        <w:pStyle w:val="NormalWeb"/>
        <w:shd w:val="clear" w:color="auto" w:fill="FFFFFF"/>
        <w:contextualSpacing/>
        <w:rPr>
          <w:rFonts w:ascii="Fira Sans" w:hAnsi="Fira Sans"/>
          <w:color w:val="333333"/>
        </w:rPr>
      </w:pPr>
      <w:r w:rsidRPr="0020049C">
        <w:rPr>
          <w:rFonts w:ascii="Fira Sans" w:hAnsi="Fira Sans"/>
          <w:color w:val="333333"/>
          <w:vertAlign w:val="superscript"/>
        </w:rPr>
        <w:t>2</w:t>
      </w:r>
      <w:r w:rsidRPr="0020049C">
        <w:rPr>
          <w:rFonts w:ascii="Fira Sans" w:hAnsi="Fira Sans"/>
          <w:color w:val="333333"/>
        </w:rPr>
        <w:t xml:space="preserve"> Microsoft, Redmond, WA</w:t>
      </w:r>
    </w:p>
    <w:p w14:paraId="68ECAAAE" w14:textId="2E885882" w:rsidR="00E508F9" w:rsidRDefault="00E508F9" w:rsidP="00E508F9">
      <w:pPr>
        <w:pStyle w:val="NormalWeb"/>
        <w:shd w:val="clear" w:color="auto" w:fill="FFFFFF"/>
        <w:contextualSpacing/>
        <w:rPr>
          <w:rFonts w:ascii="Fira Sans" w:hAnsi="Fira Sans"/>
          <w:color w:val="333333"/>
        </w:rPr>
      </w:pPr>
      <w:r>
        <w:rPr>
          <w:rFonts w:ascii="Fira Sans" w:hAnsi="Fira Sans"/>
          <w:color w:val="333333"/>
          <w:vertAlign w:val="superscript"/>
        </w:rPr>
        <w:t>3</w:t>
      </w:r>
      <w:r w:rsidRPr="004E50FF">
        <w:rPr>
          <w:rFonts w:ascii="Fira Sans" w:hAnsi="Fira Sans"/>
          <w:color w:val="333333"/>
          <w:vertAlign w:val="superscript"/>
        </w:rPr>
        <w:t xml:space="preserve"> </w:t>
      </w:r>
      <w:r w:rsidRPr="004E50FF">
        <w:rPr>
          <w:rFonts w:ascii="Fira Sans" w:hAnsi="Fira Sans"/>
          <w:color w:val="333333"/>
        </w:rPr>
        <w:t xml:space="preserve">Department of </w:t>
      </w:r>
      <w:r>
        <w:rPr>
          <w:rFonts w:ascii="Fira Sans" w:hAnsi="Fira Sans"/>
          <w:color w:val="333333"/>
        </w:rPr>
        <w:t>Environmental Health Sciences</w:t>
      </w:r>
      <w:r w:rsidRPr="004E50FF">
        <w:rPr>
          <w:rFonts w:ascii="Fira Sans" w:hAnsi="Fira Sans"/>
          <w:color w:val="333333"/>
        </w:rPr>
        <w:t>, Columbia University Mailman School of Public Health, New York, NY</w:t>
      </w:r>
    </w:p>
    <w:p w14:paraId="5A5CD51D" w14:textId="1A43AFF1" w:rsidR="00E508F9" w:rsidRDefault="00E508F9" w:rsidP="00E508F9">
      <w:pPr>
        <w:pStyle w:val="NormalWeb"/>
        <w:shd w:val="clear" w:color="auto" w:fill="FFFFFF"/>
        <w:contextualSpacing/>
        <w:rPr>
          <w:rFonts w:ascii="Fira Sans" w:hAnsi="Fira Sans"/>
          <w:color w:val="333333"/>
        </w:rPr>
      </w:pPr>
      <w:r>
        <w:rPr>
          <w:rFonts w:ascii="Fira Sans" w:hAnsi="Fira Sans"/>
          <w:color w:val="333333"/>
          <w:vertAlign w:val="superscript"/>
        </w:rPr>
        <w:t>4</w:t>
      </w:r>
      <w:r w:rsidRPr="004E50FF">
        <w:rPr>
          <w:rFonts w:ascii="Fira Sans" w:hAnsi="Fira Sans"/>
          <w:color w:val="333333"/>
          <w:vertAlign w:val="superscript"/>
        </w:rPr>
        <w:t xml:space="preserve"> </w:t>
      </w:r>
      <w:r w:rsidRPr="004E50FF">
        <w:rPr>
          <w:rFonts w:ascii="Fira Sans" w:hAnsi="Fira Sans"/>
          <w:color w:val="333333"/>
        </w:rPr>
        <w:t xml:space="preserve">Department of </w:t>
      </w:r>
      <w:r>
        <w:rPr>
          <w:rFonts w:ascii="Fira Sans" w:hAnsi="Fira Sans"/>
          <w:color w:val="333333"/>
        </w:rPr>
        <w:t>Biostatistics</w:t>
      </w:r>
      <w:r w:rsidRPr="004E50FF">
        <w:rPr>
          <w:rFonts w:ascii="Fira Sans" w:hAnsi="Fira Sans"/>
          <w:color w:val="333333"/>
        </w:rPr>
        <w:t xml:space="preserve">, </w:t>
      </w:r>
      <w:r>
        <w:rPr>
          <w:rFonts w:ascii="Fira Sans" w:hAnsi="Fira Sans"/>
          <w:color w:val="333333"/>
        </w:rPr>
        <w:t>Harvard TH Chan School of Public Health</w:t>
      </w:r>
      <w:r w:rsidRPr="004E50FF">
        <w:rPr>
          <w:rFonts w:ascii="Fira Sans" w:hAnsi="Fira Sans"/>
          <w:color w:val="333333"/>
        </w:rPr>
        <w:t xml:space="preserve">, </w:t>
      </w:r>
      <w:r>
        <w:rPr>
          <w:rFonts w:ascii="Fira Sans" w:hAnsi="Fira Sans"/>
          <w:color w:val="333333"/>
        </w:rPr>
        <w:t>Cambridge, MA</w:t>
      </w:r>
    </w:p>
    <w:p w14:paraId="366895B3" w14:textId="622A3D98" w:rsidR="00E508F9" w:rsidRDefault="00E508F9" w:rsidP="00E508F9">
      <w:pPr>
        <w:pStyle w:val="NormalWeb"/>
        <w:shd w:val="clear" w:color="auto" w:fill="FFFFFF"/>
        <w:contextualSpacing/>
        <w:rPr>
          <w:rFonts w:ascii="Fira Sans" w:hAnsi="Fira Sans"/>
          <w:color w:val="333333"/>
        </w:rPr>
      </w:pPr>
      <w:r>
        <w:rPr>
          <w:rFonts w:ascii="Fira Sans" w:hAnsi="Fira Sans"/>
          <w:color w:val="333333"/>
          <w:vertAlign w:val="superscript"/>
        </w:rPr>
        <w:t>5</w:t>
      </w:r>
      <w:r w:rsidRPr="004E50FF">
        <w:rPr>
          <w:rFonts w:ascii="Fira Sans" w:hAnsi="Fira Sans"/>
          <w:color w:val="333333"/>
          <w:vertAlign w:val="superscript"/>
        </w:rPr>
        <w:t xml:space="preserve"> </w:t>
      </w:r>
      <w:r w:rsidRPr="004E50FF">
        <w:rPr>
          <w:rFonts w:ascii="Fira Sans" w:hAnsi="Fira Sans"/>
          <w:color w:val="333333"/>
        </w:rPr>
        <w:t xml:space="preserve">Department of </w:t>
      </w:r>
      <w:r>
        <w:rPr>
          <w:rFonts w:ascii="Fira Sans" w:hAnsi="Fira Sans"/>
          <w:color w:val="333333"/>
        </w:rPr>
        <w:t>Epidemiology</w:t>
      </w:r>
      <w:r w:rsidRPr="004E50FF">
        <w:rPr>
          <w:rFonts w:ascii="Fira Sans" w:hAnsi="Fira Sans"/>
          <w:color w:val="333333"/>
        </w:rPr>
        <w:t xml:space="preserve">, </w:t>
      </w:r>
      <w:r>
        <w:rPr>
          <w:rFonts w:ascii="Fira Sans" w:hAnsi="Fira Sans"/>
          <w:color w:val="333333"/>
        </w:rPr>
        <w:t>Harvard TH Chan School of Public Health</w:t>
      </w:r>
      <w:r w:rsidRPr="004E50FF">
        <w:rPr>
          <w:rFonts w:ascii="Fira Sans" w:hAnsi="Fira Sans"/>
          <w:color w:val="333333"/>
        </w:rPr>
        <w:t xml:space="preserve">, </w:t>
      </w:r>
      <w:r>
        <w:rPr>
          <w:rFonts w:ascii="Fira Sans" w:hAnsi="Fira Sans"/>
          <w:color w:val="333333"/>
        </w:rPr>
        <w:t>Cambridge, MA</w:t>
      </w:r>
    </w:p>
    <w:p w14:paraId="6FFBBD1C" w14:textId="77777777" w:rsidR="00E508F9" w:rsidRPr="0020049C" w:rsidRDefault="00E508F9" w:rsidP="00E508F9">
      <w:pPr>
        <w:pStyle w:val="NormalWeb"/>
        <w:shd w:val="clear" w:color="auto" w:fill="FFFFFF"/>
        <w:rPr>
          <w:rFonts w:ascii="Fira Sans" w:hAnsi="Fira Sans"/>
          <w:color w:val="333333"/>
        </w:rPr>
      </w:pPr>
    </w:p>
    <w:p w14:paraId="617C4B94" w14:textId="2B4D93D8" w:rsidR="00E508F9" w:rsidRDefault="00E508F9">
      <w:pPr>
        <w:rPr>
          <w:b/>
          <w:bCs/>
        </w:rPr>
      </w:pPr>
      <w:r>
        <w:rPr>
          <w:b/>
          <w:bCs/>
        </w:rPr>
        <w:t>Abstract</w:t>
      </w:r>
    </w:p>
    <w:p w14:paraId="2134832B" w14:textId="77777777" w:rsidR="00E508F9" w:rsidRPr="00E508F9" w:rsidRDefault="00E508F9">
      <w:pPr>
        <w:rPr>
          <w:b/>
          <w:bCs/>
        </w:rPr>
      </w:pPr>
    </w:p>
    <w:p w14:paraId="60CA6AD5" w14:textId="77777777" w:rsidR="00E508F9" w:rsidRDefault="00E508F9">
      <w:pPr>
        <w:rPr>
          <w:b/>
          <w:bCs/>
        </w:rPr>
      </w:pPr>
      <w:r>
        <w:rPr>
          <w:b/>
          <w:bCs/>
        </w:rPr>
        <w:br w:type="page"/>
      </w:r>
    </w:p>
    <w:p w14:paraId="11596CE4" w14:textId="7698D904" w:rsidR="00CC3BF8" w:rsidRDefault="00CC3BF8" w:rsidP="00CC3BF8">
      <w:pPr>
        <w:rPr>
          <w:b/>
          <w:bCs/>
        </w:rPr>
      </w:pPr>
      <w:r>
        <w:rPr>
          <w:b/>
          <w:bCs/>
        </w:rPr>
        <w:lastRenderedPageBreak/>
        <w:t>Introduction</w:t>
      </w:r>
    </w:p>
    <w:p w14:paraId="52F2CC97" w14:textId="48F3A09A" w:rsidR="000D0024" w:rsidRDefault="00CC3BF8" w:rsidP="00CC3BF8">
      <w:r w:rsidRPr="00CC3BF8">
        <w:t>Exposure to complex mixture</w:t>
      </w:r>
      <w:r>
        <w:t>s</w:t>
      </w:r>
      <w:r w:rsidRPr="00CC3BF8">
        <w:t xml:space="preserve"> of </w:t>
      </w:r>
      <w:r>
        <w:t xml:space="preserve">environmental </w:t>
      </w:r>
      <w:r w:rsidRPr="00CC3BF8">
        <w:t xml:space="preserve">chemicals and other </w:t>
      </w:r>
      <w:r>
        <w:t xml:space="preserve">toxic </w:t>
      </w:r>
      <w:r w:rsidRPr="00CC3BF8">
        <w:t>substances is a pervasive issue</w:t>
      </w:r>
      <w:r>
        <w:t xml:space="preserve"> of public health</w:t>
      </w:r>
      <w:r w:rsidRPr="00CC3BF8">
        <w:t xml:space="preserve">. Many of these substances have been linked to adverse health effects, including </w:t>
      </w:r>
      <w:r>
        <w:t xml:space="preserve">toxic </w:t>
      </w:r>
      <w:r w:rsidRPr="00CC3BF8">
        <w:t>metals</w:t>
      </w:r>
      <w:r>
        <w:t>,</w:t>
      </w:r>
      <w:r w:rsidRPr="00CC3BF8">
        <w:t xml:space="preserve"> air pollution</w:t>
      </w:r>
      <w:r>
        <w:t xml:space="preserve">, PFAS, and, more recently, micro and nanoplastics. </w:t>
      </w:r>
      <w:r w:rsidR="000D0024">
        <w:t>The quantification of the joint health effects of these substances</w:t>
      </w:r>
      <w:r w:rsidR="006B56D0">
        <w:t xml:space="preserve"> over an individual lifetime</w:t>
      </w:r>
      <w:r w:rsidR="000D0024">
        <w:t xml:space="preserve"> is of interest for prevention and policy making, however, it poses great statistical challenges.</w:t>
      </w:r>
    </w:p>
    <w:p w14:paraId="71D90BBB" w14:textId="0D920055" w:rsidR="000D0024" w:rsidRDefault="000D0024" w:rsidP="000D0024">
      <w:r>
        <w:t>Approaches for the analysis of multiple exposures are now available. Billionnet et al.</w:t>
      </w:r>
      <w:sdt>
        <w:sdtPr>
          <w:rPr>
            <w:color w:val="000000"/>
            <w:vertAlign w:val="superscript"/>
          </w:rPr>
          <w:tag w:val="MENDELEY_CITATION_v3_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"/>
          <w:id w:val="-1786801727"/>
          <w:placeholder>
            <w:docPart w:val="DefaultPlaceholder_-1854013440"/>
          </w:placeholder>
        </w:sdtPr>
        <w:sdtContent>
          <w:r w:rsidR="00935AEE" w:rsidRPr="00935AEE">
            <w:rPr>
              <w:color w:val="000000"/>
              <w:vertAlign w:val="superscript"/>
            </w:rPr>
            <w:t>1</w:t>
          </w:r>
        </w:sdtContent>
      </w:sdt>
      <w:r>
        <w:t xml:space="preserve"> provided a review of existing methods to analyze the health effects of exposure to multipollutant mixtures. Depending on the question and the setting, Weighed Quantile Sum Regression (WQSR),</w:t>
      </w:r>
      <w:sdt>
        <w:sdtPr>
          <w:rPr>
            <w:color w:val="000000"/>
            <w:vertAlign w:val="superscript"/>
          </w:rPr>
          <w:tag w:val="MENDELEY_CITATION_v3_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"/>
          <w:id w:val="-279034752"/>
          <w:placeholder>
            <w:docPart w:val="DefaultPlaceholder_-1854013440"/>
          </w:placeholder>
        </w:sdtPr>
        <w:sdtContent>
          <w:r w:rsidR="00935AEE" w:rsidRPr="00935AEE">
            <w:rPr>
              <w:color w:val="000000"/>
              <w:vertAlign w:val="superscript"/>
            </w:rPr>
            <w:t>2</w:t>
          </w:r>
        </w:sdtContent>
      </w:sdt>
      <w:r>
        <w:t xml:space="preserve"> Bayesian Kernel Machine Regression (BKMR),</w:t>
      </w:r>
      <w:sdt>
        <w:sdtPr>
          <w:rPr>
            <w:color w:val="000000"/>
            <w:vertAlign w:val="superscript"/>
          </w:rPr>
          <w:tag w:val="MENDELEY_CITATION_v3_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"/>
          <w:id w:val="-1397825743"/>
          <w:placeholder>
            <w:docPart w:val="DefaultPlaceholder_-1854013440"/>
          </w:placeholder>
        </w:sdtPr>
        <w:sdtContent>
          <w:r w:rsidR="00935AEE" w:rsidRPr="00935AEE">
            <w:rPr>
              <w:color w:val="000000"/>
              <w:vertAlign w:val="superscript"/>
            </w:rPr>
            <w:t>3</w:t>
          </w:r>
        </w:sdtContent>
      </w:sdt>
      <w:r>
        <w:t xml:space="preserve"> and the Generalized Additive Model (GAM)9 have been shown to work well in practice. </w:t>
      </w:r>
      <w:r w:rsidR="00847F11">
        <w:t>These approaches have even been extended to the Bayesian setting, including Bayesian Weighted Sums</w:t>
      </w:r>
      <w:sdt>
        <w:sdtPr>
          <w:rPr>
            <w:color w:val="000000"/>
            <w:vertAlign w:val="superscript"/>
          </w:rPr>
          <w:tag w:val="MENDELEY_CITATION_v3_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"/>
          <w:id w:val="467317981"/>
          <w:placeholder>
            <w:docPart w:val="DefaultPlaceholder_-1854013440"/>
          </w:placeholder>
        </w:sdtPr>
        <w:sdtContent>
          <w:r w:rsidR="00935AEE" w:rsidRPr="00935AEE">
            <w:rPr>
              <w:color w:val="000000"/>
              <w:vertAlign w:val="superscript"/>
            </w:rPr>
            <w:t>4</w:t>
          </w:r>
        </w:sdtContent>
      </w:sdt>
      <w:r w:rsidR="00847F11">
        <w:t xml:space="preserve"> </w:t>
      </w:r>
      <w:r w:rsidR="00935AEE">
        <w:t>and Bayesian Generalized Additive models.</w:t>
      </w:r>
      <w:sdt>
        <w:sdtPr>
          <w:rPr>
            <w:color w:val="000000"/>
            <w:vertAlign w:val="superscript"/>
          </w:rPr>
          <w:tag w:val="MENDELEY_CITATION_v3_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"/>
          <w:id w:val="-584071708"/>
          <w:placeholder>
            <w:docPart w:val="DefaultPlaceholder_-1854013440"/>
          </w:placeholder>
        </w:sdtPr>
        <w:sdtContent>
          <w:r w:rsidR="00935AEE" w:rsidRPr="00935AEE">
            <w:rPr>
              <w:color w:val="000000"/>
              <w:vertAlign w:val="superscript"/>
            </w:rPr>
            <w:t>5</w:t>
          </w:r>
        </w:sdtContent>
      </w:sdt>
      <w:r w:rsidR="00935AEE">
        <w:t xml:space="preserve"> </w:t>
      </w:r>
      <w:r>
        <w:t>However, these approaches are limited to analyzing data at a single time point, while longitudinal studies that collect data sequentially at multiple time points are common in fields such as epidemiology, sociology, and econometrics, and provide a more realistic picture of the long-term health effects of the mixture. Alternative models that characterize change for longitudinal data, such as Generalized Estimating Equations (GEE) or Generalized Linear Mixed Models (GLMM), do not afford a causal interpretation, unless appropriate strategies to accommodate time-dependent confounding are adopted.</w:t>
      </w:r>
    </w:p>
    <w:p w14:paraId="3765EE9B" w14:textId="6E5BDB39" w:rsidR="000D0024" w:rsidRDefault="000D0024" w:rsidP="000D0024">
      <w:r>
        <w:t>Causal inference methods center on the premise that data from an observational study can be interpreted as originating from a randomized clinical trial in which the treatment was randomly assigned based on (conditional on) measured covariates.</w:t>
      </w:r>
      <w:sdt>
        <w:sdtPr>
          <w:rPr>
            <w:color w:val="000000"/>
            <w:vertAlign w:val="superscript"/>
          </w:rPr>
          <w:tag w:val="MENDELEY_CITATION_v3_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"/>
          <w:id w:val="-1281884162"/>
          <w:placeholder>
            <w:docPart w:val="DefaultPlaceholder_-1854013440"/>
          </w:placeholder>
        </w:sdtPr>
        <w:sdtContent>
          <w:r w:rsidR="00935AEE" w:rsidRPr="00935AEE">
            <w:rPr>
              <w:color w:val="000000"/>
              <w:vertAlign w:val="superscript"/>
            </w:rPr>
            <w:t>6</w:t>
          </w:r>
        </w:sdtContent>
      </w:sdt>
      <w:r>
        <w:t xml:space="preserve"> Time-varying confounders are factors that have the potential to confound the causal relationship between a time-varying exposure variable and outcome and that themselves change over time and are evaluated frequently throughout the investigation. </w:t>
      </w:r>
      <w:r w:rsidR="006B56D0">
        <w:t>When confounders both influence and are influenced by time-varying exposures, standard regression adjustment leads to bias.</w:t>
      </w:r>
      <w:sdt>
        <w:sdtPr>
          <w:rPr>
            <w:color w:val="000000"/>
            <w:vertAlign w:val="superscript"/>
          </w:rPr>
          <w:tag w:val="MENDELEY_CITATION_v3_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"/>
          <w:id w:val="-1547600777"/>
          <w:placeholder>
            <w:docPart w:val="DefaultPlaceholder_-1854013440"/>
          </w:placeholder>
        </w:sdtPr>
        <w:sdtContent>
          <w:r w:rsidR="00935AEE" w:rsidRPr="00935AEE">
            <w:rPr>
              <w:color w:val="000000"/>
              <w:vertAlign w:val="superscript"/>
            </w:rPr>
            <w:t>7</w:t>
          </w:r>
        </w:sdtContent>
      </w:sdt>
      <w:r w:rsidR="006B56D0">
        <w:t xml:space="preserve"> </w:t>
      </w:r>
      <w:r>
        <w:t>Approaches to account for time-varying confounding are required, such as g-methods (e.g., standardization or weighting).</w:t>
      </w:r>
    </w:p>
    <w:p w14:paraId="22241F19" w14:textId="7B6C5EF0" w:rsidR="00E508F9" w:rsidRPr="00CC3BF8" w:rsidRDefault="00E508F9" w:rsidP="000D0024">
      <w:r>
        <w:t xml:space="preserve">In environmental health sciences, there is a growing demand for approaches that can handle longitudinal data in the presence of multiple correlated exposures. However, there are methodological challenges that lead to uncertainty regarding how to translate the results of environmental mixture studies into policy recommendations. For example, incorrect adjustment for confounding can lead to bias, and most approaches focus on flexible modeling of environmental mixture effects, leaving confounders adjusted </w:t>
      </w:r>
      <w:r>
        <w:lastRenderedPageBreak/>
        <w:t>assuming a linear relationship8,9 This is problematic because confounders may interact with the environmental mixture, leading to biased results. Approaches that allow for lagged exposures have been developed under the BKMR framework11,12 however, none of them accommodates time-dependent confounding.</w:t>
      </w:r>
    </w:p>
    <w:p w14:paraId="33C5F603" w14:textId="54F5FDBC" w:rsidR="000D0024" w:rsidRDefault="000D0024" w:rsidP="000D0024">
      <w:r>
        <w:t>Quantifying the joint effect of environmental mixture</w:t>
      </w:r>
      <w:r w:rsidR="00FA3216">
        <w:t>s</w:t>
      </w:r>
      <w:r>
        <w:t xml:space="preserve"> over time is crucial to determine intervention timing. However, currently, there is a lack of statistical approaches that can simultaneously address time-varying confounding, flexible modeling, and variable selection when assessing the effect of multiple, correlated, and time-varying exposures. To bridge this gap, we have developed a causal inference method, g-BKMR, which allows for the estimation of nonlinear, non-additive effects of both time-varying exposures and confounders while also enabling variable selection. By combining the popular BKMR method and the g-formula, g-BKMR offers a unique approach to examine the non-linear and non-additive effects of exposure mixtures when their effects vary over time. We </w:t>
      </w:r>
      <w:r w:rsidR="00E508F9">
        <w:t>present</w:t>
      </w:r>
      <w:r>
        <w:t xml:space="preserve"> a simulation study and </w:t>
      </w:r>
      <w:r w:rsidR="00E508F9">
        <w:t xml:space="preserve">an </w:t>
      </w:r>
      <w:r>
        <w:t>appli</w:t>
      </w:r>
      <w:r w:rsidR="00E508F9">
        <w:t>cation of</w:t>
      </w:r>
      <w:r>
        <w:t xml:space="preserve"> our method to evaluate the association between a mixture of </w:t>
      </w:r>
      <w:r w:rsidR="00434009">
        <w:t>6</w:t>
      </w:r>
      <w:r>
        <w:t xml:space="preserve"> urinary metals (</w:t>
      </w:r>
      <w:r w:rsidR="00434009">
        <w:t xml:space="preserve">arsenic, cadmium, </w:t>
      </w:r>
      <w:r>
        <w:t>) and cardiovascular disease in the Strong Heart Study, a prospective cohort of American Indians with high rates of cardiovascular disease and low to moderate exposure to metals.</w:t>
      </w:r>
    </w:p>
    <w:p w14:paraId="2A2E7458" w14:textId="77777777" w:rsidR="00E508F9" w:rsidRDefault="00E508F9" w:rsidP="000D0024"/>
    <w:p w14:paraId="446DCE64" w14:textId="1F936353" w:rsidR="00E508F9" w:rsidRPr="00E508F9" w:rsidRDefault="00E508F9" w:rsidP="000D0024">
      <w:pPr>
        <w:rPr>
          <w:b/>
          <w:bCs/>
        </w:rPr>
      </w:pPr>
      <w:r w:rsidRPr="00E508F9">
        <w:rPr>
          <w:b/>
          <w:bCs/>
        </w:rPr>
        <w:t>Methods</w:t>
      </w:r>
    </w:p>
    <w:p w14:paraId="0C74E1E0" w14:textId="340D0B11" w:rsidR="00E508F9" w:rsidRPr="009A42D1" w:rsidRDefault="00EC1F1C" w:rsidP="000D0024">
      <w:pPr>
        <w:rPr>
          <w:u w:val="single"/>
        </w:rPr>
      </w:pPr>
      <w:r>
        <w:rPr>
          <w:u w:val="single"/>
        </w:rPr>
        <w:t>Identifiability assumptions and estimation</w:t>
      </w:r>
    </w:p>
    <w:p w14:paraId="7AC0FA07" w14:textId="77777777" w:rsidR="0048059D" w:rsidRDefault="009A42D1" w:rsidP="009A42D1">
      <w:r>
        <w:t xml:space="preserve">We consider the setting in which </w:t>
      </w:r>
      <m:oMath>
        <m:r>
          <w:rPr>
            <w:rFonts w:ascii="Cambria Math" w:hAnsi="Cambria Math" w:cs="Cambria Math"/>
          </w:rPr>
          <m:t>n</m:t>
        </m:r>
      </m:oMath>
      <w:r>
        <w:t xml:space="preserve"> subjects, labelled </w:t>
      </w:r>
      <w:r>
        <w:rPr>
          <w:rFonts w:ascii="Cambria Math" w:hAnsi="Cambria Math" w:cs="Cambria Math"/>
        </w:rPr>
        <w:t>𝑖</w:t>
      </w:r>
      <m:oMath>
        <m:r>
          <w:rPr>
            <w:rFonts w:ascii="Cambria Math" w:hAnsi="Cambria Math"/>
          </w:rPr>
          <m:t xml:space="preserve"> =1, ...,</m:t>
        </m:r>
        <m:r>
          <w:rPr>
            <w:rFonts w:ascii="Cambria Math" w:hAnsi="Cambria Math" w:cs="Cambria Math"/>
          </w:rPr>
          <m:t>n</m:t>
        </m:r>
      </m:oMath>
      <w:r>
        <w:t xml:space="preserve">, enter a study at baseline (time </w:t>
      </w:r>
      <m:oMath>
        <m:r>
          <w:rPr>
            <w:rFonts w:ascii="Cambria Math" w:hAnsi="Cambria Math" w:cs="Cambria Math"/>
          </w:rPr>
          <m:t>t</m:t>
        </m:r>
        <m:r>
          <w:rPr>
            <w:rFonts w:ascii="Cambria Math" w:hAnsi="Cambria Math"/>
          </w:rPr>
          <m:t>=0</m:t>
        </m:r>
      </m:oMath>
      <w:r>
        <w:t xml:space="preserve">) and are exposed to </w:t>
      </w:r>
      <m:oMath>
        <m:sSub>
          <m:sSubPr>
            <m:ctrlPr>
              <w:rPr>
                <w:rFonts w:ascii="Cambria Math" w:hAnsi="Cambria Math"/>
                <w:i/>
              </w:rPr>
            </m:ctrlPr>
          </m:sSubPr>
          <m:e>
            <m:r>
              <w:rPr>
                <w:rFonts w:ascii="Cambria Math" w:hAnsi="Cambria Math"/>
              </w:rPr>
              <m:t>A</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0,i</m:t>
            </m:r>
          </m:sub>
        </m:sSub>
      </m:oMath>
      <w:r w:rsidR="00FC3DDF">
        <w:t xml:space="preserve">. </w:t>
      </w:r>
      <w:r>
        <w:t xml:space="preserve">In a clinical trial, the value of </w:t>
      </w:r>
      <m:oMath>
        <m:sSub>
          <m:sSubPr>
            <m:ctrlPr>
              <w:rPr>
                <w:rFonts w:ascii="Cambria Math" w:hAnsi="Cambria Math"/>
                <w:i/>
              </w:rPr>
            </m:ctrlPr>
          </m:sSubPr>
          <m:e>
            <m:r>
              <w:rPr>
                <w:rFonts w:ascii="Cambria Math" w:hAnsi="Cambria Math"/>
              </w:rPr>
              <m:t>A</m:t>
            </m:r>
          </m:e>
          <m:sub>
            <m:r>
              <w:rPr>
                <w:rFonts w:ascii="Cambria Math" w:hAnsi="Cambria Math"/>
              </w:rPr>
              <m:t>0,i</m:t>
            </m:r>
          </m:sub>
        </m:sSub>
      </m:oMath>
      <w:r w:rsidR="0022119D">
        <w:t xml:space="preserve"> </w:t>
      </w:r>
      <w:r>
        <w:t xml:space="preserve">is determined by the study protocol, usually at random. In an observational study, </w:t>
      </w:r>
      <m:oMath>
        <m:sSub>
          <m:sSubPr>
            <m:ctrlPr>
              <w:rPr>
                <w:rFonts w:ascii="Cambria Math" w:hAnsi="Cambria Math"/>
                <w:i/>
              </w:rPr>
            </m:ctrlPr>
          </m:sSubPr>
          <m:e>
            <m:r>
              <w:rPr>
                <w:rFonts w:ascii="Cambria Math" w:hAnsi="Cambria Math"/>
              </w:rPr>
              <m:t>A</m:t>
            </m:r>
          </m:e>
          <m:sub>
            <m:r>
              <w:rPr>
                <w:rFonts w:ascii="Cambria Math" w:hAnsi="Cambria Math"/>
              </w:rPr>
              <m:t>0,i</m:t>
            </m:r>
          </m:sub>
        </m:sSub>
      </m:oMath>
      <w:r w:rsidR="0022119D">
        <w:rPr>
          <w:rFonts w:eastAsiaTheme="minorEastAsia"/>
        </w:rPr>
        <w:t xml:space="preserve"> is </w:t>
      </w:r>
      <w:r>
        <w:t xml:space="preserve">observed and recorded. A collection of covariates, </w:t>
      </w:r>
      <m:oMath>
        <m:sSub>
          <m:sSubPr>
            <m:ctrlPr>
              <w:rPr>
                <w:rFonts w:ascii="Cambria Math" w:hAnsi="Cambria Math"/>
                <w:i/>
              </w:rPr>
            </m:ctrlPr>
          </m:sSubPr>
          <m:e>
            <m:r>
              <w:rPr>
                <w:rFonts w:ascii="Cambria Math" w:hAnsi="Cambria Math"/>
              </w:rPr>
              <m:t>C</m:t>
            </m:r>
          </m:e>
          <m:sub>
            <m:r>
              <w:rPr>
                <w:rFonts w:ascii="Cambria Math" w:hAnsi="Cambria Math"/>
              </w:rPr>
              <m:t>0,i</m:t>
            </m:r>
          </m:sub>
        </m:sSub>
      </m:oMath>
      <w:r>
        <w:t>, are also measured at baseline. At the subsequent follow-up visits, the</w:t>
      </w:r>
      <w:r w:rsidR="003D4BE2">
        <w:t xml:space="preserve"> </w:t>
      </w:r>
      <w:r>
        <w:t>time-varying confounders,</w:t>
      </w:r>
      <w:r w:rsidR="004423BD">
        <w:t xml:space="preserve"> </w:t>
      </w:r>
      <m:oMath>
        <m:sSub>
          <m:sSubPr>
            <m:ctrlPr>
              <w:rPr>
                <w:rFonts w:ascii="Cambria Math" w:hAnsi="Cambria Math"/>
                <w:i/>
              </w:rPr>
            </m:ctrlPr>
          </m:sSubPr>
          <m:e>
            <m:r>
              <w:rPr>
                <w:rFonts w:ascii="Cambria Math" w:hAnsi="Cambria Math"/>
              </w:rPr>
              <m:t>L</m:t>
            </m:r>
          </m:e>
          <m:sub>
            <m:r>
              <w:rPr>
                <w:rFonts w:ascii="Cambria Math" w:hAnsi="Cambria Math"/>
              </w:rPr>
              <m:t>t,i</m:t>
            </m:r>
          </m:sub>
        </m:sSub>
      </m:oMath>
      <w:r w:rsidR="00936DE4">
        <w:rPr>
          <w:rFonts w:eastAsiaTheme="minorEastAsia"/>
        </w:rPr>
        <w:t xml:space="preserve"> and treatment </w:t>
      </w:r>
      <m:oMath>
        <m:sSub>
          <m:sSubPr>
            <m:ctrlPr>
              <w:rPr>
                <w:rFonts w:ascii="Cambria Math" w:hAnsi="Cambria Math"/>
                <w:i/>
              </w:rPr>
            </m:ctrlPr>
          </m:sSubPr>
          <m:e>
            <m:r>
              <w:rPr>
                <w:rFonts w:ascii="Cambria Math" w:hAnsi="Cambria Math"/>
              </w:rPr>
              <m:t>A</m:t>
            </m:r>
          </m:e>
          <m:sub>
            <m:r>
              <w:rPr>
                <w:rFonts w:ascii="Cambria Math" w:hAnsi="Cambria Math"/>
              </w:rPr>
              <m:t>t,i</m:t>
            </m:r>
          </m:sub>
        </m:sSub>
      </m:oMath>
      <w:r w:rsidR="00DB52B9">
        <w:rPr>
          <w:rFonts w:eastAsiaTheme="minorEastAsia"/>
        </w:rPr>
        <w:t xml:space="preserve"> </w:t>
      </w:r>
      <w:r>
        <w:t xml:space="preserve">are recorded, </w:t>
      </w:r>
      <m:oMath>
        <m:r>
          <w:rPr>
            <w:rFonts w:ascii="Cambria Math" w:hAnsi="Cambria Math" w:cs="Cambria Math"/>
          </w:rPr>
          <m:t>t</m:t>
        </m:r>
        <m:r>
          <w:rPr>
            <w:rFonts w:ascii="Cambria Math" w:hAnsi="Cambria Math"/>
          </w:rPr>
          <m:t>=1,...,</m:t>
        </m:r>
        <m:r>
          <w:rPr>
            <w:rFonts w:ascii="Cambria Math" w:hAnsi="Cambria Math" w:cs="Cambria Math"/>
          </w:rPr>
          <m:t>T</m:t>
        </m:r>
      </m:oMath>
      <w:r>
        <w:t xml:space="preserve">. </w:t>
      </w:r>
      <w:commentRangeStart w:id="0"/>
      <w:r>
        <w:t xml:space="preserve">An outcome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0F713F">
        <w:t xml:space="preserve"> </w:t>
      </w:r>
      <w:r>
        <w:t>is observed for each subject, measured</w:t>
      </w:r>
      <w:r w:rsidR="000F713F">
        <w:t xml:space="preserve"> </w:t>
      </w:r>
      <w:r>
        <w:t xml:space="preserve">at the final visit </w:t>
      </w:r>
      <w:r>
        <w:rPr>
          <w:rFonts w:ascii="Cambria Math" w:hAnsi="Cambria Math" w:cs="Cambria Math"/>
        </w:rPr>
        <w:t>𝑇</w:t>
      </w:r>
      <w:r w:rsidR="000F713F">
        <w:t>.</w:t>
      </w:r>
      <w:r w:rsidR="0048059D">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8059D">
        <w:t xml:space="preserve"> </w:t>
      </w:r>
      <w:r>
        <w:t>can be continuous or binary.</w:t>
      </w:r>
      <w:commentRangeEnd w:id="0"/>
      <w:r w:rsidR="0048059D">
        <w:rPr>
          <w:rStyle w:val="CommentReference"/>
          <w:sz w:val="24"/>
          <w:szCs w:val="24"/>
        </w:rPr>
        <w:commentReference w:id="0"/>
      </w:r>
    </w:p>
    <w:p w14:paraId="3D34658E" w14:textId="56EAD84B" w:rsidR="009A42D1" w:rsidRDefault="009A42D1" w:rsidP="008B5AD8">
      <w:pPr>
        <w:ind w:firstLine="720"/>
        <w:rPr>
          <w:rFonts w:eastAsiaTheme="minorEastAsia"/>
        </w:rPr>
      </w:pPr>
      <w:r>
        <w:t xml:space="preserve">Along with the observed outcome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8059D">
        <w:t xml:space="preserve"> </w:t>
      </w:r>
      <w:r>
        <w:t xml:space="preserve">for each subject, for each possible realization of the treatment history </w:t>
      </w:r>
      <m:oMath>
        <m:r>
          <w:rPr>
            <w:rFonts w:ascii="Cambria Math" w:hAnsi="Cambria Math"/>
          </w:rPr>
          <m:t>a∈</m:t>
        </m:r>
        <m:r>
          <m:rPr>
            <m:scr m:val="script"/>
          </m:rPr>
          <w:rPr>
            <w:rFonts w:ascii="Cambria Math" w:hAnsi="Cambria Math"/>
          </w:rPr>
          <m:t>A</m:t>
        </m:r>
      </m:oMath>
      <w:r w:rsidR="008B5AD8">
        <w:rPr>
          <w:rFonts w:ascii="Cambria Math" w:hAnsi="Cambria Math" w:cs="Cambria Math"/>
        </w:rPr>
        <w:t xml:space="preserve">, </w:t>
      </w:r>
      <w:r>
        <w:t>we also</w:t>
      </w:r>
      <w:r w:rsidR="008B5AD8">
        <w:t xml:space="preserve"> </w:t>
      </w:r>
      <w:r>
        <w:t>define</w:t>
      </w:r>
      <w:r w:rsidR="008B5AD8">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a</m:t>
            </m:r>
          </m:sup>
        </m:sSubSup>
      </m:oMath>
      <w:r w:rsidR="00682767">
        <w:rPr>
          <w:rFonts w:eastAsiaTheme="minorEastAsia"/>
        </w:rPr>
        <w:t>, the potentia</w:t>
      </w:r>
      <w:r w:rsidR="00F5634A">
        <w:rPr>
          <w:rFonts w:eastAsiaTheme="minorEastAsia"/>
        </w:rPr>
        <w:t>l</w:t>
      </w:r>
      <w:r w:rsidR="006B754E">
        <w:t xml:space="preserve"> outcome that would have been observed had the subject, possibly contrary to fact, received treatment history </w:t>
      </w:r>
      <m:oMath>
        <m:r>
          <w:rPr>
            <w:rFonts w:ascii="Cambria Math" w:hAnsi="Cambria Math"/>
          </w:rPr>
          <m:t>a</m:t>
        </m:r>
      </m:oMath>
      <w:r w:rsidR="006B754E">
        <w:rPr>
          <w:rFonts w:eastAsiaTheme="minorEastAsia"/>
        </w:rPr>
        <w:t>.</w:t>
      </w:r>
      <w:r w:rsidR="00613F87">
        <w:rPr>
          <w:rFonts w:eastAsiaTheme="minorEastAsia"/>
        </w:rPr>
        <w:t xml:space="preserve"> In a simple setting with 3 visits, we assume the Directed Acyclic Graph (DAG) in Figure 1.</w:t>
      </w:r>
      <w:r w:rsidR="00F22F1E">
        <w:rPr>
          <w:rFonts w:eastAsiaTheme="minorEastAsia"/>
        </w:rPr>
        <w:t xml:space="preserve"> Under a static</w:t>
      </w:r>
      <w:r w:rsidR="00372677">
        <w:rPr>
          <w:rFonts w:eastAsiaTheme="minorEastAsia"/>
        </w:rPr>
        <w:t xml:space="preserve">, fixed treatment regime, the overall causal effect per one interquartile range increase in all exposures </w:t>
      </w:r>
      <w:r w:rsidR="009900E1">
        <w:rPr>
          <w:rFonts w:eastAsiaTheme="minorEastAsia"/>
        </w:rPr>
        <w:t>(i.e. changing from the 25</w:t>
      </w:r>
      <w:r w:rsidR="009900E1" w:rsidRPr="009900E1">
        <w:rPr>
          <w:rFonts w:eastAsiaTheme="minorEastAsia"/>
          <w:vertAlign w:val="superscript"/>
        </w:rPr>
        <w:t>th</w:t>
      </w:r>
      <w:r w:rsidR="009900E1">
        <w:rPr>
          <w:rFonts w:eastAsiaTheme="minorEastAsia"/>
        </w:rPr>
        <w:t xml:space="preserve"> percentile to the 75</w:t>
      </w:r>
      <w:r w:rsidR="009900E1" w:rsidRPr="009900E1">
        <w:rPr>
          <w:rFonts w:eastAsiaTheme="minorEastAsia"/>
          <w:vertAlign w:val="superscript"/>
        </w:rPr>
        <w:t>th</w:t>
      </w:r>
      <w:r w:rsidR="009900E1">
        <w:rPr>
          <w:rFonts w:eastAsiaTheme="minorEastAsia"/>
        </w:rPr>
        <w:t xml:space="preserve"> percentile) can be defined as:</w:t>
      </w:r>
    </w:p>
    <w:p w14:paraId="1E28DDD1" w14:textId="445F9EE9" w:rsidR="009A42D1" w:rsidRDefault="00D109B9" w:rsidP="000639F6">
      <w:pPr>
        <w:ind w:firstLine="720"/>
      </w:pPr>
      <m:oMathPara>
        <m:oMath>
          <m:r>
            <w:rPr>
              <w:rFonts w:ascii="Cambria Math" w:hAnsi="Cambria Math"/>
            </w:rPr>
            <w:lastRenderedPageBreak/>
            <m:t>ACE</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r>
            <m:rPr>
              <m:sty m:val="p"/>
            </m:rPr>
            <w:rPr>
              <w:rFonts w:ascii="Cambria Math" w:hAnsi="Cambria Math"/>
            </w:rPr>
            <m:t>Ε</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sup>
              </m:sSup>
            </m:e>
          </m:d>
          <m:r>
            <w:rPr>
              <w:rFonts w:ascii="Cambria Math" w:hAnsi="Cambria Math"/>
            </w:rPr>
            <m:t>-</m:t>
          </m:r>
          <m:r>
            <m:rPr>
              <m:sty m:val="p"/>
            </m:rPr>
            <w:rPr>
              <w:rFonts w:ascii="Cambria Math" w:hAnsi="Cambria Math"/>
            </w:rPr>
            <m:t>Ε</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up>
              </m:sSup>
            </m:e>
          </m:d>
        </m:oMath>
      </m:oMathPara>
    </w:p>
    <w:p w14:paraId="20D25D9D" w14:textId="74753086" w:rsidR="009A42D1" w:rsidRPr="005D13FD" w:rsidRDefault="000639F6" w:rsidP="009A42D1">
      <w:r>
        <w:t xml:space="preserve">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9A42D1">
        <w:t>,</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oMath>
      <w:r w:rsidR="009A42D1">
        <w:t xml:space="preserve"> </w:t>
      </w:r>
      <w:r>
        <w:t>are the 25</w:t>
      </w:r>
      <w:r w:rsidRPr="000639F6">
        <w:rPr>
          <w:vertAlign w:val="superscript"/>
        </w:rPr>
        <w:t>th</w:t>
      </w:r>
      <w:r>
        <w:t xml:space="preserve"> percentile of the exposures, </w:t>
      </w:r>
      <w:r w:rsidR="00CC4D11">
        <w:t xml:space="preserve">and </w:t>
      </w:r>
      <m:oMath>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m:t>
            </m:r>
          </m:sup>
        </m:sSubSup>
      </m:oMath>
      <w:r w:rsidR="00CC4D11">
        <w:rPr>
          <w:rFonts w:eastAsiaTheme="minorEastAsia"/>
        </w:rP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oMath>
      <w:r w:rsidR="00CC4D11">
        <w:rPr>
          <w:rFonts w:eastAsiaTheme="minorEastAsia"/>
        </w:rPr>
        <w:t xml:space="preserve"> are the 75</w:t>
      </w:r>
      <w:r w:rsidR="00CC4D11" w:rsidRPr="00CC4D11">
        <w:rPr>
          <w:rFonts w:eastAsiaTheme="minorEastAsia"/>
          <w:vertAlign w:val="superscript"/>
        </w:rPr>
        <w:t>th</w:t>
      </w:r>
      <w:r w:rsidR="00CC4D11">
        <w:rPr>
          <w:rFonts w:eastAsiaTheme="minorEastAsia"/>
        </w:rPr>
        <w:t xml:space="preserve"> percentile of the exposures.</w:t>
      </w:r>
      <w:r w:rsidR="0034674D">
        <w:rPr>
          <w:rFonts w:eastAsiaTheme="minorEastAsia"/>
        </w:rPr>
        <w:t xml:space="preserve"> In addition to estimating the effect of the mixture per one </w:t>
      </w:r>
      <w:r w:rsidR="0034674D" w:rsidRPr="005D13FD">
        <w:rPr>
          <w:rFonts w:eastAsiaTheme="minorEastAsia"/>
        </w:rPr>
        <w:t>interquartile range increase (or per any comparison we choose), we could also estimate the effect of a single exposure of the mixture across time points.</w:t>
      </w:r>
    </w:p>
    <w:p w14:paraId="05F5AE24" w14:textId="571A9220" w:rsidR="00847F11" w:rsidRPr="005D13FD" w:rsidRDefault="00847F11" w:rsidP="00847F11">
      <w:pPr>
        <w:rPr>
          <w:u w:val="single"/>
        </w:rPr>
      </w:pPr>
      <w:r w:rsidRPr="005D13FD">
        <w:t>The basic</w:t>
      </w:r>
      <w:r w:rsidRPr="00C13001">
        <w:t xml:space="preserve"> idea of </w:t>
      </w:r>
      <w:r w:rsidR="005D13FD">
        <w:t xml:space="preserve">the </w:t>
      </w:r>
      <w:r w:rsidRPr="00C13001">
        <w:t xml:space="preserve">g-formula is standardization, a common approach to estimating the expected value of </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sidRPr="00C13001">
        <w:t xml:space="preserve"> in the population.15</w:t>
      </w:r>
      <w:r>
        <w:t xml:space="preserve"> </w:t>
      </w:r>
      <w:r w:rsidRPr="00C13001">
        <w:t xml:space="preserve">It can be illustrated in a simple time-fixed confounding example with baseline confounders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C13001">
        <w:t xml:space="preserve"> where the change in the observed</w:t>
      </w:r>
    </w:p>
    <w:p w14:paraId="2B172099" w14:textId="6AEFB373" w:rsidR="00E508F9" w:rsidRDefault="00847F11" w:rsidP="00847F11">
      <w:r w:rsidRPr="00C13001">
        <w:t xml:space="preserve">mean of the outcome under two different exposure levels is standardized over the observed values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C13001">
        <w:t xml:space="preserve"> of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C13001">
        <w:t>.</w:t>
      </w:r>
    </w:p>
    <w:p w14:paraId="310D428E" w14:textId="179056D3" w:rsidR="00935AEE" w:rsidRPr="00C13001" w:rsidRDefault="00935AEE" w:rsidP="00847F11">
      <w:pPr>
        <w:rPr>
          <w:rFonts w:eastAsiaTheme="minorEastAsia"/>
        </w:rPr>
      </w:pPr>
      <m:oMathPara>
        <m:oMath>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a</m:t>
                  </m:r>
                </m:sup>
              </m:sSup>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C</m:t>
                  </m:r>
                </m:e>
                <m:sub>
                  <m:r>
                    <w:rPr>
                      <w:rFonts w:ascii="Cambria Math" w:hAnsi="Cambria Math"/>
                    </w:rPr>
                    <m:t>0</m:t>
                  </m:r>
                </m:sub>
              </m:sSub>
            </m:sub>
            <m:sup/>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r>
                        <w:rPr>
                          <w:rFonts w:ascii="Cambria Math" w:hAnsi="Cambria Math"/>
                        </w:rPr>
                        <m:t>Y</m:t>
                      </m:r>
                    </m:e>
                  </m:d>
                  <m:r>
                    <w:rPr>
                      <w:rFonts w:ascii="Cambria Math" w:hAnsi="Cambria Math"/>
                    </w:rPr>
                    <m:t>A=a,</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e>
          </m:nary>
        </m:oMath>
      </m:oMathPara>
    </w:p>
    <w:p w14:paraId="39999535" w14:textId="13155141" w:rsidR="0057738A" w:rsidRDefault="0057738A" w:rsidP="00847F11">
      <w:pPr>
        <w:rPr>
          <w:rFonts w:eastAsiaTheme="minorEastAsia"/>
        </w:rPr>
      </w:pPr>
      <w:r>
        <w:rPr>
          <w:rFonts w:eastAsiaTheme="minorEastAsia"/>
        </w:rPr>
        <w:t xml:space="preserve">where the sum is over all possible values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eastAsiaTheme="minorEastAsia"/>
        </w:rPr>
        <w:t xml:space="preserve"> of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eastAsiaTheme="minorEastAsia"/>
        </w:rPr>
        <w:t>. Following the DAG in Figure 1,</w:t>
      </w:r>
      <w:r w:rsidRPr="0057738A">
        <w:rPr>
          <w:rFonts w:eastAsiaTheme="minorEastAsia"/>
        </w:rPr>
        <w:t xml:space="preserve"> </w:t>
      </w:r>
      <w:r>
        <w:rPr>
          <w:rFonts w:eastAsiaTheme="minorEastAsia"/>
        </w:rPr>
        <w:t>the following identifiability assumptions are required for the g-formula to be a valid estimator for the average causal effect:</w:t>
      </w:r>
    </w:p>
    <w:p w14:paraId="376B4BBB" w14:textId="1B20648E" w:rsidR="0057738A" w:rsidRDefault="0057738A" w:rsidP="0057738A">
      <w:pPr>
        <w:pStyle w:val="ListParagraph"/>
        <w:numPr>
          <w:ilvl w:val="0"/>
          <w:numId w:val="1"/>
        </w:numPr>
        <w:rPr>
          <w:rFonts w:eastAsiaTheme="minorEastAsia"/>
        </w:rPr>
      </w:pPr>
      <w:r>
        <w:rPr>
          <w:rFonts w:eastAsiaTheme="minorEastAsia"/>
        </w:rPr>
        <w:t>Consistency:</w:t>
      </w:r>
    </w:p>
    <w:p w14:paraId="29C69DDE" w14:textId="484F45DA" w:rsidR="0057738A" w:rsidRPr="0057738A" w:rsidRDefault="0057738A" w:rsidP="0057738A">
      <w:pPr>
        <w:pStyle w:val="ListParagraph"/>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Y</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e>
              </m:d>
              <m:sSub>
                <m:sSubPr>
                  <m:ctrlPr>
                    <w:rPr>
                      <w:rFonts w:ascii="Cambria Math" w:eastAsiaTheme="minorEastAsia" w:hAnsi="Cambria Math"/>
                      <w:i/>
                    </w:rPr>
                  </m:ctrlPr>
                </m:sSubPr>
                <m:e>
                  <m:r>
                    <w:rPr>
                      <w:rFonts w:ascii="Cambria Math" w:eastAsiaTheme="minorEastAsia" w:hAnsi="Cambria Math"/>
                    </w:rPr>
                    <m:t xml:space="preserve"> 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e>
              </m:d>
              <m:sSub>
                <m:sSubPr>
                  <m:ctrlPr>
                    <w:rPr>
                      <w:rFonts w:ascii="Cambria Math" w:eastAsiaTheme="minorEastAsia" w:hAnsi="Cambria Math"/>
                      <w:i/>
                    </w:rPr>
                  </m:ctrlPr>
                </m:sSubPr>
                <m:e>
                  <m:r>
                    <w:rPr>
                      <w:rFonts w:ascii="Cambria Math" w:eastAsiaTheme="minorEastAsia" w:hAnsi="Cambria Math"/>
                    </w:rPr>
                    <m:t xml:space="preserve"> 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oMath>
      </m:oMathPara>
    </w:p>
    <w:p w14:paraId="2537B2D5" w14:textId="119A1122" w:rsidR="0057738A" w:rsidRDefault="0057738A" w:rsidP="0057738A">
      <w:pPr>
        <w:pStyle w:val="ListParagraph"/>
        <w:numPr>
          <w:ilvl w:val="0"/>
          <w:numId w:val="1"/>
        </w:numPr>
        <w:rPr>
          <w:rFonts w:eastAsiaTheme="minorEastAsia"/>
        </w:rPr>
      </w:pPr>
      <w:r>
        <w:rPr>
          <w:rFonts w:eastAsiaTheme="minorEastAsia"/>
        </w:rPr>
        <w:t>Exchangeability:</w:t>
      </w:r>
    </w:p>
    <w:p w14:paraId="1F7FDF06" w14:textId="4C398B4F" w:rsidR="0057738A" w:rsidRPr="00C13001" w:rsidRDefault="00000000" w:rsidP="0057738A">
      <w:pPr>
        <w:pStyle w:val="ListParagraph"/>
        <w:numPr>
          <w:ilvl w:val="0"/>
          <w:numId w:val="2"/>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oMath>
    </w:p>
    <w:p w14:paraId="5F15B53B" w14:textId="24A3FF9D" w:rsidR="0057738A" w:rsidRPr="007F1453" w:rsidRDefault="00000000" w:rsidP="0057738A">
      <w:pPr>
        <w:pStyle w:val="ListParagraph"/>
        <w:numPr>
          <w:ilvl w:val="0"/>
          <w:numId w:val="2"/>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oMath>
    </w:p>
    <w:p w14:paraId="3D082778" w14:textId="6960C0A8" w:rsidR="0057738A" w:rsidRDefault="00000000" w:rsidP="0057738A">
      <w:pPr>
        <w:pStyle w:val="ListParagraph"/>
        <w:numPr>
          <w:ilvl w:val="0"/>
          <w:numId w:val="2"/>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oMath>
    </w:p>
    <w:p w14:paraId="708497E0" w14:textId="77777777" w:rsidR="0057738A" w:rsidRPr="007F1453" w:rsidRDefault="0057738A" w:rsidP="00C13001">
      <w:pPr>
        <w:pStyle w:val="ListParagraph"/>
        <w:ind w:left="1440"/>
        <w:rPr>
          <w:rFonts w:eastAsiaTheme="minorEastAsia"/>
        </w:rPr>
      </w:pPr>
    </w:p>
    <w:p w14:paraId="3D5CC9B6" w14:textId="2C8263CA" w:rsidR="0057738A" w:rsidRDefault="0057738A" w:rsidP="0057738A">
      <w:pPr>
        <w:pStyle w:val="ListParagraph"/>
        <w:numPr>
          <w:ilvl w:val="0"/>
          <w:numId w:val="1"/>
        </w:numPr>
        <w:rPr>
          <w:rFonts w:eastAsiaTheme="minorEastAsia"/>
        </w:rPr>
      </w:pPr>
      <w:r>
        <w:rPr>
          <w:rFonts w:eastAsiaTheme="minorEastAsia"/>
        </w:rPr>
        <w:t>Positivity:</w:t>
      </w:r>
    </w:p>
    <w:p w14:paraId="758DA118" w14:textId="3D968F31" w:rsidR="0057203D" w:rsidRDefault="0057203D" w:rsidP="0057203D">
      <w:pPr>
        <w:rPr>
          <w:rFonts w:eastAsiaTheme="minorEastAsia"/>
        </w:rPr>
      </w:pPr>
      <m:oMath>
        <m:r>
          <w:rPr>
            <w:rFonts w:ascii="Cambria Math" w:eastAsiaTheme="minorEastAsia" w:hAnsi="Cambria Math"/>
          </w:rPr>
          <m:t>Pr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e>
        </m:d>
        <m:r>
          <w:rPr>
            <w:rFonts w:ascii="Cambria Math" w:eastAsiaTheme="minorEastAsia" w:hAnsi="Cambria Math"/>
          </w:rPr>
          <m:t>&gt;0</m:t>
        </m:r>
      </m:oMath>
      <w:r>
        <w:rPr>
          <w:rFonts w:eastAsiaTheme="minorEastAsia"/>
        </w:rPr>
        <w:t xml:space="preserve"> for all </w:t>
      </w:r>
      <m:oMath>
        <m:r>
          <w:rPr>
            <w:rFonts w:ascii="Cambria Math" w:eastAsiaTheme="minorEastAsia" w:hAnsi="Cambria Math"/>
          </w:rPr>
          <m:t>t</m:t>
        </m:r>
      </m:oMath>
      <w:r>
        <w:rPr>
          <w:rFonts w:eastAsiaTheme="minorEastAsia"/>
        </w:rPr>
        <w:t xml:space="preserve"> and all values of </w:t>
      </w:r>
      <m:oMath>
        <m:r>
          <w:rPr>
            <w:rFonts w:ascii="Cambria Math" w:eastAsiaTheme="minorEastAsia" w:hAnsi="Cambria Math"/>
          </w:rPr>
          <m:t>l</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Pr>
          <w:rFonts w:eastAsiaTheme="minorEastAsia"/>
        </w:rPr>
        <w:t xml:space="preserve"> with </w:t>
      </w:r>
      <m:oMath>
        <m: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L=l,</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r>
          <w:rPr>
            <w:rFonts w:ascii="Cambria Math" w:eastAsiaTheme="minorEastAsia" w:hAnsi="Cambria Math"/>
          </w:rPr>
          <m:t>≠0</m:t>
        </m:r>
      </m:oMath>
    </w:p>
    <w:p w14:paraId="53FFACA0" w14:textId="2466C352" w:rsidR="00434009" w:rsidRDefault="00434009" w:rsidP="0057203D">
      <w:pPr>
        <w:rPr>
          <w:rFonts w:eastAsiaTheme="minorEastAsia"/>
        </w:rPr>
      </w:pPr>
      <w:r>
        <w:rPr>
          <w:rFonts w:eastAsiaTheme="minorEastAsia"/>
        </w:rPr>
        <w:t>The general expression of the g-formula for a static fixed intervention when the identifiability assumptions hold is:</w:t>
      </w:r>
    </w:p>
    <w:p w14:paraId="7B45F920" w14:textId="540C9D02" w:rsidR="00F76573" w:rsidRPr="00C13001" w:rsidRDefault="00702350" w:rsidP="0057203D">
      <w:pPr>
        <w:rPr>
          <w:rFonts w:eastAsiaTheme="minorEastAsia"/>
        </w:rPr>
      </w:pPr>
      <m:oMathPara>
        <m:oMath>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a</m:t>
                  </m:r>
                </m:sup>
              </m:sSup>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sub>
            <m:sup/>
            <m:e>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 xml:space="preserve">A=a, </m:t>
                      </m:r>
                    </m:e>
                  </m:d>
                  <m:r>
                    <w:rPr>
                      <w:rFonts w:ascii="Cambria Math" w:eastAsiaTheme="minorEastAsia" w:hAnsi="Cambria Math"/>
                    </w:rPr>
                    <m:t xml:space="preserve"> L=l,</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nary>
                <m:naryPr>
                  <m:chr m:val="∏"/>
                  <m:limLoc m:val="undOvr"/>
                  <m:ctrlPr>
                    <w:rPr>
                      <w:rFonts w:ascii="Cambria Math" w:eastAsiaTheme="minorEastAsia" w:hAnsi="Cambria Math"/>
                      <w:i/>
                    </w:rPr>
                  </m:ctrlPr>
                </m:naryPr>
                <m:sub>
                  <m:r>
                    <w:rPr>
                      <w:rFonts w:ascii="Cambria Math" w:eastAsiaTheme="minorEastAsia" w:hAnsi="Cambria Math"/>
                    </w:rPr>
                    <m:t>t=0</m:t>
                  </m:r>
                </m:sub>
                <m:sup>
                  <m:r>
                    <w:rPr>
                      <w:rFonts w:ascii="Cambria Math" w:eastAsiaTheme="minorEastAsia" w:hAnsi="Cambria Math"/>
                    </w:rPr>
                    <m:t>T</m:t>
                  </m:r>
                </m:sup>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t-1</m:t>
                              </m:r>
                            </m:sub>
                          </m:sSub>
                        </m:e>
                      </m:d>
                    </m:e>
                  </m:d>
                  <m:r>
                    <w:rPr>
                      <w:rFonts w:ascii="Cambria Math" w:eastAsiaTheme="minorEastAsia" w:hAnsi="Cambria Math"/>
                    </w:rPr>
                    <m:t xml:space="preserve"> 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e>
              </m:nary>
            </m:e>
          </m:nary>
        </m:oMath>
      </m:oMathPara>
    </w:p>
    <w:p w14:paraId="04A9C88F" w14:textId="4BE62966" w:rsidR="00E508F9" w:rsidRPr="00E508F9" w:rsidRDefault="00E508F9" w:rsidP="000D0024">
      <w:pPr>
        <w:rPr>
          <w:u w:val="single"/>
        </w:rPr>
      </w:pPr>
      <w:r w:rsidRPr="00E508F9">
        <w:rPr>
          <w:u w:val="single"/>
        </w:rPr>
        <w:t>Bayesian Kernel Machine Regression</w:t>
      </w:r>
    </w:p>
    <w:p w14:paraId="0EADA910" w14:textId="15323416" w:rsidR="00E508F9" w:rsidRDefault="00434009" w:rsidP="00434009">
      <w:r w:rsidRPr="00C13001">
        <w:t>We first review Kernel Machine Regression (KMR) as a framework for estimating the effect of a complex mixture when only a</w:t>
      </w:r>
      <w:r w:rsidR="0060757E">
        <w:t xml:space="preserve"> </w:t>
      </w:r>
      <w:r w:rsidRPr="00C13001">
        <w:t xml:space="preserve">single time point of exposure is measured. For each subject </w:t>
      </w:r>
      <m:oMath>
        <m:r>
          <w:rPr>
            <w:rFonts w:ascii="Cambria Math" w:hAnsi="Cambria Math" w:cs="Cambria Math"/>
          </w:rPr>
          <m:t>i</m:t>
        </m:r>
        <m:r>
          <w:rPr>
            <w:rFonts w:ascii="Cambria Math" w:hAnsi="Cambria Math"/>
          </w:rPr>
          <m:t>=1, ...,</m:t>
        </m:r>
        <m:r>
          <w:rPr>
            <w:rFonts w:ascii="Cambria Math" w:hAnsi="Cambria Math" w:cs="Cambria Math"/>
          </w:rPr>
          <m:t>n</m:t>
        </m:r>
      </m:oMath>
      <w:r w:rsidRPr="00C13001">
        <w:t>, we assume</w:t>
      </w:r>
      <w:r w:rsidR="007407E9">
        <w:t>:</w:t>
      </w:r>
    </w:p>
    <w:p w14:paraId="519CD87F" w14:textId="6FE2A6EA" w:rsidR="007407E9" w:rsidRPr="00D8589E" w:rsidRDefault="00000000" w:rsidP="00434009">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5B72F8D6" w14:textId="115BF250" w:rsidR="00D8589E" w:rsidRDefault="00D8589E" w:rsidP="00434009">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m:t>
                    </m:r>
                  </m:sub>
                </m:sSub>
              </m:e>
            </m:d>
          </m:e>
          <m:sup>
            <m:r>
              <w:rPr>
                <w:rFonts w:ascii="Cambria Math" w:hAnsi="Cambria Math"/>
              </w:rPr>
              <m:t>T</m:t>
            </m:r>
          </m:sup>
        </m:sSup>
      </m:oMath>
      <w:r>
        <w:rPr>
          <w:rFonts w:eastAsiaTheme="minorEastAsia"/>
        </w:rPr>
        <w:t xml:space="preserve"> is a vector of </w:t>
      </w:r>
      <m:oMath>
        <m:r>
          <w:rPr>
            <w:rFonts w:ascii="Cambria Math" w:eastAsiaTheme="minorEastAsia" w:hAnsi="Cambria Math"/>
          </w:rPr>
          <m:t>M</m:t>
        </m:r>
      </m:oMath>
      <w:r>
        <w:rPr>
          <w:rFonts w:eastAsiaTheme="minorEastAsia"/>
        </w:rPr>
        <w:t xml:space="preserve"> exposure variables.</w:t>
      </w:r>
      <w:r w:rsidR="00296616">
        <w:rPr>
          <w:rFonts w:eastAsiaTheme="minorEastAsia"/>
        </w:rPr>
        <w:t xml:space="preserve"> Liu et al. showed that this model can be expressed as the mixed model:</w:t>
      </w:r>
    </w:p>
    <w:p w14:paraId="31982954" w14:textId="5C174F30" w:rsidR="00296616" w:rsidRPr="00DE0B38" w:rsidRDefault="00000000" w:rsidP="00434009">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4ABA1FE5" w14:textId="410F91D2" w:rsidR="00DE0B38" w:rsidRPr="00DE0B38" w:rsidRDefault="00DE0B38" w:rsidP="00434009">
      <w:pPr>
        <w:rPr>
          <w:rFonts w:eastAsiaTheme="minorEastAsia"/>
        </w:rPr>
      </w:pPr>
      <m:oMathPara>
        <m:oMath>
          <m:r>
            <w:rPr>
              <w:rFonts w:ascii="Cambria Math" w:eastAsiaTheme="minorEastAsia" w:hAnsi="Cambria Math"/>
            </w:rPr>
            <m:t>h≡</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e>
            <m:sup>
              <m:r>
                <w:rPr>
                  <w:rFonts w:ascii="Cambria Math" w:eastAsiaTheme="minorEastAsia" w:hAnsi="Cambria Math"/>
                </w:rPr>
                <m:t>T</m:t>
              </m:r>
            </m:sup>
          </m:sSup>
          <m:r>
            <w:rPr>
              <w:rFonts w:ascii="Cambria Math" w:eastAsiaTheme="minorEastAsia" w:hAnsi="Cambria Math"/>
            </w:rPr>
            <m:t>~N(0,τK)</m:t>
          </m:r>
        </m:oMath>
      </m:oMathPara>
    </w:p>
    <w:p w14:paraId="5BBE883C" w14:textId="538403F1" w:rsidR="00D03DA2" w:rsidRDefault="009938E8" w:rsidP="00434009">
      <w:pPr>
        <w:rPr>
          <w:rFonts w:eastAsiaTheme="minorEastAsia"/>
        </w:rPr>
      </w:pPr>
      <w:r>
        <w:t xml:space="preserve">where </w:t>
      </w:r>
      <m:oMath>
        <m:r>
          <w:rPr>
            <w:rFonts w:ascii="Cambria Math" w:hAnsi="Cambria Math"/>
          </w:rPr>
          <m:t>K</m:t>
        </m:r>
      </m:oMath>
      <w:r w:rsidR="004A6B61">
        <w:t xml:space="preserve"> is the kernel matrix</w:t>
      </w:r>
      <w:r w:rsidR="00D270F3">
        <w:t xml:space="preserve">, which has </w:t>
      </w:r>
      <m:oMath>
        <m:r>
          <w:rPr>
            <w:rFonts w:ascii="Cambria Math" w:hAnsi="Cambria Math"/>
          </w:rPr>
          <m:t>(i,j)</m:t>
        </m:r>
      </m:oMath>
      <w:r w:rsidR="00D270F3">
        <w:t xml:space="preserve"> element </w:t>
      </w:r>
      <m:oMath>
        <m:r>
          <w:rPr>
            <w:rFonts w:ascii="Cambria Math" w:hAnsi="Cambria Math"/>
          </w:rPr>
          <m:t>K(</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eastAsiaTheme="minorEastAsia" w:hAnsi="Cambria Math"/>
          </w:rPr>
          <m:t>)</m:t>
        </m:r>
      </m:oMath>
      <w:r w:rsidR="007A0246">
        <w:rPr>
          <w:rFonts w:eastAsiaTheme="minorEastAsia"/>
        </w:rPr>
        <w:t>.</w:t>
      </w:r>
    </w:p>
    <w:p w14:paraId="070DF3C4" w14:textId="52DFBF51" w:rsidR="007A0246" w:rsidRDefault="007A0246" w:rsidP="00434009">
      <w:pPr>
        <w:rPr>
          <w:rFonts w:eastAsiaTheme="minorEastAsia"/>
        </w:rPr>
      </w:pPr>
      <w:r>
        <w:rPr>
          <w:rFonts w:eastAsiaTheme="minorEastAsia"/>
        </w:rPr>
        <w:t xml:space="preserve">We focus on the Gaussian kernel, which flexibly captures a wide range of underlying functional forms for </w:t>
      </w:r>
      <m:oMath>
        <m:r>
          <w:rPr>
            <w:rFonts w:ascii="Cambria Math" w:eastAsiaTheme="minorEastAsia" w:hAnsi="Cambria Math"/>
          </w:rPr>
          <m:t>h(∙)</m:t>
        </m:r>
      </m:oMath>
      <w:r>
        <w:rPr>
          <w:rFonts w:eastAsiaTheme="minorEastAsia"/>
        </w:rPr>
        <w:t xml:space="preserve">, although the methods are applicable to a broad choice of kernels. Under </w:t>
      </w:r>
      <w:r w:rsidR="009A2663">
        <w:rPr>
          <w:rFonts w:eastAsiaTheme="minorEastAsia"/>
        </w:rPr>
        <w:t>the previous model, we assume:</w:t>
      </w:r>
    </w:p>
    <w:p w14:paraId="6C3D98CD" w14:textId="36E4E22F" w:rsidR="009A2663" w:rsidRPr="009A2663" w:rsidRDefault="009A2663" w:rsidP="00434009">
      <w:pPr>
        <w:rPr>
          <w:rFonts w:eastAsiaTheme="minorEastAsia"/>
        </w:rPr>
      </w:pPr>
      <m:oMathPara>
        <m:oMath>
          <m:r>
            <w:rPr>
              <w:rFonts w:ascii="Cambria Math" w:hAnsi="Cambria Math"/>
            </w:rPr>
            <m:t>cor</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e>
          </m:d>
          <m:r>
            <w:rPr>
              <w:rFonts w:ascii="Cambria Math" w:hAnsi="Cambria Math"/>
            </w:rPr>
            <m:t>=exp</m:t>
          </m:r>
          <m:d>
            <m:dPr>
              <m:begChr m:val="{"/>
              <m:endChr m:val="}"/>
              <m:ctrlPr>
                <w:rPr>
                  <w:rFonts w:ascii="Cambria Math" w:hAnsi="Cambria Math"/>
                  <w:i/>
                </w:rPr>
              </m:ctrlPr>
            </m:dPr>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ρ</m:t>
                      </m:r>
                    </m:den>
                  </m:f>
                </m:e>
              </m:d>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m:t>
                          </m:r>
                        </m:sub>
                      </m:sSub>
                      <m:r>
                        <w:rPr>
                          <w:rFonts w:ascii="Cambria Math" w:hAnsi="Cambria Math"/>
                        </w:rPr>
                        <m:t>)</m:t>
                      </m:r>
                    </m:e>
                    <m:sup>
                      <m:r>
                        <w:rPr>
                          <w:rFonts w:ascii="Cambria Math" w:hAnsi="Cambria Math"/>
                        </w:rPr>
                        <m:t>2</m:t>
                      </m:r>
                    </m:sup>
                  </m:sSup>
                </m:e>
              </m:nary>
            </m:e>
          </m:d>
        </m:oMath>
      </m:oMathPara>
    </w:p>
    <w:p w14:paraId="1E67273B" w14:textId="4D8D8FA8" w:rsidR="009A2663" w:rsidRDefault="009A2663" w:rsidP="00434009">
      <w:pPr>
        <w:rPr>
          <w:rFonts w:eastAsiaTheme="minorEastAsia"/>
        </w:rPr>
      </w:pPr>
      <w:r>
        <w:rPr>
          <w:rFonts w:eastAsiaTheme="minorEastAsia"/>
        </w:rPr>
        <w:t xml:space="preserve">Where </w:t>
      </w:r>
      <m:oMath>
        <m:r>
          <w:rPr>
            <w:rFonts w:ascii="Cambria Math" w:hAnsi="Cambria Math"/>
          </w:rPr>
          <m:t>ρ</m:t>
        </m:r>
      </m:oMath>
      <w:r>
        <w:rPr>
          <w:rFonts w:eastAsiaTheme="minorEastAsia"/>
        </w:rPr>
        <w:t xml:space="preserve"> is a tuning parameter that regulates the smoothness of the dose-response function. This assumption implies that two subjects with similar exposures will have more similar risks (i.e. if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eastAsiaTheme="minorEastAsia"/>
        </w:rPr>
        <w:t xml:space="preserve"> is close to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Pr>
          <w:rFonts w:eastAsiaTheme="minorEastAsia"/>
        </w:rPr>
        <w:t xml:space="preserve">, then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eastAsiaTheme="minorEastAsia"/>
        </w:rPr>
        <w:t xml:space="preserve"> will be close to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Pr>
          <w:rFonts w:eastAsiaTheme="minorEastAsia"/>
        </w:rPr>
        <w:t>).</w:t>
      </w:r>
    </w:p>
    <w:p w14:paraId="020B9185" w14:textId="322D8B19" w:rsidR="00FC3A54" w:rsidRPr="00FC3A54" w:rsidRDefault="00BB48C4" w:rsidP="00FC3A54">
      <w:pPr>
        <w:rPr>
          <w:rFonts w:eastAsiaTheme="minorEastAsia"/>
        </w:rPr>
      </w:pPr>
      <w:r>
        <w:rPr>
          <w:rFonts w:eastAsiaTheme="minorEastAsia"/>
        </w:rPr>
        <w:t>Bobb. et al presented the Bayesian Kernel Machine Regression (BKMR) as a framework to estimate the effect of a complex mixture on a health outcome.</w:t>
      </w:r>
      <w:r w:rsidR="009839B5">
        <w:rPr>
          <w:rFonts w:eastAsiaTheme="minorEastAsia"/>
        </w:rPr>
        <w:t xml:space="preserve"> To fit BKMR, we assume a prior on the coefficients for the confounding variables, </w:t>
      </w:r>
      <m:oMath>
        <m:r>
          <w:rPr>
            <w:rFonts w:ascii="Cambria Math" w:eastAsiaTheme="minorEastAsia" w:hAnsi="Cambria Math"/>
          </w:rPr>
          <m:t>β~1</m:t>
        </m:r>
      </m:oMath>
      <w:r w:rsidR="009839B5">
        <w:rPr>
          <w:rFonts w:eastAsiaTheme="minorEastAsia"/>
        </w:rPr>
        <w:t xml:space="preserve"> (flat prior),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~Gamma(</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σ</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σ</m:t>
            </m:r>
          </m:sub>
        </m:sSub>
        <m:r>
          <w:rPr>
            <w:rFonts w:ascii="Cambria Math" w:eastAsiaTheme="minorEastAsia" w:hAnsi="Cambria Math"/>
          </w:rPr>
          <m:t>)</m:t>
        </m:r>
      </m:oMath>
      <w:r w:rsidR="00BC2C2A">
        <w:t xml:space="preserve">, where we set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σ</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σ</m:t>
            </m:r>
          </m:sub>
        </m:sSub>
        <m:r>
          <w:rPr>
            <w:rFonts w:ascii="Cambria Math" w:eastAsiaTheme="minorEastAsia" w:hAnsi="Cambria Math"/>
          </w:rPr>
          <m:t>=0.001</m:t>
        </m:r>
      </m:oMath>
      <w:r w:rsidR="00BC2C2A">
        <w:rPr>
          <w:rFonts w:eastAsiaTheme="minorEastAsia"/>
        </w:rPr>
        <w:t>.</w:t>
      </w:r>
      <w:r w:rsidR="00936BA3">
        <w:rPr>
          <w:rFonts w:eastAsiaTheme="minorEastAsia"/>
        </w:rPr>
        <w:t xml:space="preserve"> We can parameterize</w:t>
      </w:r>
      <w:r w:rsidR="00FC3A54">
        <w:rPr>
          <w:rFonts w:eastAsiaTheme="minorEastAsia"/>
        </w:rPr>
        <w:t xml:space="preserve"> </w:t>
      </w:r>
      <w:r w:rsidR="00FC3A54" w:rsidRPr="00FC3A54">
        <w:rPr>
          <w:rFonts w:eastAsiaTheme="minorEastAsia"/>
        </w:rPr>
        <w:t xml:space="preserve">BKMR by </w:t>
      </w:r>
      <m:oMath>
        <m:r>
          <w:rPr>
            <w:rFonts w:ascii="Cambria Math" w:eastAsiaTheme="minorEastAsia" w:hAnsi="Cambria Math"/>
          </w:rPr>
          <m:t>λ=τ</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FC3A54" w:rsidRPr="00FC3A54">
        <w:rPr>
          <w:rFonts w:eastAsiaTheme="minorEastAsia"/>
        </w:rPr>
        <w:t>, and we assume a Gamma prior distribution for the</w:t>
      </w:r>
      <w:r w:rsidR="00776A01">
        <w:rPr>
          <w:rFonts w:eastAsiaTheme="minorEastAsia"/>
        </w:rPr>
        <w:t xml:space="preserve"> </w:t>
      </w:r>
      <w:r w:rsidR="00FC3A54" w:rsidRPr="00FC3A54">
        <w:rPr>
          <w:rFonts w:eastAsiaTheme="minorEastAsia"/>
        </w:rPr>
        <w:t xml:space="preserve">variance component of </w:t>
      </w:r>
      <w:r w:rsidR="00FC3A54" w:rsidRPr="00FC3A54">
        <w:rPr>
          <w:rFonts w:ascii="Cambria Math" w:eastAsiaTheme="minorEastAsia" w:hAnsi="Cambria Math" w:cs="Cambria Math"/>
        </w:rPr>
        <w:t>𝜆</w:t>
      </w:r>
      <w:r w:rsidR="00FC3A54" w:rsidRPr="00FC3A54">
        <w:rPr>
          <w:rFonts w:eastAsiaTheme="minorEastAsia"/>
        </w:rPr>
        <w:t xml:space="preserve">. For the smoothness parameter </w:t>
      </w:r>
      <w:r w:rsidR="00FC3A54" w:rsidRPr="00FC3A54">
        <w:rPr>
          <w:rFonts w:ascii="Cambria Math" w:eastAsiaTheme="minorEastAsia" w:hAnsi="Cambria Math" w:cs="Cambria Math"/>
        </w:rPr>
        <w:t>𝜌</w:t>
      </w:r>
      <w:r w:rsidR="00FC3A54" w:rsidRPr="00FC3A54">
        <w:rPr>
          <w:rFonts w:eastAsiaTheme="minorEastAsia"/>
        </w:rPr>
        <w:t xml:space="preserve">, we assume </w:t>
      </w:r>
      <m:oMath>
        <m:r>
          <w:rPr>
            <w:rFonts w:ascii="Cambria Math" w:eastAsiaTheme="minorEastAsia" w:hAnsi="Cambria Math" w:cs="Cambria Math"/>
          </w:rPr>
          <m:t>ρ</m:t>
        </m:r>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Unif(</m:t>
        </m:r>
        <m:r>
          <w:rPr>
            <w:rFonts w:ascii="Cambria Math" w:eastAsiaTheme="minorEastAsia" w:hAnsi="Cambria Math" w:cs="Cambria Math"/>
          </w:rPr>
          <m:t>a</m:t>
        </m:r>
        <m:r>
          <w:rPr>
            <w:rFonts w:ascii="Cambria Math" w:eastAsiaTheme="minorEastAsia" w:hAnsi="Cambria Math"/>
          </w:rPr>
          <m:t>,</m:t>
        </m:r>
        <m:r>
          <w:rPr>
            <w:rFonts w:ascii="Cambria Math" w:eastAsiaTheme="minorEastAsia" w:hAnsi="Cambria Math" w:cs="Cambria Math"/>
          </w:rPr>
          <m:t>b</m:t>
        </m:r>
        <m:r>
          <w:rPr>
            <w:rFonts w:ascii="Cambria Math" w:eastAsiaTheme="minorEastAsia" w:hAnsi="Cambria Math"/>
          </w:rPr>
          <m:t>)</m:t>
        </m:r>
      </m:oMath>
      <w:r w:rsidR="00FC3A54" w:rsidRPr="00FC3A54">
        <w:rPr>
          <w:rFonts w:eastAsiaTheme="minorEastAsia"/>
        </w:rPr>
        <w:t xml:space="preserve"> with </w:t>
      </w:r>
      <m:oMath>
        <m:r>
          <w:rPr>
            <w:rFonts w:ascii="Cambria Math" w:eastAsiaTheme="minorEastAsia" w:hAnsi="Cambria Math"/>
          </w:rPr>
          <m:t>a = 0</m:t>
        </m:r>
      </m:oMath>
      <w:r w:rsidR="00FC3A54" w:rsidRPr="00FC3A54">
        <w:rPr>
          <w:rFonts w:eastAsiaTheme="minorEastAsia"/>
        </w:rPr>
        <w:t xml:space="preserve"> and </w:t>
      </w:r>
      <m:oMath>
        <m:r>
          <w:rPr>
            <w:rFonts w:ascii="Cambria Math" w:eastAsiaTheme="minorEastAsia" w:hAnsi="Cambria Math" w:cs="Cambria Math"/>
          </w:rPr>
          <m:t>b</m:t>
        </m:r>
        <m:r>
          <w:rPr>
            <w:rFonts w:ascii="Cambria Math" w:eastAsiaTheme="minorEastAsia" w:hAnsi="Cambria Math"/>
          </w:rPr>
          <m:t xml:space="preserve"> = 100</m:t>
        </m:r>
      </m:oMath>
      <w:r w:rsidR="00FC3A54" w:rsidRPr="00FC3A54">
        <w:rPr>
          <w:rFonts w:eastAsiaTheme="minorEastAsia"/>
        </w:rPr>
        <w:t>. For additional</w:t>
      </w:r>
      <w:r w:rsidR="00DD5D6B">
        <w:rPr>
          <w:rFonts w:eastAsiaTheme="minorEastAsia"/>
        </w:rPr>
        <w:t xml:space="preserve"> </w:t>
      </w:r>
      <w:r w:rsidR="00FC3A54" w:rsidRPr="00FC3A54">
        <w:rPr>
          <w:rFonts w:eastAsiaTheme="minorEastAsia"/>
        </w:rPr>
        <w:t>details regarding BKMR and prior specifications, see Bobb et al. Note that the confounding variables can be included in the</w:t>
      </w:r>
      <w:r w:rsidR="00DD5D6B">
        <w:rPr>
          <w:rFonts w:eastAsiaTheme="minorEastAsia"/>
        </w:rPr>
        <w:t xml:space="preserve"> </w:t>
      </w:r>
      <m:oMath>
        <m:r>
          <w:rPr>
            <w:rFonts w:ascii="Cambria Math" w:eastAsiaTheme="minorEastAsia" w:hAnsi="Cambria Math" w:cs="Cambria Math"/>
          </w:rPr>
          <m:t>h</m:t>
        </m:r>
        <m:r>
          <w:rPr>
            <w:rFonts w:ascii="Cambria Math" w:eastAsiaTheme="minorEastAsia" w:hAnsi="Cambria Math"/>
          </w:rPr>
          <m:t>(</m:t>
        </m:r>
        <m:r>
          <w:rPr>
            <w:rFonts w:ascii="Cambria Math" w:eastAsiaTheme="minorEastAsia" w:hAnsi="Cambria Math" w:cs="Cambria Math"/>
          </w:rPr>
          <m:t>⋅</m:t>
        </m:r>
        <m:r>
          <w:rPr>
            <w:rFonts w:ascii="Cambria Math" w:eastAsiaTheme="minorEastAsia" w:hAnsi="Cambria Math"/>
          </w:rPr>
          <m:t>)</m:t>
        </m:r>
      </m:oMath>
      <w:r w:rsidR="00FC3A54" w:rsidRPr="00FC3A54">
        <w:rPr>
          <w:rFonts w:eastAsiaTheme="minorEastAsia"/>
        </w:rPr>
        <w:t xml:space="preserve"> function to allow more flexibility in the confounding adjustment.</w:t>
      </w:r>
    </w:p>
    <w:p w14:paraId="1483E87E" w14:textId="1CBF3029" w:rsidR="00BC2C2A" w:rsidRPr="002C1370" w:rsidRDefault="00FC3A54" w:rsidP="00FC3A54">
      <w:pPr>
        <w:rPr>
          <w:rFonts w:eastAsiaTheme="minorEastAsia"/>
        </w:rPr>
      </w:pPr>
      <w:r w:rsidRPr="00FC3A54">
        <w:rPr>
          <w:rFonts w:eastAsiaTheme="minorEastAsia"/>
        </w:rPr>
        <w:t>Utilizing the Bayesian model, we are able to calculate the posterior inclusion probability (PIP) of the exposure variables,</w:t>
      </w:r>
      <w:r w:rsidR="002C1370">
        <w:rPr>
          <w:rFonts w:eastAsiaTheme="minorEastAsia"/>
        </w:rPr>
        <w:t xml:space="preserve"> </w:t>
      </w:r>
      <w:r w:rsidRPr="00FC3A54">
        <w:rPr>
          <w:rFonts w:eastAsiaTheme="minorEastAsia"/>
        </w:rPr>
        <w:t>which denotes the likelihood of a particular being included in the model.</w:t>
      </w:r>
      <w:r w:rsidR="002C1370">
        <w:rPr>
          <w:rFonts w:eastAsiaTheme="minorEastAsia"/>
        </w:rPr>
        <w:t xml:space="preserve"> </w:t>
      </w:r>
      <w:r w:rsidR="002C1370" w:rsidRPr="002C1370">
        <w:rPr>
          <w:rFonts w:eastAsiaTheme="minorEastAsia"/>
          <w:highlight w:val="yellow"/>
        </w:rPr>
        <w:t>ADD VARIABLE SELECTION</w:t>
      </w:r>
      <w:r w:rsidR="004A3EF4" w:rsidRPr="004A3EF4">
        <w:rPr>
          <w:rFonts w:eastAsiaTheme="minorEastAsia"/>
          <w:highlight w:val="yellow"/>
        </w:rPr>
        <w:t>?</w:t>
      </w:r>
    </w:p>
    <w:p w14:paraId="3F994965" w14:textId="0F42E626" w:rsidR="00E508F9" w:rsidRPr="00E508F9" w:rsidRDefault="00E508F9" w:rsidP="000D0024">
      <w:pPr>
        <w:rPr>
          <w:u w:val="single"/>
        </w:rPr>
      </w:pPr>
      <w:r w:rsidRPr="00E508F9">
        <w:rPr>
          <w:u w:val="single"/>
        </w:rPr>
        <w:t>g-BKMR</w:t>
      </w:r>
    </w:p>
    <w:p w14:paraId="13348361" w14:textId="6BE3AF78" w:rsidR="0050193B" w:rsidRDefault="0064269D" w:rsidP="0050193B">
      <w:r>
        <w:t xml:space="preserve">g-BKMR is a Bayesian semi-parametric regression method that allow sfor (i) estimation of joint effects and interactions of time-varying environmental exposures, (ii) time-varying confounding. </w:t>
      </w:r>
      <w:r w:rsidR="0050193B">
        <w:t>For the g-formula to be implemented, we must</w:t>
      </w:r>
      <w:r w:rsidR="00D40A18">
        <w:t xml:space="preserve"> </w:t>
      </w:r>
      <w:r w:rsidR="0050193B">
        <w:t>estimate</w:t>
      </w:r>
      <w:r w:rsidR="003A2798">
        <w:t xml:space="preserve"> </w:t>
      </w:r>
      <m:oMath>
        <m:r>
          <w:rPr>
            <w:rFonts w:ascii="Cambria Math" w:hAnsi="Cambria Math"/>
          </w:rPr>
          <m:t>E[</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=A,L=l,</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e>
        </m:d>
      </m:oMath>
      <w:r w:rsidR="0050193B">
        <w:t xml:space="preserve"> </w:t>
      </w:r>
      <w:r w:rsidR="003148E8">
        <w:t xml:space="preserve">and </w:t>
      </w:r>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)f(</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oMath>
      <w:r w:rsidR="00140431">
        <w:t xml:space="preserve"> </w:t>
      </w:r>
      <w:r w:rsidR="003148E8">
        <w:t>f</w:t>
      </w:r>
      <w:r w:rsidR="0050193B">
        <w:t>rom the observed data. This involves postulating a</w:t>
      </w:r>
      <w:r w:rsidR="000A44FA">
        <w:t xml:space="preserve"> model for </w:t>
      </w:r>
      <m:oMath>
        <m:r>
          <w:rPr>
            <w:rFonts w:ascii="Cambria Math" w:hAnsi="Cambria Math"/>
          </w:rPr>
          <m:t>Y</m:t>
        </m:r>
      </m:oMath>
      <w:r w:rsidR="000A44FA">
        <w:t xml:space="preserve"> </w:t>
      </w:r>
      <w:r w:rsidR="000A44FA">
        <w:lastRenderedPageBreak/>
        <w:t xml:space="preserve">given </w:t>
      </w:r>
      <m:oMath>
        <m:r>
          <w:rPr>
            <w:rFonts w:ascii="Cambria Math" w:hAnsi="Cambria Math"/>
          </w:rPr>
          <m:t>A</m:t>
        </m:r>
      </m:oMath>
      <w:r w:rsidR="000A44FA">
        <w:t xml:space="preserve"> and </w:t>
      </w:r>
      <m:oMath>
        <m:r>
          <w:rPr>
            <w:rFonts w:ascii="Cambria Math" w:hAnsi="Cambria Math"/>
          </w:rPr>
          <m:t>L</m:t>
        </m:r>
      </m:oMath>
      <w:r w:rsidR="000A44FA">
        <w:t xml:space="preserve"> and models for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8E1B64">
        <w:rPr>
          <w:rFonts w:eastAsiaTheme="minorEastAsia"/>
        </w:rPr>
        <w:t xml:space="preserve"> </w:t>
      </w:r>
      <w:r w:rsidR="00401109">
        <w:rPr>
          <w:rFonts w:eastAsiaTheme="minorEastAsia"/>
        </w:rPr>
        <w:t xml:space="preserve">given </w:t>
      </w:r>
      <m:oMath>
        <m:sSub>
          <m:sSubPr>
            <m:ctrlPr>
              <w:rPr>
                <w:rFonts w:ascii="Cambria Math" w:hAnsi="Cambria Math"/>
                <w:i/>
              </w:rPr>
            </m:ctrlPr>
          </m:sSubPr>
          <m:e>
            <m:r>
              <w:rPr>
                <w:rFonts w:ascii="Cambria Math" w:hAnsi="Cambria Math"/>
              </w:rPr>
              <m:t>A</m:t>
            </m:r>
          </m:e>
          <m:sub>
            <m:r>
              <w:rPr>
                <w:rFonts w:ascii="Cambria Math" w:hAnsi="Cambria Math"/>
              </w:rPr>
              <m:t>t-1</m:t>
            </m:r>
          </m:sub>
        </m:sSub>
      </m:oMath>
      <w:r w:rsidR="00401109">
        <w:rPr>
          <w:rFonts w:eastAsiaTheme="minor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t-1</m:t>
            </m:r>
          </m:sub>
        </m:sSub>
      </m:oMath>
      <w:r w:rsidR="007A245B">
        <w:rPr>
          <w:rFonts w:eastAsiaTheme="minorEastAsia"/>
        </w:rPr>
        <w:t>.</w:t>
      </w:r>
      <w:r>
        <w:t xml:space="preserve"> </w:t>
      </w:r>
      <w:r w:rsidR="0050193B">
        <w:t xml:space="preserve">Using g-BKMR, we </w:t>
      </w:r>
      <w:r>
        <w:t xml:space="preserve">can </w:t>
      </w:r>
      <w:r w:rsidR="0050193B">
        <w:t>estimate the causal effect for a</w:t>
      </w:r>
      <w:r w:rsidR="0028187B">
        <w:t xml:space="preserve"> </w:t>
      </w:r>
      <w:r w:rsidR="0050193B">
        <w:t xml:space="preserve">change in exposure profile from </w:t>
      </w:r>
      <w:r w:rsidR="0050193B">
        <w:rPr>
          <w:rFonts w:ascii="Cambria Math" w:hAnsi="Cambria Math" w:cs="Cambria Math"/>
        </w:rPr>
        <w:t>𝐚</w:t>
      </w:r>
      <w:r w:rsidR="0050193B">
        <w:t xml:space="preserve"> to </w:t>
      </w:r>
      <w:r w:rsidR="0050193B">
        <w:rPr>
          <w:rFonts w:ascii="Cambria Math" w:hAnsi="Cambria Math" w:cs="Cambria Math"/>
        </w:rPr>
        <w:t>𝐚</w:t>
      </w:r>
      <w:r w:rsidR="0050193B" w:rsidRPr="004B03D5">
        <w:rPr>
          <w:rFonts w:ascii="Cambria Math" w:hAnsi="Cambria Math" w:cs="Cambria Math"/>
          <w:vertAlign w:val="superscript"/>
        </w:rPr>
        <w:t>∗</w:t>
      </w:r>
      <w:r w:rsidR="0050193B">
        <w:t xml:space="preserve"> via the following algorithm</w:t>
      </w:r>
      <w:r>
        <w:t>:</w:t>
      </w:r>
    </w:p>
    <w:p w14:paraId="09398414" w14:textId="3CE7B675" w:rsidR="002641C0" w:rsidRDefault="0050193B" w:rsidP="00CB460C">
      <w:pPr>
        <w:pStyle w:val="ListParagraph"/>
        <w:numPr>
          <w:ilvl w:val="0"/>
          <w:numId w:val="3"/>
        </w:numPr>
      </w:pPr>
      <w:r>
        <w:t>Fit BKMR time-varying confounding and outcome models:</w:t>
      </w:r>
    </w:p>
    <w:p w14:paraId="4D770896" w14:textId="77777777" w:rsidR="00CB460C" w:rsidRPr="00CB460C" w:rsidRDefault="00000000" w:rsidP="00CB460C">
      <w:pPr>
        <w:pStyle w:val="ListParagraph"/>
        <w:jc w:val="cente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m:t>
            </m:r>
          </m:e>
          <m:sub>
            <m:r>
              <w:rPr>
                <w:rFonts w:ascii="Cambria Math" w:hAnsi="Cambria Math"/>
              </w:rPr>
              <m:t>Li</m:t>
            </m:r>
          </m:sub>
        </m:sSub>
      </m:oMath>
      <w:r w:rsidR="00CB460C" w:rsidRPr="00CB460C">
        <w:rPr>
          <w:rFonts w:eastAsiaTheme="minorEastAsia"/>
        </w:rPr>
        <w:t xml:space="preserve">                          (4)</w:t>
      </w:r>
    </w:p>
    <w:p w14:paraId="6A9153A2" w14:textId="77777777" w:rsidR="00CB460C" w:rsidRPr="00CB460C" w:rsidRDefault="00000000" w:rsidP="00CB460C">
      <w:pPr>
        <w:pStyle w:val="ListParagraph"/>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Yi</m:t>
            </m:r>
          </m:sub>
        </m:sSub>
      </m:oMath>
      <w:r w:rsidR="00CB460C" w:rsidRPr="00CB460C">
        <w:rPr>
          <w:rFonts w:eastAsiaTheme="minorEastAsia"/>
        </w:rPr>
        <w:t xml:space="preserve">                    (5)</w:t>
      </w:r>
    </w:p>
    <w:p w14:paraId="71EF7E6F" w14:textId="673E101D" w:rsidR="00CB460C" w:rsidRPr="00CB460C" w:rsidRDefault="00CB460C" w:rsidP="00CB460C">
      <w:pPr>
        <w:ind w:left="360"/>
        <w:rPr>
          <w:rFonts w:eastAsiaTheme="minorEastAsia"/>
        </w:rPr>
      </w:pPr>
      <w:r w:rsidRPr="00CB460C">
        <w:rPr>
          <w:rFonts w:eastAsiaTheme="minorEastAsia"/>
        </w:rPr>
        <w:t>Note that multiple time-varying confounders at multiple time-points are allowed. Each of these would be modeled under the BKMR framework and can be fitted in parallel to speed computation.</w:t>
      </w:r>
    </w:p>
    <w:p w14:paraId="2AAF75DC" w14:textId="205E1874" w:rsidR="0074655B" w:rsidRPr="00CB460C" w:rsidRDefault="0074655B" w:rsidP="0074655B">
      <w:pPr>
        <w:pStyle w:val="ListParagraph"/>
        <w:numPr>
          <w:ilvl w:val="0"/>
          <w:numId w:val="3"/>
        </w:numPr>
      </w:pPr>
      <w:r w:rsidRPr="00CB460C">
        <w:rPr>
          <w:rFonts w:eastAsiaTheme="minorEastAsia"/>
        </w:rPr>
        <w:t xml:space="preserve">For each Markov chain Monte Carlo (MCMC) iteration, </w:t>
      </w:r>
      <m:oMath>
        <m:r>
          <w:rPr>
            <w:rFonts w:ascii="Cambria Math" w:eastAsiaTheme="minorEastAsia" w:hAnsi="Cambria Math" w:cs="Cambria Math"/>
          </w:rPr>
          <m:t>j</m:t>
        </m:r>
        <m:r>
          <w:rPr>
            <w:rFonts w:ascii="Cambria Math" w:eastAsiaTheme="minorEastAsia" w:hAnsi="Cambria Math"/>
          </w:rPr>
          <m:t>=1, ...,</m:t>
        </m:r>
        <m:r>
          <w:rPr>
            <w:rFonts w:ascii="Cambria Math" w:eastAsiaTheme="minorEastAsia" w:hAnsi="Cambria Math" w:cs="Cambria Math"/>
          </w:rPr>
          <m:t>J</m:t>
        </m:r>
      </m:oMath>
    </w:p>
    <w:p w14:paraId="2CD5C0B4" w14:textId="04C7FE48" w:rsidR="005A073D" w:rsidRDefault="0074655B" w:rsidP="0074655B">
      <w:pPr>
        <w:rPr>
          <w:rFonts w:eastAsiaTheme="minorEastAsia"/>
        </w:rPr>
      </w:pPr>
      <w:r w:rsidRPr="0074655B">
        <w:rPr>
          <w:rFonts w:eastAsiaTheme="minorEastAsia"/>
        </w:rPr>
        <w:t xml:space="preserve">a) Generate </w:t>
      </w:r>
      <m:oMath>
        <m:r>
          <w:rPr>
            <w:rFonts w:ascii="Cambria Math" w:eastAsiaTheme="minorEastAsia" w:hAnsi="Cambria Math" w:cs="Cambria Math"/>
          </w:rPr>
          <m:t>k</m:t>
        </m:r>
        <m:r>
          <w:rPr>
            <w:rFonts w:ascii="Cambria Math" w:eastAsiaTheme="minorEastAsia" w:hAnsi="Cambria Math"/>
          </w:rPr>
          <m:t>=1, ...,</m:t>
        </m:r>
        <m:r>
          <w:rPr>
            <w:rFonts w:ascii="Cambria Math" w:eastAsiaTheme="minorEastAsia" w:hAnsi="Cambria Math" w:cs="Cambria Math"/>
          </w:rPr>
          <m:t>K</m:t>
        </m:r>
      </m:oMath>
      <w:r w:rsidRPr="0074655B">
        <w:rPr>
          <w:rFonts w:eastAsiaTheme="minorEastAsia"/>
        </w:rPr>
        <w:t xml:space="preserve"> samples of the confounder for the mean level of covariates (</w:t>
      </w:r>
      <m:oMath>
        <m:acc>
          <m:accPr>
            <m:chr m:val="̅"/>
            <m:ctrlPr>
              <w:rPr>
                <w:rFonts w:ascii="Cambria Math" w:eastAsiaTheme="minorEastAsia" w:hAnsi="Cambria Math"/>
                <w:i/>
              </w:rPr>
            </m:ctrlPr>
          </m:accPr>
          <m:e>
            <m:r>
              <w:rPr>
                <w:rFonts w:ascii="Cambria Math" w:eastAsiaTheme="minorEastAsia" w:hAnsi="Cambria Math"/>
              </w:rPr>
              <m:t>c</m:t>
            </m:r>
          </m:e>
        </m:acc>
      </m:oMath>
      <w:r w:rsidRPr="0074655B">
        <w:rPr>
          <w:rFonts w:eastAsiaTheme="minorEastAsia"/>
        </w:rPr>
        <w:t>)</w:t>
      </w:r>
      <w:r w:rsidR="00003523">
        <w:rPr>
          <w:rFonts w:eastAsiaTheme="minorEastAsia"/>
        </w:rPr>
        <w:t xml:space="preserve"> </w:t>
      </w:r>
      <w:r w:rsidRPr="0074655B">
        <w:rPr>
          <w:rFonts w:eastAsiaTheme="minorEastAsia"/>
        </w:rPr>
        <w:t xml:space="preserve">under exposure level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sidRPr="0074655B">
        <w:rPr>
          <w:rFonts w:eastAsiaTheme="minorEastAsia"/>
        </w:rPr>
        <w:t xml:space="preserve"> from confounder</w:t>
      </w:r>
      <w:r w:rsidR="008A4770">
        <w:rPr>
          <w:rFonts w:eastAsiaTheme="minorEastAsia"/>
        </w:rPr>
        <w:t xml:space="preserve"> </w:t>
      </w:r>
      <w:r w:rsidRPr="0074655B">
        <w:rPr>
          <w:rFonts w:eastAsiaTheme="minorEastAsia"/>
        </w:rPr>
        <w:t>model</w:t>
      </w:r>
      <w:r w:rsidR="008A4770">
        <w:rPr>
          <w:rFonts w:eastAsiaTheme="minorEastAsia"/>
        </w:rPr>
        <w:t xml:space="preserve"> </w:t>
      </w:r>
      <w:r w:rsidRPr="0074655B">
        <w:rPr>
          <w:rFonts w:eastAsiaTheme="minorEastAsia"/>
        </w:rPr>
        <w:t>(4)</w:t>
      </w:r>
      <w:r w:rsidR="008A4770">
        <w:rPr>
          <w:rFonts w:eastAsiaTheme="minorEastAsia"/>
        </w:rPr>
        <w:t>:</w:t>
      </w:r>
    </w:p>
    <w:p w14:paraId="599F85D3" w14:textId="1F48E759" w:rsidR="008A4770" w:rsidRPr="00220BB4" w:rsidRDefault="00000000" w:rsidP="0074655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d>
                <m:dPr>
                  <m:ctrlPr>
                    <w:rPr>
                      <w:rFonts w:ascii="Cambria Math" w:eastAsiaTheme="minorEastAsia" w:hAnsi="Cambria Math"/>
                      <w:i/>
                    </w:rPr>
                  </m:ctrlPr>
                </m:dPr>
                <m:e>
                  <m:r>
                    <w:rPr>
                      <w:rFonts w:ascii="Cambria Math" w:eastAsiaTheme="minorEastAsia" w:hAnsi="Cambria Math"/>
                    </w:rPr>
                    <m:t>jk</m:t>
                  </m:r>
                </m:e>
              </m:d>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r>
                    <w:rPr>
                      <w:rFonts w:ascii="Cambria Math" w:eastAsiaTheme="minorEastAsia" w:hAnsi="Cambria Math"/>
                    </w:rPr>
                    <m:t>j</m:t>
                  </m:r>
                </m:e>
              </m:d>
            </m:sup>
          </m:sSup>
          <m:d>
            <m:dPr>
              <m:ctrlPr>
                <w:rPr>
                  <w:rFonts w:ascii="Cambria Math" w:eastAsiaTheme="minorEastAsia" w:hAnsi="Cambria Math"/>
                  <w:i/>
                </w:rPr>
              </m:ctrlPr>
            </m:dPr>
            <m:e>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c</m:t>
                      </m:r>
                    </m:e>
                  </m:acc>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L</m:t>
              </m:r>
            </m:sub>
            <m:sup>
              <m:d>
                <m:dPr>
                  <m:ctrlPr>
                    <w:rPr>
                      <w:rFonts w:ascii="Cambria Math" w:eastAsiaTheme="minorEastAsia" w:hAnsi="Cambria Math"/>
                      <w:i/>
                    </w:rPr>
                  </m:ctrlPr>
                </m:dPr>
                <m:e>
                  <m:r>
                    <w:rPr>
                      <w:rFonts w:ascii="Cambria Math" w:eastAsiaTheme="minorEastAsia" w:hAnsi="Cambria Math"/>
                    </w:rPr>
                    <m:t>j</m:t>
                  </m:r>
                </m:e>
              </m:d>
            </m:sup>
          </m:sSub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L</m:t>
              </m:r>
            </m:sub>
            <m:sup>
              <m:d>
                <m:dPr>
                  <m:ctrlPr>
                    <w:rPr>
                      <w:rFonts w:ascii="Cambria Math" w:eastAsiaTheme="minorEastAsia" w:hAnsi="Cambria Math"/>
                      <w:i/>
                    </w:rPr>
                  </m:ctrlPr>
                </m:dPr>
                <m:e>
                  <m:r>
                    <w:rPr>
                      <w:rFonts w:ascii="Cambria Math" w:eastAsiaTheme="minorEastAsia" w:hAnsi="Cambria Math"/>
                    </w:rPr>
                    <m:t>j</m:t>
                  </m:r>
                </m:e>
              </m:d>
            </m:sup>
          </m:sSubSup>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(j)</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L</m:t>
              </m:r>
            </m:sub>
            <m:sup>
              <m:d>
                <m:dPr>
                  <m:ctrlPr>
                    <w:rPr>
                      <w:rFonts w:ascii="Cambria Math" w:eastAsiaTheme="minorEastAsia" w:hAnsi="Cambria Math"/>
                      <w:i/>
                    </w:rPr>
                  </m:ctrlPr>
                </m:dPr>
                <m:e>
                  <m:r>
                    <w:rPr>
                      <w:rFonts w:ascii="Cambria Math" w:eastAsiaTheme="minorEastAsia" w:hAnsi="Cambria Math"/>
                    </w:rPr>
                    <m:t>j</m:t>
                  </m:r>
                </m:e>
              </m:d>
            </m:sup>
          </m:sSubSup>
          <m:r>
            <w:rPr>
              <w:rFonts w:ascii="Cambria Math" w:eastAsiaTheme="minorEastAsia" w:hAnsi="Cambria Math"/>
            </w:rPr>
            <m:t>N(0,1)</m:t>
          </m:r>
        </m:oMath>
      </m:oMathPara>
    </w:p>
    <w:p w14:paraId="50BF8CD1" w14:textId="77777777" w:rsidR="001C0DF7" w:rsidRDefault="00220BB4" w:rsidP="00CC3BF8">
      <w:pPr>
        <w:rPr>
          <w:rFonts w:eastAsiaTheme="minorEastAsia"/>
        </w:rPr>
      </w:pPr>
      <w:r>
        <w:rPr>
          <w:rFonts w:eastAsiaTheme="minorEastAsia"/>
        </w:rPr>
        <w:t xml:space="preserve">b) </w:t>
      </w:r>
      <w:r w:rsidRPr="00220BB4">
        <w:rPr>
          <w:rFonts w:eastAsiaTheme="minorEastAsia"/>
        </w:rPr>
        <w:t xml:space="preserve">For each of the </w:t>
      </w:r>
      <m:oMath>
        <m:r>
          <w:rPr>
            <w:rFonts w:ascii="Cambria Math" w:eastAsiaTheme="minorEastAsia" w:hAnsi="Cambria Math" w:cs="Cambria Math"/>
          </w:rPr>
          <m:t>j</m:t>
        </m:r>
        <m:r>
          <w:rPr>
            <w:rFonts w:ascii="Cambria Math" w:eastAsiaTheme="minorEastAsia" w:hAnsi="Cambria Math"/>
          </w:rPr>
          <m:t>=1,…,</m:t>
        </m:r>
        <m:r>
          <w:rPr>
            <w:rFonts w:ascii="Cambria Math" w:eastAsiaTheme="minorEastAsia" w:hAnsi="Cambria Math" w:cs="Cambria Math"/>
          </w:rPr>
          <m:t>J</m:t>
        </m:r>
      </m:oMath>
      <w:r w:rsidRPr="00220BB4">
        <w:rPr>
          <w:rFonts w:eastAsiaTheme="minorEastAsia"/>
        </w:rPr>
        <w:t xml:space="preserve"> iterations and </w:t>
      </w:r>
      <m:oMath>
        <m:r>
          <w:rPr>
            <w:rFonts w:ascii="Cambria Math" w:eastAsiaTheme="minorEastAsia" w:hAnsi="Cambria Math" w:cs="Cambria Math"/>
          </w:rPr>
          <m:t>k</m:t>
        </m:r>
        <m:r>
          <w:rPr>
            <w:rFonts w:ascii="Cambria Math" w:eastAsiaTheme="minorEastAsia" w:hAnsi="Cambria Math"/>
          </w:rPr>
          <m:t>=1,…,</m:t>
        </m:r>
        <m:r>
          <w:rPr>
            <w:rFonts w:ascii="Cambria Math" w:eastAsiaTheme="minorEastAsia" w:hAnsi="Cambria Math" w:cs="Cambria Math"/>
          </w:rPr>
          <m:t>K</m:t>
        </m:r>
      </m:oMath>
      <w:r w:rsidRPr="00220BB4">
        <w:rPr>
          <w:rFonts w:eastAsiaTheme="minorEastAsia"/>
        </w:rPr>
        <w:t xml:space="preserve"> samples of </w:t>
      </w:r>
      <m:oMath>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oMath>
      <w:r w:rsidRPr="00220BB4">
        <w:rPr>
          <w:rFonts w:eastAsiaTheme="minorEastAsia"/>
        </w:rPr>
        <w:t xml:space="preserve"> estimate the average outcome value for the mean</w:t>
      </w:r>
      <w:r w:rsidR="001C0DF7">
        <w:rPr>
          <w:rFonts w:eastAsiaTheme="minorEastAsia"/>
        </w:rPr>
        <w:t xml:space="preserve"> </w:t>
      </w:r>
      <w:r w:rsidRPr="00220BB4">
        <w:rPr>
          <w:rFonts w:eastAsiaTheme="minorEastAsia"/>
        </w:rPr>
        <w:t xml:space="preserve">level of covariates for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sub>
        </m:sSub>
      </m:oMath>
      <w:r w:rsidR="001C0DF7">
        <w:rPr>
          <w:rFonts w:eastAsiaTheme="minorEastAsia"/>
        </w:rPr>
        <w:t xml:space="preserve"> from model (5):</w:t>
      </w:r>
    </w:p>
    <w:p w14:paraId="4F752390" w14:textId="0AC95D53" w:rsidR="001C0DF7" w:rsidRPr="009A6483" w:rsidRDefault="00000000" w:rsidP="00CC3BF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sub>
            <m:sup>
              <m:d>
                <m:dPr>
                  <m:ctrlPr>
                    <w:rPr>
                      <w:rFonts w:ascii="Cambria Math" w:eastAsiaTheme="minorEastAsia" w:hAnsi="Cambria Math"/>
                      <w:i/>
                    </w:rPr>
                  </m:ctrlPr>
                </m:dPr>
                <m:e>
                  <m:r>
                    <w:rPr>
                      <w:rFonts w:ascii="Cambria Math" w:eastAsiaTheme="minorEastAsia" w:hAnsi="Cambria Math"/>
                    </w:rPr>
                    <m:t>jk</m:t>
                  </m:r>
                </m:e>
              </m:d>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up>
          </m:sSup>
          <m:d>
            <m:dPr>
              <m:ctrlPr>
                <w:rPr>
                  <w:rFonts w:ascii="Cambria Math" w:eastAsiaTheme="minorEastAsia" w:hAnsi="Cambria Math"/>
                  <w:i/>
                </w:rPr>
              </m:ctrlPr>
            </m:dPr>
            <m:e>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,L=</m:t>
                  </m:r>
                  <m:sSubSup>
                    <m:sSubSupPr>
                      <m:ctrlPr>
                        <w:rPr>
                          <w:rFonts w:ascii="Cambria Math" w:eastAsiaTheme="minorEastAsia" w:hAnsi="Cambria Math"/>
                          <w:i/>
                        </w:rPr>
                      </m:ctrlPr>
                    </m:sSubSup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d>
                        <m:dPr>
                          <m:ctrlPr>
                            <w:rPr>
                              <w:rFonts w:ascii="Cambria Math" w:eastAsiaTheme="minorEastAsia" w:hAnsi="Cambria Math"/>
                              <w:i/>
                            </w:rPr>
                          </m:ctrlPr>
                        </m:dPr>
                        <m:e>
                          <m:r>
                            <w:rPr>
                              <w:rFonts w:ascii="Cambria Math" w:eastAsiaTheme="minorEastAsia" w:hAnsi="Cambria Math"/>
                            </w:rPr>
                            <m:t>jk</m:t>
                          </m:r>
                        </m:e>
                      </m:d>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c</m:t>
                      </m:r>
                    </m:e>
                  </m:acc>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Y</m:t>
              </m:r>
            </m:sub>
            <m:sup>
              <m:d>
                <m:dPr>
                  <m:ctrlPr>
                    <w:rPr>
                      <w:rFonts w:ascii="Cambria Math" w:eastAsiaTheme="minorEastAsia" w:hAnsi="Cambria Math"/>
                      <w:i/>
                    </w:rPr>
                  </m:ctrlPr>
                </m:dPr>
                <m:e>
                  <m:r>
                    <w:rPr>
                      <w:rFonts w:ascii="Cambria Math" w:eastAsiaTheme="minorEastAsia" w:hAnsi="Cambria Math"/>
                    </w:rPr>
                    <m:t>j</m:t>
                  </m:r>
                </m:e>
              </m:d>
            </m:sup>
          </m:sSubSup>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,L=</m:t>
              </m:r>
              <m:sSubSup>
                <m:sSubSupPr>
                  <m:ctrlPr>
                    <w:rPr>
                      <w:rFonts w:ascii="Cambria Math" w:eastAsiaTheme="minorEastAsia" w:hAnsi="Cambria Math"/>
                      <w:i/>
                    </w:rPr>
                  </m:ctrlPr>
                </m:sSubSup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r>
                    <w:rPr>
                      <w:rFonts w:ascii="Cambria Math" w:eastAsiaTheme="minorEastAsia" w:hAnsi="Cambria Math"/>
                    </w:rPr>
                    <m:t>(jk)</m:t>
                  </m:r>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e>
          </m:d>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(j)</m:t>
              </m:r>
            </m:sup>
          </m:sSup>
        </m:oMath>
      </m:oMathPara>
    </w:p>
    <w:p w14:paraId="73A51272" w14:textId="18DAA1F6" w:rsidR="009A6483" w:rsidRDefault="009A6483" w:rsidP="00CC3BF8">
      <w:pPr>
        <w:rPr>
          <w:rFonts w:eastAsiaTheme="minorEastAsia"/>
        </w:rPr>
      </w:pPr>
      <w:r>
        <w:rPr>
          <w:rFonts w:eastAsiaTheme="minorEastAsia"/>
        </w:rPr>
        <w:t xml:space="preserve">c) Let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posterior sample of </w:t>
      </w:r>
      <m:oMath>
        <m:sSub>
          <m:sSubPr>
            <m:ctrlPr>
              <w:rPr>
                <w:rFonts w:ascii="Cambria Math" w:eastAsiaTheme="minorEastAsia" w:hAnsi="Cambria Math"/>
                <w:i/>
              </w:rPr>
            </m:ctrlPr>
          </m:sSubPr>
          <m:e>
            <m:r>
              <w:rPr>
                <w:rFonts w:ascii="Cambria Math" w:eastAsiaTheme="minorEastAsia" w:hAnsi="Cambria Math"/>
              </w:rPr>
              <m:t>Y</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sub>
        </m:sSub>
      </m:oMath>
      <w:r w:rsidR="0017140A">
        <w:rPr>
          <w:rFonts w:eastAsiaTheme="minorEastAsia"/>
        </w:rPr>
        <w:t xml:space="preserve"> be the mean over the </w:t>
      </w:r>
      <m:oMath>
        <m:r>
          <w:rPr>
            <w:rFonts w:ascii="Cambria Math" w:eastAsiaTheme="minorEastAsia" w:hAnsi="Cambria Math"/>
          </w:rPr>
          <m:t xml:space="preserve">K </m:t>
        </m:r>
      </m:oMath>
      <w:r w:rsidR="0017140A">
        <w:rPr>
          <w:rFonts w:eastAsiaTheme="minorEastAsia"/>
        </w:rPr>
        <w:t>samples</w:t>
      </w:r>
    </w:p>
    <w:p w14:paraId="62956ED4" w14:textId="56908648" w:rsidR="0017140A" w:rsidRPr="00CB460C" w:rsidRDefault="00000000" w:rsidP="00CC3BF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Sub>
            </m:sub>
            <m:sup>
              <m:d>
                <m:dPr>
                  <m:ctrlPr>
                    <w:rPr>
                      <w:rFonts w:ascii="Cambria Math" w:eastAsiaTheme="minorEastAsia" w:hAnsi="Cambria Math"/>
                      <w:i/>
                    </w:rPr>
                  </m:ctrlPr>
                </m:dPr>
                <m:e>
                  <m:r>
                    <w:rPr>
                      <w:rFonts w:ascii="Cambria Math" w:eastAsiaTheme="minorEastAsia" w:hAnsi="Cambria Math"/>
                    </w:rPr>
                    <m:t>j</m:t>
                  </m:r>
                </m:e>
              </m:d>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Sup>
                <m:sSubSupPr>
                  <m:ctrlPr>
                    <w:rPr>
                      <w:rFonts w:ascii="Cambria Math" w:eastAsiaTheme="minorEastAsia" w:hAnsi="Cambria Math"/>
                      <w:i/>
                    </w:rPr>
                  </m:ctrlPr>
                </m:sSubSupPr>
                <m:e>
                  <m:r>
                    <w:rPr>
                      <w:rFonts w:ascii="Cambria Math" w:eastAsiaTheme="minorEastAsia" w:hAnsi="Cambria Math"/>
                    </w:rPr>
                    <m:t>Y</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sub>
                <m:sup>
                  <m:r>
                    <w:rPr>
                      <w:rFonts w:ascii="Cambria Math" w:eastAsiaTheme="minorEastAsia" w:hAnsi="Cambria Math"/>
                    </w:rPr>
                    <m:t>(jk)</m:t>
                  </m:r>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(j)</m:t>
                      </m:r>
                    </m:sup>
                  </m:sSup>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e>
              </m:d>
            </m:e>
          </m:nary>
        </m:oMath>
      </m:oMathPara>
    </w:p>
    <w:p w14:paraId="30A6198D" w14:textId="471D67E9" w:rsidR="00673837" w:rsidRPr="00673837" w:rsidRDefault="00C71839" w:rsidP="00CC3BF8">
      <w:pPr>
        <w:pStyle w:val="ListParagraph"/>
        <w:numPr>
          <w:ilvl w:val="0"/>
          <w:numId w:val="3"/>
        </w:numPr>
        <w:rPr>
          <w:rFonts w:eastAsiaTheme="minorEastAsia"/>
        </w:rPr>
      </w:pPr>
      <w:r>
        <w:rPr>
          <w:rFonts w:eastAsiaTheme="minorEastAsia"/>
        </w:rPr>
        <w:t xml:space="preserve">The potential outcome </w:t>
      </w:r>
      <m:oMath>
        <m:sSup>
          <m:sSupPr>
            <m:ctrlPr>
              <w:rPr>
                <w:rFonts w:ascii="Cambria Math" w:eastAsiaTheme="minorEastAsia" w:hAnsi="Cambria Math"/>
                <w:i/>
              </w:rPr>
            </m:ctrlPr>
          </m:sSupPr>
          <m:e>
            <m:r>
              <w:rPr>
                <w:rFonts w:ascii="Cambria Math" w:eastAsiaTheme="minorEastAsia" w:hAnsi="Cambria Math"/>
              </w:rPr>
              <m:t>Y</m:t>
            </m:r>
          </m:e>
          <m: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p>
        </m:sSup>
      </m:oMath>
      <w:r w:rsidR="00673837" w:rsidRPr="00673837">
        <w:t>is then estimated as:</w:t>
      </w:r>
    </w:p>
    <w:p w14:paraId="3E7CB5CD" w14:textId="74354F4E" w:rsidR="00673837" w:rsidRPr="00B02423" w:rsidRDefault="00000000" w:rsidP="00673837">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J</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L</m:t>
                      </m:r>
                    </m:e>
                    <m:sub>
                      <m:r>
                        <w:rPr>
                          <w:rFonts w:ascii="Cambria Math" w:hAnsi="Cambria Math"/>
                        </w:rPr>
                        <m:t>a</m:t>
                      </m:r>
                    </m:sub>
                    <m:sup>
                      <m:r>
                        <w:rPr>
                          <w:rFonts w:ascii="Cambria Math" w:hAnsi="Cambria Math"/>
                        </w:rPr>
                        <m:t>*</m:t>
                      </m:r>
                    </m:sup>
                  </m:sSubSup>
                </m:sub>
                <m:sup>
                  <m:r>
                    <w:rPr>
                      <w:rFonts w:ascii="Cambria Math" w:hAnsi="Cambria Math"/>
                    </w:rPr>
                    <m:t>(j)</m:t>
                  </m:r>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e>
          </m:nary>
        </m:oMath>
      </m:oMathPara>
    </w:p>
    <w:p w14:paraId="44285E31" w14:textId="3C31FCE4" w:rsidR="00B02423" w:rsidRDefault="00B02423" w:rsidP="00673837">
      <w:pPr>
        <w:rPr>
          <w:rFonts w:eastAsiaTheme="minorEastAsia"/>
        </w:rPr>
      </w:pPr>
      <w:r>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posterior sample of the ATE is obtained by:</w:t>
      </w:r>
    </w:p>
    <w:p w14:paraId="2334EC45" w14:textId="546CF78B" w:rsidR="00B02423" w:rsidRPr="001A6E40" w:rsidRDefault="00000000" w:rsidP="00673837">
      <w:pPr>
        <w:rPr>
          <w:rFonts w:eastAsiaTheme="minorEastAsia"/>
        </w:rPr>
      </w:pPr>
      <m:oMathPara>
        <m:oMath>
          <m:sSup>
            <m:sSupPr>
              <m:ctrlPr>
                <w:rPr>
                  <w:rFonts w:ascii="Cambria Math" w:hAnsi="Cambria Math"/>
                  <w:i/>
                </w:rPr>
              </m:ctrlPr>
            </m:sSupPr>
            <m:e>
              <m:r>
                <w:rPr>
                  <w:rFonts w:ascii="Cambria Math" w:hAnsi="Cambria Math"/>
                </w:rPr>
                <m:t>ATE</m:t>
              </m:r>
            </m:e>
            <m:sup>
              <m:r>
                <w:rPr>
                  <w:rFonts w:ascii="Cambria Math" w:hAnsi="Cambria Math"/>
                </w:rPr>
                <m:t>j</m:t>
              </m:r>
            </m:sup>
          </m:sSup>
          <m:r>
            <w:rPr>
              <w:rFonts w:ascii="Cambria Math" w:hAnsi="Cambria Math"/>
            </w:rPr>
            <m:t>=</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L</m:t>
                  </m:r>
                </m:e>
                <m:sub>
                  <m:sSup>
                    <m:sSupPr>
                      <m:ctrlPr>
                        <w:rPr>
                          <w:rFonts w:ascii="Cambria Math" w:hAnsi="Cambria Math"/>
                          <w:i/>
                        </w:rPr>
                      </m:ctrlPr>
                    </m:sSupPr>
                    <m:e>
                      <m:r>
                        <w:rPr>
                          <w:rFonts w:ascii="Cambria Math" w:hAnsi="Cambria Math"/>
                        </w:rPr>
                        <m:t>a</m:t>
                      </m:r>
                    </m:e>
                    <m:sup>
                      <m:r>
                        <w:rPr>
                          <w:rFonts w:ascii="Cambria Math" w:hAnsi="Cambria Math"/>
                        </w:rPr>
                        <m:t>*</m:t>
                      </m:r>
                    </m:sup>
                  </m:sSup>
                </m:sub>
                <m:sup>
                  <m:r>
                    <w:rPr>
                      <w:rFonts w:ascii="Cambria Math" w:hAnsi="Cambria Math"/>
                    </w:rPr>
                    <m:t>(j)</m:t>
                  </m:r>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SubSup>
                <m:sSubSupPr>
                  <m:ctrlPr>
                    <w:rPr>
                      <w:rFonts w:ascii="Cambria Math" w:hAnsi="Cambria Math"/>
                      <w:i/>
                    </w:rPr>
                  </m:ctrlPr>
                </m:sSubSupPr>
                <m:e>
                  <m:r>
                    <w:rPr>
                      <w:rFonts w:ascii="Cambria Math" w:hAnsi="Cambria Math"/>
                    </w:rPr>
                    <m:t>L</m:t>
                  </m:r>
                </m:e>
                <m:sub>
                  <m:r>
                    <w:rPr>
                      <w:rFonts w:ascii="Cambria Math" w:hAnsi="Cambria Math"/>
                    </w:rPr>
                    <m:t>a</m:t>
                  </m:r>
                </m:sub>
                <m:sup>
                  <m:r>
                    <w:rPr>
                      <w:rFonts w:ascii="Cambria Math" w:hAnsi="Cambria Math"/>
                    </w:rPr>
                    <m:t>(j)</m:t>
                  </m:r>
                </m:sup>
              </m:sSub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sub>
          </m:sSub>
        </m:oMath>
      </m:oMathPara>
    </w:p>
    <w:p w14:paraId="1C59A81C" w14:textId="3B7B40CA" w:rsidR="001A6E40" w:rsidRDefault="001A6E40" w:rsidP="001A6E40">
      <w:pPr>
        <w:pStyle w:val="ListParagraph"/>
        <w:numPr>
          <w:ilvl w:val="0"/>
          <w:numId w:val="3"/>
        </w:numPr>
      </w:pPr>
      <w:r>
        <w:t>Estimate the 95% credible intervals from these posterior samples.</w:t>
      </w:r>
    </w:p>
    <w:p w14:paraId="51CC45F9" w14:textId="2E6802E8" w:rsidR="001A6E40" w:rsidRDefault="00500683" w:rsidP="00500683">
      <w:r>
        <w:t>The implementation of the g-BKMR algorithm discussed in this paper is publicly available on GitHub at the following link: https://github.com/zc2326/causalbkmr. In the current implementation, binary or continuous outcomes and time-varying covariates are accommodated.</w:t>
      </w:r>
    </w:p>
    <w:p w14:paraId="40E04B6E" w14:textId="32CDDAB5" w:rsidR="00500683" w:rsidRDefault="00500683" w:rsidP="00500683">
      <w:pPr>
        <w:rPr>
          <w:b/>
          <w:bCs/>
        </w:rPr>
      </w:pPr>
      <w:r w:rsidRPr="00500683">
        <w:rPr>
          <w:b/>
          <w:bCs/>
        </w:rPr>
        <w:lastRenderedPageBreak/>
        <w:t>Simulation study</w:t>
      </w:r>
    </w:p>
    <w:p w14:paraId="68349A4A" w14:textId="77777777" w:rsidR="00500683" w:rsidRPr="00500683" w:rsidRDefault="00500683" w:rsidP="00500683"/>
    <w:p w14:paraId="0C624DB5" w14:textId="028E20C8" w:rsidR="000D0024" w:rsidRPr="00673837" w:rsidRDefault="00F8619B" w:rsidP="00673837">
      <w:pPr>
        <w:rPr>
          <w:rFonts w:eastAsiaTheme="minorEastAsia"/>
        </w:rPr>
      </w:pPr>
      <w:r>
        <w:rPr>
          <w:b/>
          <w:bCs/>
        </w:rPr>
        <w:t>Application: urinary metals and blood glucose in The Strong Heart Study</w:t>
      </w:r>
    </w:p>
    <w:p w14:paraId="502F6787" w14:textId="77777777" w:rsidR="00C13001" w:rsidRDefault="00C13001" w:rsidP="00CC3BF8"/>
    <w:p w14:paraId="240E80C4" w14:textId="2466C400" w:rsidR="000D0024" w:rsidRPr="00F63175" w:rsidRDefault="0091109E" w:rsidP="00CC3BF8">
      <w:pPr>
        <w:rPr>
          <w:b/>
          <w:bCs/>
        </w:rPr>
      </w:pPr>
      <w:r w:rsidRPr="00F63175">
        <w:rPr>
          <w:b/>
          <w:bCs/>
        </w:rPr>
        <w:t>D</w:t>
      </w:r>
      <w:r w:rsidR="00F63175" w:rsidRPr="00F63175">
        <w:rPr>
          <w:b/>
          <w:bCs/>
        </w:rPr>
        <w:t>iscussion</w:t>
      </w:r>
    </w:p>
    <w:p w14:paraId="3F1DF2B2" w14:textId="27C77BBC" w:rsidR="00F63175" w:rsidRDefault="00F63175" w:rsidP="00F63175">
      <w:r>
        <w:t>Exposure to metal mixtures ha</w:t>
      </w:r>
      <w:r w:rsidR="0096550C">
        <w:t>s</w:t>
      </w:r>
      <w:r>
        <w:t xml:space="preserve"> been shown to increase the risk of several chronic diseases, including diabetes and cardiovascular disease. In this study, we </w:t>
      </w:r>
      <w:r w:rsidR="0057238E">
        <w:t>present</w:t>
      </w:r>
      <w:r>
        <w:t xml:space="preserve"> a novel method, g-BKMR, to estimate the joint effect of multiple time-varying exposures over time while adjusting for time-varying confounders. Our approach allows the estimation of joint effects and interactions of time-varying environmental exposures, which is critical for understanding the complex relationships between exposures and health outcomes. Moreover, our method accounts for time</w:t>
      </w:r>
      <w:r w:rsidR="003D4CD5">
        <w:t>-</w:t>
      </w:r>
      <w:r>
        <w:t>varying confounding, and could also be extended to help mitigate potential biases that may arise from unmeasured confounding factors.</w:t>
      </w:r>
    </w:p>
    <w:p w14:paraId="5A584476" w14:textId="269E42CC" w:rsidR="00F63175" w:rsidRDefault="00F63175" w:rsidP="00F63175">
      <w:r>
        <w:t xml:space="preserve">The g-formula used in our method allows for complex relationships between the elements of the mixture and the confounders through the joint kernel specification in the outcome model. </w:t>
      </w:r>
      <w:r w:rsidR="006B56D0">
        <w:t>Beyond environmental health</w:t>
      </w:r>
      <w:r>
        <w:t>, our proposed method can be applied to a wide range of data with high-dimensional time-varying</w:t>
      </w:r>
      <w:r w:rsidR="006B56D0">
        <w:t xml:space="preserve"> correlated</w:t>
      </w:r>
      <w:r>
        <w:t xml:space="preserve"> exposures</w:t>
      </w:r>
      <w:r w:rsidR="006B56D0">
        <w:t xml:space="preserve"> when causal interpretation is desired</w:t>
      </w:r>
      <w:r>
        <w:t>.</w:t>
      </w:r>
    </w:p>
    <w:p w14:paraId="7906A096" w14:textId="207562CE" w:rsidR="00784C23" w:rsidRDefault="00333FEC" w:rsidP="00333FEC">
      <w:r>
        <w:t>Applying g-BKMR to the Strong Heart Study, we found a harmful effect of co-exposure to Arsenic, Cadmium, Lead, Antimony, Molybdenum, Selenium, Tungsten, and Uranium on blood glucose among female participants. This finding highlights the importance of addressing exposure to metal mixtures in the prevention of diabetes and cardiovascular disease.</w:t>
      </w:r>
      <w:r w:rsidR="009009DF">
        <w:t xml:space="preserve"> </w:t>
      </w:r>
      <w:r>
        <w:t>The considerable width of the</w:t>
      </w:r>
      <w:r w:rsidR="009009DF">
        <w:t xml:space="preserve"> </w:t>
      </w:r>
      <w:r>
        <w:t>c</w:t>
      </w:r>
      <w:r w:rsidR="009009DF">
        <w:t>redib</w:t>
      </w:r>
      <w:r w:rsidR="006B56D0">
        <w:t>le</w:t>
      </w:r>
      <w:r>
        <w:t xml:space="preserve"> intervals may be attributed to a high correlation among the predictors in our analysis, leading to increased uncertainty.</w:t>
      </w:r>
      <w:r w:rsidR="00A9132C">
        <w:t xml:space="preserve"> Our simulation study also showed that g-BKMR outperforms other existing methods for the evaluation of environmental mixtures with repeated measures.</w:t>
      </w:r>
    </w:p>
    <w:p w14:paraId="409B59BB" w14:textId="5E1003FC" w:rsidR="000D0024" w:rsidRDefault="00374DCB" w:rsidP="00374DCB">
      <w:r>
        <w:t xml:space="preserve">In conclusion, the g-BKMR method provides a powerful and flexible approach to estimate the joint effects of time-varying exposures, while accounting for time-varying confounders, and can be applied to a wide range of data. The findings from our application of g-BKMR to the Strong Heart Study underscore the importance of addressing exposure to metal mixtures in the prevention of chronic diseases. </w:t>
      </w:r>
      <w:r w:rsidR="00F02A44" w:rsidRPr="00F02A44">
        <w:t>g-BKMR</w:t>
      </w:r>
      <w:r w:rsidR="00F02A44">
        <w:t xml:space="preserve"> enables a </w:t>
      </w:r>
      <w:r w:rsidR="00F02A44" w:rsidRPr="00F02A44">
        <w:t>better understand</w:t>
      </w:r>
      <w:r w:rsidR="00F02A44">
        <w:t>ing of</w:t>
      </w:r>
      <w:r w:rsidR="00F02A44" w:rsidRPr="00F02A44">
        <w:t xml:space="preserve"> the complex relationship between environmental mixtures and health outcomes, paving the way for more effective public health policies and interventions.</w:t>
      </w:r>
    </w:p>
    <w:sectPr w:rsidR="000D00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mingo Relloso, Arce" w:date="2025-11-24T17:31:00Z" w:initials="DRA">
    <w:p w14:paraId="7C8DA510" w14:textId="77777777" w:rsidR="0048059D" w:rsidRDefault="0048059D" w:rsidP="0048059D">
      <w:r>
        <w:rPr>
          <w:rStyle w:val="CommentReference"/>
        </w:rPr>
        <w:annotationRef/>
      </w:r>
      <w:r>
        <w:rPr>
          <w:sz w:val="20"/>
          <w:szCs w:val="20"/>
        </w:rPr>
        <w:t>Explain difference between considering a longitudinal outcome or a final outcome with a time-varying confounder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8DA5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2E9BDE" w16cex:dateUtc="2025-11-24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8DA510" w16cid:durableId="782E9B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56E4E"/>
    <w:multiLevelType w:val="hybridMultilevel"/>
    <w:tmpl w:val="A43AC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A7027"/>
    <w:multiLevelType w:val="hybridMultilevel"/>
    <w:tmpl w:val="3940D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8D5FA1"/>
    <w:multiLevelType w:val="hybridMultilevel"/>
    <w:tmpl w:val="FBA0B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5737641">
    <w:abstractNumId w:val="0"/>
  </w:num>
  <w:num w:numId="2" w16cid:durableId="552891869">
    <w:abstractNumId w:val="2"/>
  </w:num>
  <w:num w:numId="3" w16cid:durableId="10383133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go Relloso, Arce">
    <w15:presenceInfo w15:providerId="AD" w15:userId="S::ad3531@cumc.columbia.edu::203adb7b-201c-449f-b8e9-8bc1306e38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F8"/>
    <w:rsid w:val="00003523"/>
    <w:rsid w:val="000639F6"/>
    <w:rsid w:val="0007430F"/>
    <w:rsid w:val="00085291"/>
    <w:rsid w:val="00086297"/>
    <w:rsid w:val="000A44FA"/>
    <w:rsid w:val="000C19F7"/>
    <w:rsid w:val="000D0024"/>
    <w:rsid w:val="000D5515"/>
    <w:rsid w:val="000D77CE"/>
    <w:rsid w:val="000F713F"/>
    <w:rsid w:val="0010470E"/>
    <w:rsid w:val="00113952"/>
    <w:rsid w:val="00114A9D"/>
    <w:rsid w:val="00125D09"/>
    <w:rsid w:val="00140431"/>
    <w:rsid w:val="00141029"/>
    <w:rsid w:val="0017140A"/>
    <w:rsid w:val="00172A8F"/>
    <w:rsid w:val="001A6E40"/>
    <w:rsid w:val="001C0DF7"/>
    <w:rsid w:val="001D49F3"/>
    <w:rsid w:val="001E2C4A"/>
    <w:rsid w:val="001F0825"/>
    <w:rsid w:val="002172EE"/>
    <w:rsid w:val="00220BB4"/>
    <w:rsid w:val="0022119D"/>
    <w:rsid w:val="002641C0"/>
    <w:rsid w:val="0028187B"/>
    <w:rsid w:val="00296616"/>
    <w:rsid w:val="002C1370"/>
    <w:rsid w:val="002D24B2"/>
    <w:rsid w:val="002E77C9"/>
    <w:rsid w:val="003148E8"/>
    <w:rsid w:val="00333FEC"/>
    <w:rsid w:val="0034674D"/>
    <w:rsid w:val="00370731"/>
    <w:rsid w:val="00372677"/>
    <w:rsid w:val="00374DCB"/>
    <w:rsid w:val="003A2798"/>
    <w:rsid w:val="003A678A"/>
    <w:rsid w:val="003A6BEE"/>
    <w:rsid w:val="003D4BE2"/>
    <w:rsid w:val="003D4CD5"/>
    <w:rsid w:val="003D630D"/>
    <w:rsid w:val="00401109"/>
    <w:rsid w:val="0040115F"/>
    <w:rsid w:val="00434009"/>
    <w:rsid w:val="004423BD"/>
    <w:rsid w:val="004752E9"/>
    <w:rsid w:val="0048059D"/>
    <w:rsid w:val="004A3EF4"/>
    <w:rsid w:val="004A63AB"/>
    <w:rsid w:val="004A6B61"/>
    <w:rsid w:val="004B03D5"/>
    <w:rsid w:val="00500683"/>
    <w:rsid w:val="005006C5"/>
    <w:rsid w:val="0050193B"/>
    <w:rsid w:val="00506FDE"/>
    <w:rsid w:val="00522652"/>
    <w:rsid w:val="005669DD"/>
    <w:rsid w:val="0057203D"/>
    <w:rsid w:val="0057238E"/>
    <w:rsid w:val="00575572"/>
    <w:rsid w:val="0057738A"/>
    <w:rsid w:val="005856AC"/>
    <w:rsid w:val="005A073D"/>
    <w:rsid w:val="005D13FD"/>
    <w:rsid w:val="0060757E"/>
    <w:rsid w:val="00613F87"/>
    <w:rsid w:val="00621D00"/>
    <w:rsid w:val="00622DEB"/>
    <w:rsid w:val="00626D55"/>
    <w:rsid w:val="0064269D"/>
    <w:rsid w:val="00673837"/>
    <w:rsid w:val="00682767"/>
    <w:rsid w:val="00691978"/>
    <w:rsid w:val="006B56D0"/>
    <w:rsid w:val="006B754E"/>
    <w:rsid w:val="006F746E"/>
    <w:rsid w:val="00702350"/>
    <w:rsid w:val="00706644"/>
    <w:rsid w:val="007407E9"/>
    <w:rsid w:val="00740A2B"/>
    <w:rsid w:val="00743891"/>
    <w:rsid w:val="0074655B"/>
    <w:rsid w:val="00776A01"/>
    <w:rsid w:val="00784C23"/>
    <w:rsid w:val="007A0246"/>
    <w:rsid w:val="007A245B"/>
    <w:rsid w:val="00815246"/>
    <w:rsid w:val="00823468"/>
    <w:rsid w:val="008274A7"/>
    <w:rsid w:val="00847F11"/>
    <w:rsid w:val="00863C53"/>
    <w:rsid w:val="00866E2A"/>
    <w:rsid w:val="00873284"/>
    <w:rsid w:val="00877157"/>
    <w:rsid w:val="00886A27"/>
    <w:rsid w:val="0088750F"/>
    <w:rsid w:val="008A19B7"/>
    <w:rsid w:val="008A4770"/>
    <w:rsid w:val="008B5AD8"/>
    <w:rsid w:val="008D0C3D"/>
    <w:rsid w:val="008E1B64"/>
    <w:rsid w:val="009009DF"/>
    <w:rsid w:val="0091109E"/>
    <w:rsid w:val="00935AEE"/>
    <w:rsid w:val="00936BA3"/>
    <w:rsid w:val="00936DE4"/>
    <w:rsid w:val="00964061"/>
    <w:rsid w:val="0096550C"/>
    <w:rsid w:val="00976AF5"/>
    <w:rsid w:val="009839B5"/>
    <w:rsid w:val="0098549E"/>
    <w:rsid w:val="009900E1"/>
    <w:rsid w:val="009938E8"/>
    <w:rsid w:val="009A19EC"/>
    <w:rsid w:val="009A2663"/>
    <w:rsid w:val="009A42D1"/>
    <w:rsid w:val="009A6483"/>
    <w:rsid w:val="009A7713"/>
    <w:rsid w:val="009D2AF0"/>
    <w:rsid w:val="009E063E"/>
    <w:rsid w:val="00A06EAA"/>
    <w:rsid w:val="00A66DF4"/>
    <w:rsid w:val="00A9132C"/>
    <w:rsid w:val="00AD18E6"/>
    <w:rsid w:val="00AF0B16"/>
    <w:rsid w:val="00B02423"/>
    <w:rsid w:val="00B21C78"/>
    <w:rsid w:val="00B71720"/>
    <w:rsid w:val="00B84197"/>
    <w:rsid w:val="00B923A8"/>
    <w:rsid w:val="00BA396D"/>
    <w:rsid w:val="00BB48C4"/>
    <w:rsid w:val="00BC2C2A"/>
    <w:rsid w:val="00BD20A3"/>
    <w:rsid w:val="00C04A69"/>
    <w:rsid w:val="00C13001"/>
    <w:rsid w:val="00C6495B"/>
    <w:rsid w:val="00C67F3E"/>
    <w:rsid w:val="00C71839"/>
    <w:rsid w:val="00CA7CA1"/>
    <w:rsid w:val="00CB460C"/>
    <w:rsid w:val="00CC3BF8"/>
    <w:rsid w:val="00CC4D11"/>
    <w:rsid w:val="00D03DA2"/>
    <w:rsid w:val="00D109B9"/>
    <w:rsid w:val="00D167BF"/>
    <w:rsid w:val="00D23AA9"/>
    <w:rsid w:val="00D270F3"/>
    <w:rsid w:val="00D40A18"/>
    <w:rsid w:val="00D423AB"/>
    <w:rsid w:val="00D8515F"/>
    <w:rsid w:val="00D8589E"/>
    <w:rsid w:val="00DA743D"/>
    <w:rsid w:val="00DB52B9"/>
    <w:rsid w:val="00DC2877"/>
    <w:rsid w:val="00DC5149"/>
    <w:rsid w:val="00DD5D6B"/>
    <w:rsid w:val="00DE0B38"/>
    <w:rsid w:val="00DE2786"/>
    <w:rsid w:val="00DF2816"/>
    <w:rsid w:val="00E4630A"/>
    <w:rsid w:val="00E47AE0"/>
    <w:rsid w:val="00E508F9"/>
    <w:rsid w:val="00E63399"/>
    <w:rsid w:val="00E6745B"/>
    <w:rsid w:val="00E84B13"/>
    <w:rsid w:val="00EB370D"/>
    <w:rsid w:val="00EC1F1C"/>
    <w:rsid w:val="00ED7C9F"/>
    <w:rsid w:val="00F02A44"/>
    <w:rsid w:val="00F22F1E"/>
    <w:rsid w:val="00F5634A"/>
    <w:rsid w:val="00F63175"/>
    <w:rsid w:val="00F76573"/>
    <w:rsid w:val="00F8619B"/>
    <w:rsid w:val="00F9392A"/>
    <w:rsid w:val="00FA3216"/>
    <w:rsid w:val="00FA6ECB"/>
    <w:rsid w:val="00FC3A54"/>
    <w:rsid w:val="00FC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432609"/>
  <w15:chartTrackingRefBased/>
  <w15:docId w15:val="{41291C39-0965-1D4F-80E7-7654804C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BF8"/>
    <w:rPr>
      <w:rFonts w:eastAsiaTheme="majorEastAsia" w:cstheme="majorBidi"/>
      <w:color w:val="272727" w:themeColor="text1" w:themeTint="D8"/>
    </w:rPr>
  </w:style>
  <w:style w:type="paragraph" w:styleId="Title">
    <w:name w:val="Title"/>
    <w:basedOn w:val="Normal"/>
    <w:next w:val="Normal"/>
    <w:link w:val="TitleChar"/>
    <w:uiPriority w:val="10"/>
    <w:qFormat/>
    <w:rsid w:val="00CC3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BF8"/>
    <w:pPr>
      <w:spacing w:before="160"/>
      <w:jc w:val="center"/>
    </w:pPr>
    <w:rPr>
      <w:i/>
      <w:iCs/>
      <w:color w:val="404040" w:themeColor="text1" w:themeTint="BF"/>
    </w:rPr>
  </w:style>
  <w:style w:type="character" w:customStyle="1" w:styleId="QuoteChar">
    <w:name w:val="Quote Char"/>
    <w:basedOn w:val="DefaultParagraphFont"/>
    <w:link w:val="Quote"/>
    <w:uiPriority w:val="29"/>
    <w:rsid w:val="00CC3BF8"/>
    <w:rPr>
      <w:i/>
      <w:iCs/>
      <w:color w:val="404040" w:themeColor="text1" w:themeTint="BF"/>
    </w:rPr>
  </w:style>
  <w:style w:type="paragraph" w:styleId="ListParagraph">
    <w:name w:val="List Paragraph"/>
    <w:basedOn w:val="Normal"/>
    <w:uiPriority w:val="34"/>
    <w:qFormat/>
    <w:rsid w:val="00CC3BF8"/>
    <w:pPr>
      <w:ind w:left="720"/>
      <w:contextualSpacing/>
    </w:pPr>
  </w:style>
  <w:style w:type="character" w:styleId="IntenseEmphasis">
    <w:name w:val="Intense Emphasis"/>
    <w:basedOn w:val="DefaultParagraphFont"/>
    <w:uiPriority w:val="21"/>
    <w:qFormat/>
    <w:rsid w:val="00CC3BF8"/>
    <w:rPr>
      <w:i/>
      <w:iCs/>
      <w:color w:val="0F4761" w:themeColor="accent1" w:themeShade="BF"/>
    </w:rPr>
  </w:style>
  <w:style w:type="paragraph" w:styleId="IntenseQuote">
    <w:name w:val="Intense Quote"/>
    <w:basedOn w:val="Normal"/>
    <w:next w:val="Normal"/>
    <w:link w:val="IntenseQuoteChar"/>
    <w:uiPriority w:val="30"/>
    <w:qFormat/>
    <w:rsid w:val="00CC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BF8"/>
    <w:rPr>
      <w:i/>
      <w:iCs/>
      <w:color w:val="0F4761" w:themeColor="accent1" w:themeShade="BF"/>
    </w:rPr>
  </w:style>
  <w:style w:type="character" w:styleId="IntenseReference">
    <w:name w:val="Intense Reference"/>
    <w:basedOn w:val="DefaultParagraphFont"/>
    <w:uiPriority w:val="32"/>
    <w:qFormat/>
    <w:rsid w:val="00CC3BF8"/>
    <w:rPr>
      <w:b/>
      <w:bCs/>
      <w:smallCaps/>
      <w:color w:val="0F4761" w:themeColor="accent1" w:themeShade="BF"/>
      <w:spacing w:val="5"/>
    </w:rPr>
  </w:style>
  <w:style w:type="paragraph" w:styleId="NormalWeb">
    <w:name w:val="Normal (Web)"/>
    <w:basedOn w:val="Normal"/>
    <w:uiPriority w:val="99"/>
    <w:unhideWhenUsed/>
    <w:rsid w:val="00E508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508F9"/>
    <w:rPr>
      <w:color w:val="0000FF"/>
      <w:u w:val="single"/>
    </w:rPr>
  </w:style>
  <w:style w:type="character" w:styleId="CommentReference">
    <w:name w:val="annotation reference"/>
    <w:basedOn w:val="DefaultParagraphFont"/>
    <w:uiPriority w:val="99"/>
    <w:semiHidden/>
    <w:unhideWhenUsed/>
    <w:rsid w:val="006B56D0"/>
    <w:rPr>
      <w:sz w:val="16"/>
      <w:szCs w:val="16"/>
    </w:rPr>
  </w:style>
  <w:style w:type="paragraph" w:styleId="CommentText">
    <w:name w:val="annotation text"/>
    <w:basedOn w:val="Normal"/>
    <w:link w:val="CommentTextChar"/>
    <w:uiPriority w:val="99"/>
    <w:semiHidden/>
    <w:unhideWhenUsed/>
    <w:rsid w:val="006B56D0"/>
    <w:pPr>
      <w:spacing w:line="240" w:lineRule="auto"/>
    </w:pPr>
    <w:rPr>
      <w:sz w:val="20"/>
      <w:szCs w:val="20"/>
    </w:rPr>
  </w:style>
  <w:style w:type="character" w:customStyle="1" w:styleId="CommentTextChar">
    <w:name w:val="Comment Text Char"/>
    <w:basedOn w:val="DefaultParagraphFont"/>
    <w:link w:val="CommentText"/>
    <w:uiPriority w:val="99"/>
    <w:semiHidden/>
    <w:rsid w:val="006B56D0"/>
    <w:rPr>
      <w:sz w:val="20"/>
      <w:szCs w:val="20"/>
    </w:rPr>
  </w:style>
  <w:style w:type="paragraph" w:styleId="CommentSubject">
    <w:name w:val="annotation subject"/>
    <w:basedOn w:val="CommentText"/>
    <w:next w:val="CommentText"/>
    <w:link w:val="CommentSubjectChar"/>
    <w:uiPriority w:val="99"/>
    <w:semiHidden/>
    <w:unhideWhenUsed/>
    <w:rsid w:val="006B56D0"/>
    <w:rPr>
      <w:b/>
      <w:bCs/>
    </w:rPr>
  </w:style>
  <w:style w:type="character" w:customStyle="1" w:styleId="CommentSubjectChar">
    <w:name w:val="Comment Subject Char"/>
    <w:basedOn w:val="CommentTextChar"/>
    <w:link w:val="CommentSubject"/>
    <w:uiPriority w:val="99"/>
    <w:semiHidden/>
    <w:rsid w:val="006B56D0"/>
    <w:rPr>
      <w:b/>
      <w:bCs/>
      <w:sz w:val="20"/>
      <w:szCs w:val="20"/>
    </w:rPr>
  </w:style>
  <w:style w:type="paragraph" w:styleId="Revision">
    <w:name w:val="Revision"/>
    <w:hidden/>
    <w:uiPriority w:val="99"/>
    <w:semiHidden/>
    <w:rsid w:val="006B56D0"/>
    <w:pPr>
      <w:spacing w:after="0" w:line="240" w:lineRule="auto"/>
    </w:pPr>
  </w:style>
  <w:style w:type="character" w:styleId="PlaceholderText">
    <w:name w:val="Placeholder Text"/>
    <w:basedOn w:val="DefaultParagraphFont"/>
    <w:uiPriority w:val="99"/>
    <w:semiHidden/>
    <w:rsid w:val="00847F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DAC7E6-9925-DC42-B5F3-EB64F96E103F}"/>
      </w:docPartPr>
      <w:docPartBody>
        <w:p w:rsidR="00FE1658" w:rsidRDefault="00061CCC">
          <w:r w:rsidRPr="00A022B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CC"/>
    <w:rsid w:val="00001B5C"/>
    <w:rsid w:val="00061CCC"/>
    <w:rsid w:val="00086297"/>
    <w:rsid w:val="0010470E"/>
    <w:rsid w:val="00201D54"/>
    <w:rsid w:val="00556A92"/>
    <w:rsid w:val="005669DD"/>
    <w:rsid w:val="005675D0"/>
    <w:rsid w:val="005856AC"/>
    <w:rsid w:val="00755592"/>
    <w:rsid w:val="00823468"/>
    <w:rsid w:val="009A7713"/>
    <w:rsid w:val="009B1232"/>
    <w:rsid w:val="00B15382"/>
    <w:rsid w:val="00BB37DE"/>
    <w:rsid w:val="00E324E2"/>
    <w:rsid w:val="00FD41B2"/>
    <w:rsid w:val="00FE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55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71C77-1456-E744-9073-C0539BA5D6E7}">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410106349"/>
    <we:property name="MENDELEY_CITATIONS" value="[{&quot;citationID&quot;:&quot;MENDELEY_CITATION_6c3cb1bd-076b-4c32-97d2-db8ebde723a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&quot;,&quot;citationItems&quot;:[{&quot;id&quot;:&quot;34d5e01b-774a-3bc7-a811-ff656b1c6dbe&quot;,&quot;itemData&quot;:{&quot;type&quot;:&quot;article-journal&quot;,&quot;id&quot;:&quot;34d5e01b-774a-3bc7-a811-ff656b1c6dbe&quot;,&quot;title&quot;:&quot;Estimating the Health Effects of Exposure to Multi-Pollutant Mixture&quot;,&quot;author&quot;:[{&quot;family&quot;:&quot;Billionnet&quot;,&quot;given&quot;:&quot;Cécile&quot;,&quot;parse-names&quot;:false,&quot;dropping-particle&quot;:&quot;&quot;,&quot;non-dropping-particle&quot;:&quot;&quot;},{&quot;family&quot;:&quot;Sherrill&quot;,&quot;given&quot;:&quot;Duane&quot;,&quot;parse-names&quot;:false,&quot;dropping-particle&quot;:&quot;&quot;,&quot;non-dropping-particle&quot;:&quot;&quot;},{&quot;family&quot;:&quot;Annesi-Maesano&quot;,&quot;given&quot;:&quot;Isabella&quot;,&quot;parse-names&quot;:false,&quot;dropping-particle&quot;:&quot;&quot;,&quot;non-dropping-particle&quot;:&quot;&quot;}],&quot;container-title&quot;:&quot;Annals of Epidemiology&quot;,&quot;container-title-short&quot;:&quot;Ann Epidemiol&quot;,&quot;accessed&quot;:{&quot;date-parts&quot;:[[2025,11,17]]},&quot;DOI&quot;:&quot;10.1016/J.ANNEPIDEM.2011.11.004&quot;,&quot;ISSN&quot;:&quot;1047-2797&quot;,&quot;PMID&quot;:&quot;22226033&quot;,&quot;URL&quot;:&quot;https://www.sciencedirect.com/science/article/abs/pii/S1047279711003425&quot;,&quot;issued&quot;:{&quot;date-parts&quot;:[[2012,2,1]]},&quot;page&quot;:&quot;126-141&quot;,&quot;abstract&quot;:&quot;Purpose: Air pollution constitutes a major public health concern because of its ubiquity and of its potential health impact. Because individuals are exposed to many air pollutants at once that are highly correlated with each other, there is a need to consider the multi-pollutant exposure phenomenon. The characteristics of multiple pollutants that make statistical analysis of health-related effects of air pollution complex include the high correlation between pollutants prevents the use of standard statistical methods, the potential existence of interaction between pollutants, the common measurement errors, the importance of the number of pollutants to consider, and the potential nonlinear relationship between exposure and health. Methods: We made a review of statistical methods either used in the literature to study the effect of multiple pollutants or identified as potentially applicable to this problem. We reported the results of investigations that applied such methods. Results: Eighteen publications have investigated the multi-pollutant effects, 5 on indoor pollution, 10 on outdoor pollution, and 3 on statistical methodology with application on outdoor pollution. Some other publications have only addressed statistical methodology. Conclusions: The use of Hierarchical Bayesian approach, dimension reduction methods, clustering, recursive partitioning, and logic regression are some potential methods described. Methods that provide figures for risk assessments should be put forward in public health decisions. © 2012 Elsevier Inc.&quot;,&quot;publisher&quot;:&quot;Elsevier&quot;,&quot;issue&quot;:&quot;2&quot;,&quot;volume&quot;:&quot;22&quot;},&quot;isTemporary&quot;:false}]},{&quot;citationID&quot;:&quot;MENDELEY_CITATION_3dc26782-2a5b-4598-b3e5-93703291806a&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&quot;,&quot;citationItems&quot;:[{&quot;id&quot;:&quot;f33c252e-97d9-3d48-ba0a-57cbb27dcf26&quot;,&quot;itemData&quot;:{&quot;type&quot;:&quot;article-journal&quot;,&quot;id&quot;:&quot;f33c252e-97d9-3d48-ba0a-57cbb27dcf26&quot;,&quot;title&quot;:&quot;Characterization of Weighted Quantile Sum Regression for Highly Correlated Data in a Risk Analysis Setting&quot;,&quot;author&quot;:[{&quot;family&quot;:&quot;Carrico&quot;,&quot;given&quot;:&quot;Caroline&quot;,&quot;parse-names&quot;:false,&quot;dropping-particle&quot;:&quot;&quot;,&quot;non-dropping-particle&quot;:&quot;&quot;},{&quot;family&quot;:&quot;Gennings&quot;,&quot;given&quot;:&quot;Chris&quot;,&quot;parse-names&quot;:false,&quot;dropping-particle&quot;:&quot;&quot;,&quot;non-dropping-particle&quot;:&quot;&quot;},{&quot;family&quot;:&quot;Wheeler&quot;,&quot;given&quot;:&quot;David C.&quot;,&quot;parse-names&quot;:false,&quot;dropping-particle&quot;:&quot;&quot;,&quot;non-dropping-particle&quot;:&quot;&quot;},{&quot;family&quot;:&quot;Factor-Litvak&quot;,&quot;given&quot;:&quot;Pam&quot;,&quot;parse-names&quot;:false,&quot;dropping-particle&quot;:&quot;&quot;,&quot;non-dropping-particle&quot;:&quot;&quot;}],&quot;container-title&quot;:&quot;Journal of agricultural, biological, and environmental statistics&quot;,&quot;container-title-short&quot;:&quot;J Agric Biol Environ Stat&quot;,&quot;accessed&quot;:{&quot;date-parts&quot;:[[2025,11,17]]},&quot;DOI&quot;:&quot;10.1007/S13253-014-0180-3&quot;,&quot;ISSN&quot;:&quot;1085-7117&quot;,&quot;PMID&quot;:&quot;30505142&quot;,&quot;URL&quot;:&quot;https://pubmed.ncbi.nlm.nih.gov/30505142/&quot;,&quot;issued&quot;:{&quot;date-parts&quot;:[[2015,3,1]]},&quot;page&quot;:&quot;100-120&quot;,&quot;abstract&quot;:&quot;In risk evaluation, the effect of mixtures of environmental chemicals on a common adverse outcome is of interest. However, due to the high dimensionality and inherent correlations among chemicals that occur together, the traditional methods (e.g. ordinary or logistic regression) suffer from collinearity and variance inflation, and shrinkage methods have limitations in selecting among correlated components. We propose a weighted quantile sum (WQS) approach to estimating a body burden index, which identifies “bad actors” in a set of highly correlated environmental chemicals. We evaluate and characterize the accuracy of WQS regression in variable selection through extensive simulation studies through sensitivity and specificity (i.e., ability of the WQS method to select the bad actors correctly and not incorrect ones). We demonstrate the improvement in accuracy this method provides over traditional ordinary regression and shrinkage methods (lasso, adaptive lasso, and elastic net). Results from simulations demonstrate that WQS regression is accurate under some environmentally relevant conditions, but its accuracy decreases for a fixed correlation pattern as the association with a response variable diminishes. Nonzero weights (i.e., weights exceeding a selection threshold parameter) may be used to identify bad actors; however, components within a cluster of highly correlated active components tend to have lower weights, with the sum of their weights representative of the set.\nSupplementary materials accompanying this paper appear on-line.&quot;,&quot;publisher&quot;:&quot;J Agric Biol Environ Stat&quot;,&quot;issue&quot;:&quot;1&quot;,&quot;volume&quot;:&quot;20&quot;},&quot;isTemporary&quot;:false}]},{&quot;citationID&quot;:&quot;MENDELEY_CITATION_4cecfb0c-3499-49e7-b33a-de5e2b58a5b5&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&quot;,&quot;citationItems&quot;:[{&quot;id&quot;:&quot;cf51d39d-cef8-306a-8e20-7bbbdadd1c75&quot;,&quot;itemData&quot;:{&quot;type&quot;:&quot;article-journal&quot;,&quot;id&quot;:&quot;cf51d39d-cef8-306a-8e20-7bbbdadd1c75&quot;,&quot;title&quot;:&quot;Bayesian kernel machine regression for estimating the health effects of multi-pollutant mixtures&quot;,&quot;author&quot;:[{&quot;family&quot;:&quot;Bobb&quot;,&quot;given&quot;:&quot;Jennifer F.&quot;,&quot;parse-names&quot;:false,&quot;dropping-particle&quot;:&quot;&quot;,&quot;non-dropping-particle&quot;:&quot;&quot;},{&quot;family&quot;:&quot;Valeri&quot;,&quot;given&quot;:&quot;Linda&quot;,&quot;parse-names&quot;:false,&quot;dropping-particle&quot;:&quot;&quot;,&quot;non-dropping-particle&quot;:&quot;&quot;},{&quot;family&quot;:&quot;Claus Henn&quot;,&quot;given&quot;:&quot;Birgit&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Mazumdar&quot;,&quot;given&quot;:&quot;Maitreyi&quot;,&quot;parse-names&quot;:false,&quot;dropping-particle&quot;:&quot;&quot;,&quot;non-dropping-particle&quot;:&quot;&quot;},{&quot;family&quot;:&quot;Godleski&quot;,&quot;given&quot;:&quot;John J.&quot;,&quot;parse-names&quot;:false,&quot;dropping-particle&quot;:&quot;&quot;,&quot;non-dropping-particle&quot;:&quot;&quot;},{&quot;family&quot;:&quot;Coull&quot;,&quot;given&quot;:&quot;Brent A.&quot;,&quot;parse-names&quot;:false,&quot;dropping-particle&quot;:&quot;&quot;,&quot;non-dropping-particle&quot;:&quot;&quot;}],&quot;container-title&quot;:&quot;Biostatistics (Oxford, England)&quot;,&quot;container-title-short&quot;:&quot;Biostatistics&quot;,&quot;accessed&quot;:{&quot;date-parts&quot;:[[2023,12,6]]},&quot;DOI&quot;:&quot;10.1093/BIOSTATISTICS/KXU058&quot;,&quot;ISSN&quot;:&quot;1468-4357&quot;,&quot;PMID&quot;:&quot;25532525&quot;,&quot;URL&quot;:&quot;https://pubmed.ncbi.nlm.nih.gov/25532525/&quot;,&quot;issued&quot;:{&quot;date-parts&quot;:[[2015]]},&quot;page&quot;:&quot;493-508&quot;,&quot;abstract&quot;:&quot;Because humans are invariably exposed to complex chemical mixtures, estimating the health effects of multi-pollutant exposures is of critical concern in environmental epidemiology, and to regulatory agencies such as the U.S. Environmental Protection Agency. However, most health effects studies focus on single agents or consider simple two-way interaction models, in part because we lack the statistical methodology to more realistically capture the complexity of mixed exposures. We introduce Bayesian kernel machine regression (BKMR) as a new approach to study mixtures, in which the health outcome is regressed on a flexible function of the mixture (e.g. air pollution or toxic waste) components that is specified using a kernel function. In high-dimensional settings, a novel hierarchical variable selection approach is incorporated to identify important mixture components and account for the correlated structure of the mixture. Simulation studies demonstrate the success of BKMR in estimating the exposure-response function and in identifying the individual components of the mixture responsible for health effects. We demonstrate the features of the method through epidemiology and toxicology applications.&quot;,&quot;publisher&quot;:&quot;Biostatistics&quot;,&quot;issue&quot;:&quot;3&quot;,&quot;volume&quot;:&quot;16&quot;},&quot;isTemporary&quot;:false}]},{&quot;citationID&quot;:&quot;MENDELEY_CITATION_ba171687-122b-4a97-8f12-095d6114fc0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&quot;,&quot;citationItems&quot;:[{&quot;id&quot;:&quot;23109a35-4a4b-35f2-9db2-debf11f2d473&quot;,&quot;itemData&quot;:{&quot;type&quot;:&quot;article-journal&quot;,&quot;id&quot;:&quot;23109a35-4a4b-35f2-9db2-debf11f2d473&quot;,&quot;title&quot;:&quot;Bayesian Weighted Sums: A Flexible Approach to Estimate Summed Mixture Effects&quot;,&quot;author&quot;:[{&quot;family&quot;:&quot;Hamra&quot;,&quot;given&quot;:&quot;Ghassan B.&quot;,&quot;parse-names&quot;:false,&quot;dropping-particle&quot;:&quot;&quot;,&quot;non-dropping-particle&quot;:&quot;&quot;},{&quot;family&quot;:&quot;Maclehose&quot;,&quot;given&quot;:&quot;Richard F.&quot;,&quot;parse-names&quot;:false,&quot;dropping-particle&quot;:&quot;&quot;,&quot;non-dropping-particle&quot;:&quot;&quot;},{&quot;family&quot;:&quot;Croen&quot;,&quot;given&quot;:&quot;Lisa&quot;,&quot;parse-names&quot;:false,&quot;dropping-particle&quot;:&quot;&quot;,&quot;non-dropping-particle&quot;:&quot;&quot;},{&quot;family&quot;:&quot;Kauffman&quot;,&quot;given&quot;:&quot;Elizabeth M.&quot;,&quot;parse-names&quot;:false,&quot;dropping-particle&quot;:&quot;&quot;,&quot;non-dropping-particle&quot;:&quot;&quot;},{&quot;family&quot;:&quot;Newschaffer&quot;,&quot;given&quot;:&quot;Craig&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11,17]]},&quot;DOI&quot;:&quot;10.3390/IJERPH18041373&quot;,&quot;ISSN&quot;:&quot;16604601&quot;,&quot;PMID&quot;:&quot;33546139&quot;,&quot;URL&quot;:&quot;https://pmc.ncbi.nlm.nih.gov/articles/PMC7913173/&quot;,&quot;issued&quot;:{&quot;date-parts&quot;:[[2021,2,2]]},&quot;page&quot;:&quot;1373&quot;,&quot;abstract&quot;:&quot;Objectives: Methods exist to study exposure mixtures, but each is distinct in the research question it aims to address. We propose a new approach focused on estimating both the summed effect and individual weights of one or multiple exposure mixtures: Bayesian Weighted Sums (BWS). Methods: We applied BWS to simulated and real datasets with correlated exposures. The analytic context in our real-world example is an estimation of the association between polybrominated diphenyl ether (PBDE) congeners (28, 47, 99, 100, and 153) and Autism Spectrum Disorder (ASD) diagnosis and Social Responsiveness Scores (SRS). Results: Simulations demonstrate that BWS performs reliably. In adjusted models using Early Autism Risk Longitudinal Investigation (EARLI) data, the odds of ASD for a 1-unit increase in the weighted sum of PBDEs were 1.41 (95% highest posterior density 0.82, 2.50) times the odds of ASD for the unexposed and the change in z-score standardized SRS per 1 unit increase in the weighted sum of PBDEs is 0.15 (95% highest posterior density −0.08, 0.38). Conclusions: BWS provides a means of estimating the summed effect and weights for individual components of a mixture. This approach is distinct from other exposure mixture tools. BWS may be more flexible than existing approaches and can be specified to allow multiple exposure groups based on a priori knowledge from epidemiology or toxicology.&quot;,&quot;publisher&quot;:&quot;MDPI AG&quot;,&quot;issue&quot;:&quot;4&quot;,&quot;volume&quot;:&quot;18&quot;},&quot;isTemporary&quot;:false}]},{&quot;citationID&quot;:&quot;MENDELEY_CITATION_ee7ea506-c16d-403c-b461-74bd455ce110&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&quot;,&quot;citationItems&quot;:[{&quot;id&quot;:&quot;8ebe8b53-e101-3146-bb4c-1470a93236c6&quot;,&quot;itemData&quot;:{&quot;type&quot;:&quot;article-journal&quot;,&quot;id&quot;:&quot;8ebe8b53-e101-3146-bb4c-1470a93236c6&quot;,&quot;title&quot;:&quot;Comparison of Frequentist and Bayesian Generalized Additive Models for Assessing the Association Between Daily Exposure to Fine Particles and Respiratory Mortality: A Simulation Study&quot;,&quot;author&quot;:[{&quot;family&quot;:&quot;Fang&quot;,&quot;given&quot;:&quot;Xin&quot;,&quot;parse-names&quot;:false,&quot;dropping-particle&quot;:&quot;&quot;,&quot;non-dropping-particle&quot;:&quot;&quot;},{&quot;family&quot;:&quot;Fang&quot;,&quot;given&quot;:&quot;Bo&quot;,&quot;parse-names&quot;:false,&quot;dropping-particle&quot;:&quot;&quot;,&quot;non-dropping-particle&quot;:&quot;&quot;},{&quot;family&quot;:&quot;Wang&quot;,&quot;given&quot;:&quot;Chunfang&quot;,&quot;parse-names&quot;:false,&quot;dropping-particle&quot;:&quot;&quot;,&quot;non-dropping-particle&quot;:&quot;&quot;},{&quot;family&quot;:&quot;Xia&quot;,&quot;given&quot;:&quot;Tian&quot;,&quot;parse-names&quot;:false,&quot;dropping-particle&quot;:&quot;&quot;,&quot;non-dropping-particle&quot;:&quot;&quot;},{&quot;family&quot;:&quot;Bottai&quot;,&quot;given&quot;:&quot;Matteo&quot;,&quot;parse-names&quot;:false,&quot;dropping-particle&quot;:&quot;&quot;,&quot;non-dropping-particle&quot;:&quot;&quot;},{&quot;family&quot;:&quot;Fang&quot;,&quot;given&quot;:&quot;Fang&quot;,&quot;parse-names&quot;:false,&quot;dropping-particle&quot;:&quot;&quot;,&quot;non-dropping-particle&quot;:&quot;&quot;},{&quot;family&quot;:&quot;Cao&quot;,&quot;given&quot;:&quot;Yang&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11,17]]},&quot;DOI&quot;:&quot;10.3390/IJERPH16050746&quot;,&quot;ISSN&quot;:&quot;1660-4601&quot;,&quot;PMID&quot;:&quot;30832258&quot;,&quot;URL&quot;:&quot;https://pubmed.ncbi.nlm.nih.gov/30832258/&quot;,&quot;issued&quot;:{&quot;date-parts&quot;:[[2019,3,1]]},&quot;abstract&quot;:&quot;Objective: To compare the performance of frequentist and Bayesian generalized additive models (GAMs) in terms of accuracy and precision for assessing the association between daily exposure to fine particles and respiratory mortality using simulated data based on a real time-series study. Methods: In our study, we examined the estimates from a fully Bayesian GAM using simulated data based on a genuine time-series study on fine particles with a diameter of 2.5 μm or less (PM 2.5 ) and respiratory deaths conducted in Shanghai, China. The simulation was performed by multiplying the observed daily death with a random error. The underlying priors for Bayesian analysis are estimated using the real world time-series data. We also examined the sensitivity of Bayesian GAM to the choice of priors and to true parameter. Results: The frequentist GAM and Bayesian GAM show similar means and variances of the estimates of the parameters of interest. However, the estimates from Bayesian GAM show relatively more fluctuation, which to some extent reflects the uncertainty inherent in Bayesian estimation. Conclusions: Although computationally intensive, Bayesian GAM would be a better solution to avoid potentially over-confident inferences. With the increasing computing power of computers and statistical packages available, fully Bayesian methods for decision making may become more widely applied in the future.&quot;,&quot;publisher&quot;:&quot;Int J Environ Res Public Health&quot;,&quot;issue&quot;:&quot;5&quot;,&quot;volume&quot;:&quot;16&quot;},&quot;isTemporary&quot;:false}]},{&quot;citationID&quot;:&quot;MENDELEY_CITATION_0f26de2d-6127-44a6-8fe5-5ebb1bc3d8af&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&quot;,&quot;citationItems&quot;:[{&quot;id&quot;:&quot;dcf51c60-6267-337a-bd80-9cbfaa6ea5a3&quot;,&quot;itemData&quot;:{&quot;type&quot;:&quot;article-journal&quot;,&quot;id&quot;:&quot;dcf51c60-6267-337a-bd80-9cbfaa6ea5a3&quot;,&quot;title&quot;:&quot;Estimating causal effects of treatments in randomized and nonrandomized studies&quot;,&quot;author&quot;:[{&quot;family&quot;:&quot;Rubin&quot;,&quot;given&quot;:&quot;Donald B.&quot;,&quot;parse-names&quot;:false,&quot;dropping-particle&quot;:&quot;&quot;,&quot;non-dropping-particle&quot;:&quot;&quot;}],&quot;container-title&quot;:&quot;Journal of Educational Psychology&quot;,&quot;container-title-short&quot;:&quot;J Educ Psychol&quot;,&quot;accessed&quot;:{&quot;date-parts&quot;:[[2025,11,17]]},&quot;DOI&quot;:&quot;10.1037/H0037350&quot;,&quot;ISSN&quot;:&quot;00220663&quot;,&quot;issued&quot;:{&quot;date-parts&quot;:[[1974,10]]},&quot;page&quot;:&quot;688-701&quot;,&quot;abstract&quot;:&quot;Presents a discussion of matching, randomization, random sampling, and other methods of controlling extraneous variation. The objective was to specify the benefits of randomization in estimating causal effects of treatments. It is concluded that randomization should be employed whenever possible but that the use of carefully controlled nonrandomized data to estimate causal effects is a reasonable and necessary procedure in many cases. (15 ref) (PsycINFO Database Record (c) 2006 APA, all rights reserved). © 1974 American Psychological Association.&quot;,&quot;issue&quot;:&quot;5&quot;,&quot;volume&quot;:&quot;66&quot;},&quot;isTemporary&quot;:false}]},{&quot;citationID&quot;:&quot;MENDELEY_CITATION_d54550e5-1595-4a06-9b42-f6dde68fd1ff&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&quot;,&quot;citationItems&quot;:[{&quot;id&quot;:&quot;e8660785-7410-31a2-8282-cde16598b235&quot;,&quot;itemData&quot;:{&quot;type&quot;:&quot;report&quot;,&quot;id&quot;:&quot;e8660785-7410-31a2-8282-cde16598b235&quot;,&quot;title&quot;:&quot;Causal Inference: What If&quot;,&quot;author&quot;:[{&quot;family&quot;:&quot;Hernán&quot;,&quot;given&quot;:&quot;Miguel A&quot;,&quot;parse-names&quot;:false,&quot;dropping-particle&quot;:&quot;&quot;,&quot;non-dropping-particle&quot;:&quot;&quot;},{&quot;family&quot;:&quot;Robins&quot;,&quot;given&quot;:&quot;James M&quot;,&quot;parse-names&quot;:false,&quot;dropping-particle&quot;:&quot;&quot;,&quot;non-dropping-particle&quot;:&quot;&quot;}],&quot;accessed&quot;:{&quot;date-parts&quot;:[[2020,5,28]]},&quot;issued&quot;:{&quot;date-parts&quot;:[[2020]]},&quot;container-title-short&quot;:&quot;&quot;},&quot;isTemporary&quot;:false}]}]"/>
    <we:property name="MENDELEY_CITATIONS_LOCALE_CODE" value="&quot;en-US&quot;"/>
    <we:property name="MENDELEY_CITATIONS_STYLE" value="{&quot;id&quot;:&quot;https://www.zotero.org/styles/circulation&quot;,&quot;title&quot;:&quot;Circul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E1525-AEC9-4E4B-9DB0-68F3DB4062F5}">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7</Pages>
  <Words>2230</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Domingo Relloso, Arce</dc:creator>
  <cp:keywords/>
  <dc:description/>
  <cp:lastModifiedBy>Domingo Relloso, Arce</cp:lastModifiedBy>
  <cp:revision>126</cp:revision>
  <dcterms:created xsi:type="dcterms:W3CDTF">2025-11-18T14:18:00Z</dcterms:created>
  <dcterms:modified xsi:type="dcterms:W3CDTF">2026-04-16T17:40:00Z</dcterms:modified>
</cp:coreProperties>
</file>