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2029" w14:textId="77777777" w:rsidR="00863EA7" w:rsidRDefault="002604E0">
      <w:pPr>
        <w:spacing w:after="343"/>
        <w:ind w:left="-5" w:right="164"/>
      </w:pPr>
      <w:r>
        <w:t>The goal of this assignment is to assess your knowledge and skills on Control structures, while developing skills to map requirements to program code. You will find a grading scheme at the end of this document – to guide you on instructor’s expectations wh</w:t>
      </w:r>
      <w:r>
        <w:t>ile preparing your submission.</w:t>
      </w:r>
    </w:p>
    <w:p w14:paraId="6C4095AA" w14:textId="77777777" w:rsidR="00863EA7" w:rsidRDefault="002604E0">
      <w:pPr>
        <w:pStyle w:val="Heading1"/>
        <w:ind w:left="-5" w:right="0"/>
      </w:pPr>
      <w:r>
        <w:t>Program Requirements</w:t>
      </w:r>
    </w:p>
    <w:p w14:paraId="04BA939F" w14:textId="77777777" w:rsidR="00863EA7" w:rsidRDefault="002604E0">
      <w:pPr>
        <w:spacing w:after="142"/>
        <w:ind w:left="499" w:right="164" w:hanging="255"/>
      </w:pPr>
      <w:r>
        <w:t xml:space="preserve">1. </w:t>
      </w:r>
      <w:r>
        <w:rPr>
          <w:b/>
        </w:rPr>
        <w:t xml:space="preserve">Nova Scotia’s Income Tax Calculator: </w:t>
      </w:r>
      <w:r>
        <w:t>Employees within the province of Nova Scotia are taxed at different levels - Federal and Provincial. Other deductions like Canadian Pension Plan (CPP), Employment I</w:t>
      </w:r>
      <w:r>
        <w:t>nsurance, and Tax amounts are computed according to salary brackets. (</w:t>
      </w:r>
      <w:hyperlink r:id="rId7">
        <w:r>
          <w:rPr>
            <w:color w:val="0000FF"/>
          </w:rPr>
          <w:t xml:space="preserve">See </w:t>
        </w:r>
      </w:hyperlink>
      <w:hyperlink r:id="rId8">
        <w:r>
          <w:rPr>
            <w:color w:val="0000FF"/>
          </w:rPr>
          <w:t>Payroll Deduction for Nova Scotia Province – Effective January 1, 2021</w:t>
        </w:r>
      </w:hyperlink>
      <w:hyperlink r:id="rId9">
        <w:r>
          <w:t>)</w:t>
        </w:r>
      </w:hyperlink>
    </w:p>
    <w:p w14:paraId="04BDEDCB" w14:textId="77777777" w:rsidR="00863EA7" w:rsidRDefault="002604E0">
      <w:pPr>
        <w:spacing w:after="478"/>
        <w:ind w:left="508" w:right="164"/>
      </w:pPr>
      <w:r>
        <w:t xml:space="preserve">Nova Scotia’s (i.e., provincial) tax rates and thresholds are given in table 1 while that of federal is given in table 2. Other deductions include CPP (Canada Pension Plan) and EI (Employment Insurance). While CPP is 5.25% of the gross income </w:t>
      </w:r>
      <w:r>
        <w:rPr>
          <w:color w:val="0000FF"/>
        </w:rPr>
        <w:t>(but to a max</w:t>
      </w:r>
      <w:r>
        <w:rPr>
          <w:color w:val="0000FF"/>
        </w:rPr>
        <w:t>imum amount of $2,898.00)</w:t>
      </w:r>
      <w:r>
        <w:t xml:space="preserve">, EI is 1.58% of the gross income </w:t>
      </w:r>
      <w:r>
        <w:rPr>
          <w:color w:val="0000FF"/>
        </w:rPr>
        <w:t>(but to a maximum amount of $856.36)</w:t>
      </w:r>
      <w:r>
        <w:t>.</w:t>
      </w:r>
    </w:p>
    <w:tbl>
      <w:tblPr>
        <w:tblStyle w:val="TableGrid"/>
        <w:tblW w:w="6714" w:type="dxa"/>
        <w:tblInd w:w="1156" w:type="dxa"/>
        <w:tblCellMar>
          <w:top w:w="43" w:type="dxa"/>
          <w:left w:w="115" w:type="dxa"/>
          <w:bottom w:w="0" w:type="dxa"/>
          <w:right w:w="115" w:type="dxa"/>
        </w:tblCellMar>
        <w:tblLook w:val="04A0" w:firstRow="1" w:lastRow="0" w:firstColumn="1" w:lastColumn="0" w:noHBand="0" w:noVBand="1"/>
      </w:tblPr>
      <w:tblGrid>
        <w:gridCol w:w="4312"/>
        <w:gridCol w:w="2402"/>
      </w:tblGrid>
      <w:tr w:rsidR="00863EA7" w14:paraId="747FA992" w14:textId="77777777">
        <w:trPr>
          <w:trHeight w:val="271"/>
        </w:trPr>
        <w:tc>
          <w:tcPr>
            <w:tcW w:w="4312" w:type="dxa"/>
            <w:tcBorders>
              <w:top w:val="single" w:sz="3" w:space="0" w:color="000000"/>
              <w:left w:val="double" w:sz="3" w:space="0" w:color="000000"/>
              <w:bottom w:val="single" w:sz="3" w:space="0" w:color="000000"/>
              <w:right w:val="single" w:sz="3" w:space="0" w:color="000000"/>
            </w:tcBorders>
          </w:tcPr>
          <w:p w14:paraId="05582C9D" w14:textId="77777777" w:rsidR="00863EA7" w:rsidRDefault="002604E0">
            <w:pPr>
              <w:spacing w:after="0" w:line="259" w:lineRule="auto"/>
              <w:ind w:left="20" w:right="0" w:firstLine="0"/>
              <w:jc w:val="left"/>
            </w:pPr>
            <w:r>
              <w:t>Annual Taxable Income (range of incomes - $)</w:t>
            </w:r>
          </w:p>
        </w:tc>
        <w:tc>
          <w:tcPr>
            <w:tcW w:w="2402" w:type="dxa"/>
            <w:tcBorders>
              <w:top w:val="single" w:sz="3" w:space="0" w:color="000000"/>
              <w:left w:val="single" w:sz="3" w:space="0" w:color="000000"/>
              <w:bottom w:val="single" w:sz="3" w:space="0" w:color="000000"/>
              <w:right w:val="double" w:sz="3" w:space="0" w:color="000000"/>
            </w:tcBorders>
          </w:tcPr>
          <w:p w14:paraId="22B4286D" w14:textId="77777777" w:rsidR="00863EA7" w:rsidRDefault="002604E0">
            <w:pPr>
              <w:spacing w:after="0" w:line="259" w:lineRule="auto"/>
              <w:ind w:left="0" w:right="0" w:firstLine="0"/>
              <w:jc w:val="left"/>
            </w:pPr>
            <w:r>
              <w:t>Provincial Tax Rate (%)</w:t>
            </w:r>
          </w:p>
        </w:tc>
      </w:tr>
      <w:tr w:rsidR="00863EA7" w14:paraId="73283B25" w14:textId="77777777">
        <w:trPr>
          <w:trHeight w:val="270"/>
        </w:trPr>
        <w:tc>
          <w:tcPr>
            <w:tcW w:w="4312" w:type="dxa"/>
            <w:tcBorders>
              <w:top w:val="single" w:sz="3" w:space="0" w:color="000000"/>
              <w:left w:val="double" w:sz="3" w:space="0" w:color="000000"/>
              <w:bottom w:val="nil"/>
              <w:right w:val="single" w:sz="3" w:space="0" w:color="000000"/>
            </w:tcBorders>
          </w:tcPr>
          <w:p w14:paraId="60994D48" w14:textId="77777777" w:rsidR="00863EA7" w:rsidRDefault="002604E0">
            <w:pPr>
              <w:spacing w:after="0" w:line="259" w:lineRule="auto"/>
              <w:ind w:left="20" w:right="0" w:firstLine="0"/>
              <w:jc w:val="center"/>
            </w:pPr>
            <w:r>
              <w:t>0</w:t>
            </w:r>
            <w:proofErr w:type="gramStart"/>
            <w:r>
              <w:t xml:space="preserve"> ..</w:t>
            </w:r>
            <w:proofErr w:type="gramEnd"/>
            <w:r>
              <w:t xml:space="preserve"> 29,590.00</w:t>
            </w:r>
          </w:p>
        </w:tc>
        <w:tc>
          <w:tcPr>
            <w:tcW w:w="2402" w:type="dxa"/>
            <w:tcBorders>
              <w:top w:val="single" w:sz="3" w:space="0" w:color="000000"/>
              <w:left w:val="single" w:sz="3" w:space="0" w:color="000000"/>
              <w:bottom w:val="nil"/>
              <w:right w:val="double" w:sz="3" w:space="0" w:color="000000"/>
            </w:tcBorders>
          </w:tcPr>
          <w:p w14:paraId="7436BE1C" w14:textId="77777777" w:rsidR="00863EA7" w:rsidRDefault="002604E0">
            <w:pPr>
              <w:spacing w:after="0" w:line="259" w:lineRule="auto"/>
              <w:ind w:left="0" w:right="20" w:firstLine="0"/>
              <w:jc w:val="center"/>
            </w:pPr>
            <w:r>
              <w:t>8.79</w:t>
            </w:r>
          </w:p>
        </w:tc>
      </w:tr>
      <w:tr w:rsidR="00863EA7" w14:paraId="732BCCD8" w14:textId="77777777">
        <w:trPr>
          <w:trHeight w:val="263"/>
        </w:trPr>
        <w:tc>
          <w:tcPr>
            <w:tcW w:w="4312" w:type="dxa"/>
            <w:tcBorders>
              <w:top w:val="nil"/>
              <w:left w:val="double" w:sz="3" w:space="0" w:color="000000"/>
              <w:bottom w:val="nil"/>
              <w:right w:val="single" w:sz="3" w:space="0" w:color="000000"/>
            </w:tcBorders>
          </w:tcPr>
          <w:p w14:paraId="6971E7C2" w14:textId="77777777" w:rsidR="00863EA7" w:rsidRDefault="002604E0">
            <w:pPr>
              <w:spacing w:after="0" w:line="259" w:lineRule="auto"/>
              <w:ind w:left="20" w:right="0" w:firstLine="0"/>
              <w:jc w:val="center"/>
            </w:pPr>
            <w:r>
              <w:t>29,590.01</w:t>
            </w:r>
            <w:proofErr w:type="gramStart"/>
            <w:r>
              <w:t xml:space="preserve"> ..</w:t>
            </w:r>
            <w:proofErr w:type="gramEnd"/>
            <w:r>
              <w:t xml:space="preserve"> 59,180.00</w:t>
            </w:r>
          </w:p>
        </w:tc>
        <w:tc>
          <w:tcPr>
            <w:tcW w:w="2402" w:type="dxa"/>
            <w:tcBorders>
              <w:top w:val="nil"/>
              <w:left w:val="single" w:sz="3" w:space="0" w:color="000000"/>
              <w:bottom w:val="nil"/>
              <w:right w:val="double" w:sz="3" w:space="0" w:color="000000"/>
            </w:tcBorders>
          </w:tcPr>
          <w:p w14:paraId="51D4FE47" w14:textId="77777777" w:rsidR="00863EA7" w:rsidRDefault="002604E0">
            <w:pPr>
              <w:spacing w:after="0" w:line="259" w:lineRule="auto"/>
              <w:ind w:left="0" w:right="20" w:firstLine="0"/>
              <w:jc w:val="center"/>
            </w:pPr>
            <w:r>
              <w:t>14.95</w:t>
            </w:r>
          </w:p>
        </w:tc>
      </w:tr>
      <w:tr w:rsidR="00863EA7" w14:paraId="331206A7" w14:textId="77777777">
        <w:trPr>
          <w:trHeight w:val="263"/>
        </w:trPr>
        <w:tc>
          <w:tcPr>
            <w:tcW w:w="4312" w:type="dxa"/>
            <w:tcBorders>
              <w:top w:val="nil"/>
              <w:left w:val="double" w:sz="3" w:space="0" w:color="000000"/>
              <w:bottom w:val="nil"/>
              <w:right w:val="single" w:sz="3" w:space="0" w:color="000000"/>
            </w:tcBorders>
          </w:tcPr>
          <w:p w14:paraId="725E7F9D" w14:textId="77777777" w:rsidR="00863EA7" w:rsidRDefault="002604E0">
            <w:pPr>
              <w:spacing w:after="0" w:line="259" w:lineRule="auto"/>
              <w:ind w:left="20" w:right="0" w:firstLine="0"/>
              <w:jc w:val="center"/>
            </w:pPr>
            <w:r>
              <w:t>59,180.01</w:t>
            </w:r>
            <w:proofErr w:type="gramStart"/>
            <w:r>
              <w:t xml:space="preserve"> ..</w:t>
            </w:r>
            <w:proofErr w:type="gramEnd"/>
            <w:r>
              <w:t xml:space="preserve"> 93,000.00</w:t>
            </w:r>
          </w:p>
        </w:tc>
        <w:tc>
          <w:tcPr>
            <w:tcW w:w="2402" w:type="dxa"/>
            <w:tcBorders>
              <w:top w:val="nil"/>
              <w:left w:val="single" w:sz="3" w:space="0" w:color="000000"/>
              <w:bottom w:val="nil"/>
              <w:right w:val="double" w:sz="3" w:space="0" w:color="000000"/>
            </w:tcBorders>
          </w:tcPr>
          <w:p w14:paraId="2E52A1B2" w14:textId="77777777" w:rsidR="00863EA7" w:rsidRDefault="002604E0">
            <w:pPr>
              <w:spacing w:after="0" w:line="259" w:lineRule="auto"/>
              <w:ind w:left="0" w:right="20" w:firstLine="0"/>
              <w:jc w:val="center"/>
            </w:pPr>
            <w:r>
              <w:t>16.67</w:t>
            </w:r>
          </w:p>
        </w:tc>
      </w:tr>
      <w:tr w:rsidR="00863EA7" w14:paraId="621C3DA2" w14:textId="77777777">
        <w:trPr>
          <w:trHeight w:val="263"/>
        </w:trPr>
        <w:tc>
          <w:tcPr>
            <w:tcW w:w="4312" w:type="dxa"/>
            <w:tcBorders>
              <w:top w:val="nil"/>
              <w:left w:val="double" w:sz="3" w:space="0" w:color="000000"/>
              <w:bottom w:val="nil"/>
              <w:right w:val="single" w:sz="3" w:space="0" w:color="000000"/>
            </w:tcBorders>
          </w:tcPr>
          <w:p w14:paraId="5595F81A" w14:textId="77777777" w:rsidR="00863EA7" w:rsidRDefault="002604E0">
            <w:pPr>
              <w:spacing w:after="0" w:line="259" w:lineRule="auto"/>
              <w:ind w:left="20" w:right="0" w:firstLine="0"/>
              <w:jc w:val="center"/>
            </w:pPr>
            <w:r>
              <w:t>93,000.01</w:t>
            </w:r>
            <w:proofErr w:type="gramStart"/>
            <w:r>
              <w:t xml:space="preserve"> ..</w:t>
            </w:r>
            <w:proofErr w:type="gramEnd"/>
            <w:r>
              <w:t xml:space="preserve"> 150,000.00</w:t>
            </w:r>
          </w:p>
        </w:tc>
        <w:tc>
          <w:tcPr>
            <w:tcW w:w="2402" w:type="dxa"/>
            <w:tcBorders>
              <w:top w:val="nil"/>
              <w:left w:val="single" w:sz="3" w:space="0" w:color="000000"/>
              <w:bottom w:val="nil"/>
              <w:right w:val="double" w:sz="3" w:space="0" w:color="000000"/>
            </w:tcBorders>
          </w:tcPr>
          <w:p w14:paraId="755BE990" w14:textId="77777777" w:rsidR="00863EA7" w:rsidRDefault="002604E0">
            <w:pPr>
              <w:spacing w:after="0" w:line="259" w:lineRule="auto"/>
              <w:ind w:left="0" w:right="20" w:firstLine="0"/>
              <w:jc w:val="center"/>
            </w:pPr>
            <w:r>
              <w:t>17.50</w:t>
            </w:r>
          </w:p>
        </w:tc>
      </w:tr>
      <w:tr w:rsidR="00863EA7" w14:paraId="77678A42" w14:textId="77777777">
        <w:trPr>
          <w:trHeight w:val="264"/>
        </w:trPr>
        <w:tc>
          <w:tcPr>
            <w:tcW w:w="4312" w:type="dxa"/>
            <w:tcBorders>
              <w:top w:val="nil"/>
              <w:left w:val="double" w:sz="3" w:space="0" w:color="000000"/>
              <w:bottom w:val="single" w:sz="3" w:space="0" w:color="000000"/>
              <w:right w:val="single" w:sz="3" w:space="0" w:color="000000"/>
            </w:tcBorders>
          </w:tcPr>
          <w:p w14:paraId="707567A9" w14:textId="77777777" w:rsidR="00863EA7" w:rsidRDefault="002604E0">
            <w:pPr>
              <w:spacing w:after="0" w:line="259" w:lineRule="auto"/>
              <w:ind w:left="20" w:right="0" w:firstLine="0"/>
              <w:jc w:val="center"/>
            </w:pPr>
            <w:r>
              <w:t>150,000.01 (and above)</w:t>
            </w:r>
          </w:p>
        </w:tc>
        <w:tc>
          <w:tcPr>
            <w:tcW w:w="2402" w:type="dxa"/>
            <w:tcBorders>
              <w:top w:val="nil"/>
              <w:left w:val="single" w:sz="3" w:space="0" w:color="000000"/>
              <w:bottom w:val="single" w:sz="3" w:space="0" w:color="000000"/>
              <w:right w:val="double" w:sz="3" w:space="0" w:color="000000"/>
            </w:tcBorders>
          </w:tcPr>
          <w:p w14:paraId="6316A93E" w14:textId="77777777" w:rsidR="00863EA7" w:rsidRDefault="002604E0">
            <w:pPr>
              <w:spacing w:after="0" w:line="259" w:lineRule="auto"/>
              <w:ind w:left="0" w:right="20" w:firstLine="0"/>
              <w:jc w:val="center"/>
            </w:pPr>
            <w:r>
              <w:t>21.00</w:t>
            </w:r>
          </w:p>
        </w:tc>
      </w:tr>
    </w:tbl>
    <w:p w14:paraId="5A3004E7" w14:textId="77777777" w:rsidR="00863EA7" w:rsidRDefault="002604E0">
      <w:pPr>
        <w:spacing w:after="578" w:line="265" w:lineRule="auto"/>
        <w:jc w:val="center"/>
      </w:pPr>
      <w:r>
        <w:t>Table 1: 2021 Nova Scotia’s tax rates and income thresholds</w:t>
      </w:r>
    </w:p>
    <w:p w14:paraId="7F3906BA" w14:textId="77777777" w:rsidR="00863EA7" w:rsidRDefault="002604E0">
      <w:pPr>
        <w:spacing w:after="232" w:line="265" w:lineRule="auto"/>
        <w:jc w:val="center"/>
      </w:pPr>
      <w:r>
        <w:t>1</w:t>
      </w:r>
    </w:p>
    <w:tbl>
      <w:tblPr>
        <w:tblStyle w:val="TableGrid"/>
        <w:tblW w:w="6470" w:type="dxa"/>
        <w:tblInd w:w="1278" w:type="dxa"/>
        <w:tblCellMar>
          <w:top w:w="43" w:type="dxa"/>
          <w:left w:w="115" w:type="dxa"/>
          <w:bottom w:w="0" w:type="dxa"/>
          <w:right w:w="115" w:type="dxa"/>
        </w:tblCellMar>
        <w:tblLook w:val="04A0" w:firstRow="1" w:lastRow="0" w:firstColumn="1" w:lastColumn="0" w:noHBand="0" w:noVBand="1"/>
      </w:tblPr>
      <w:tblGrid>
        <w:gridCol w:w="4312"/>
        <w:gridCol w:w="2158"/>
      </w:tblGrid>
      <w:tr w:rsidR="00863EA7" w14:paraId="56B5EF20" w14:textId="77777777">
        <w:trPr>
          <w:trHeight w:val="271"/>
        </w:trPr>
        <w:tc>
          <w:tcPr>
            <w:tcW w:w="4312" w:type="dxa"/>
            <w:tcBorders>
              <w:top w:val="single" w:sz="3" w:space="0" w:color="000000"/>
              <w:left w:val="double" w:sz="3" w:space="0" w:color="000000"/>
              <w:bottom w:val="single" w:sz="3" w:space="0" w:color="000000"/>
              <w:right w:val="single" w:sz="3" w:space="0" w:color="000000"/>
            </w:tcBorders>
          </w:tcPr>
          <w:p w14:paraId="49C41497" w14:textId="77777777" w:rsidR="00863EA7" w:rsidRDefault="002604E0">
            <w:pPr>
              <w:spacing w:after="0" w:line="259" w:lineRule="auto"/>
              <w:ind w:left="20" w:right="0" w:firstLine="0"/>
              <w:jc w:val="left"/>
            </w:pPr>
            <w:r>
              <w:t>Annual Taxable Income (range of incomes - $)</w:t>
            </w:r>
          </w:p>
        </w:tc>
        <w:tc>
          <w:tcPr>
            <w:tcW w:w="2158" w:type="dxa"/>
            <w:tcBorders>
              <w:top w:val="single" w:sz="3" w:space="0" w:color="000000"/>
              <w:left w:val="single" w:sz="3" w:space="0" w:color="000000"/>
              <w:bottom w:val="single" w:sz="3" w:space="0" w:color="000000"/>
              <w:right w:val="double" w:sz="3" w:space="0" w:color="000000"/>
            </w:tcBorders>
          </w:tcPr>
          <w:p w14:paraId="0256CAFD" w14:textId="77777777" w:rsidR="00863EA7" w:rsidRDefault="002604E0">
            <w:pPr>
              <w:spacing w:after="0" w:line="259" w:lineRule="auto"/>
              <w:ind w:left="0" w:right="0" w:firstLine="0"/>
              <w:jc w:val="left"/>
            </w:pPr>
            <w:r>
              <w:t>Federal Tax Rate (%)</w:t>
            </w:r>
          </w:p>
        </w:tc>
      </w:tr>
      <w:tr w:rsidR="00863EA7" w14:paraId="119C0CD5" w14:textId="77777777">
        <w:trPr>
          <w:trHeight w:val="270"/>
        </w:trPr>
        <w:tc>
          <w:tcPr>
            <w:tcW w:w="4312" w:type="dxa"/>
            <w:tcBorders>
              <w:top w:val="single" w:sz="3" w:space="0" w:color="000000"/>
              <w:left w:val="double" w:sz="3" w:space="0" w:color="000000"/>
              <w:bottom w:val="nil"/>
              <w:right w:val="single" w:sz="3" w:space="0" w:color="000000"/>
            </w:tcBorders>
          </w:tcPr>
          <w:p w14:paraId="1CA386B5" w14:textId="77777777" w:rsidR="00863EA7" w:rsidRDefault="002604E0">
            <w:pPr>
              <w:spacing w:after="0" w:line="259" w:lineRule="auto"/>
              <w:ind w:left="20" w:right="0" w:firstLine="0"/>
              <w:jc w:val="center"/>
            </w:pPr>
            <w:r>
              <w:t>0</w:t>
            </w:r>
            <w:proofErr w:type="gramStart"/>
            <w:r>
              <w:t xml:space="preserve"> ..</w:t>
            </w:r>
            <w:proofErr w:type="gramEnd"/>
            <w:r>
              <w:t xml:space="preserve"> 49,020.00</w:t>
            </w:r>
          </w:p>
        </w:tc>
        <w:tc>
          <w:tcPr>
            <w:tcW w:w="2158" w:type="dxa"/>
            <w:tcBorders>
              <w:top w:val="single" w:sz="3" w:space="0" w:color="000000"/>
              <w:left w:val="single" w:sz="3" w:space="0" w:color="000000"/>
              <w:bottom w:val="nil"/>
              <w:right w:val="double" w:sz="3" w:space="0" w:color="000000"/>
            </w:tcBorders>
          </w:tcPr>
          <w:p w14:paraId="48737D55" w14:textId="77777777" w:rsidR="00863EA7" w:rsidRDefault="002604E0">
            <w:pPr>
              <w:spacing w:after="0" w:line="259" w:lineRule="auto"/>
              <w:ind w:left="0" w:right="20" w:firstLine="0"/>
              <w:jc w:val="center"/>
            </w:pPr>
            <w:r>
              <w:t>15.00</w:t>
            </w:r>
          </w:p>
        </w:tc>
      </w:tr>
      <w:tr w:rsidR="00863EA7" w14:paraId="33D3CDAE" w14:textId="77777777">
        <w:trPr>
          <w:trHeight w:val="263"/>
        </w:trPr>
        <w:tc>
          <w:tcPr>
            <w:tcW w:w="4312" w:type="dxa"/>
            <w:tcBorders>
              <w:top w:val="nil"/>
              <w:left w:val="double" w:sz="3" w:space="0" w:color="000000"/>
              <w:bottom w:val="nil"/>
              <w:right w:val="single" w:sz="3" w:space="0" w:color="000000"/>
            </w:tcBorders>
          </w:tcPr>
          <w:p w14:paraId="2AA510E3" w14:textId="77777777" w:rsidR="00863EA7" w:rsidRDefault="002604E0">
            <w:pPr>
              <w:spacing w:after="0" w:line="259" w:lineRule="auto"/>
              <w:ind w:left="20" w:right="0" w:firstLine="0"/>
              <w:jc w:val="center"/>
            </w:pPr>
            <w:r>
              <w:t>49,020.01</w:t>
            </w:r>
            <w:proofErr w:type="gramStart"/>
            <w:r>
              <w:t xml:space="preserve"> ..</w:t>
            </w:r>
            <w:proofErr w:type="gramEnd"/>
            <w:r>
              <w:t xml:space="preserve"> 98,040.00</w:t>
            </w:r>
          </w:p>
        </w:tc>
        <w:tc>
          <w:tcPr>
            <w:tcW w:w="2158" w:type="dxa"/>
            <w:tcBorders>
              <w:top w:val="nil"/>
              <w:left w:val="single" w:sz="3" w:space="0" w:color="000000"/>
              <w:bottom w:val="nil"/>
              <w:right w:val="double" w:sz="3" w:space="0" w:color="000000"/>
            </w:tcBorders>
          </w:tcPr>
          <w:p w14:paraId="19858F36" w14:textId="77777777" w:rsidR="00863EA7" w:rsidRDefault="002604E0">
            <w:pPr>
              <w:spacing w:after="0" w:line="259" w:lineRule="auto"/>
              <w:ind w:left="0" w:right="20" w:firstLine="0"/>
              <w:jc w:val="center"/>
            </w:pPr>
            <w:r>
              <w:t>20.50</w:t>
            </w:r>
          </w:p>
        </w:tc>
      </w:tr>
      <w:tr w:rsidR="00863EA7" w14:paraId="419BDC3F" w14:textId="77777777">
        <w:trPr>
          <w:trHeight w:val="263"/>
        </w:trPr>
        <w:tc>
          <w:tcPr>
            <w:tcW w:w="4312" w:type="dxa"/>
            <w:tcBorders>
              <w:top w:val="nil"/>
              <w:left w:val="double" w:sz="3" w:space="0" w:color="000000"/>
              <w:bottom w:val="nil"/>
              <w:right w:val="single" w:sz="3" w:space="0" w:color="000000"/>
            </w:tcBorders>
          </w:tcPr>
          <w:p w14:paraId="5F86557D" w14:textId="77777777" w:rsidR="00863EA7" w:rsidRDefault="002604E0">
            <w:pPr>
              <w:spacing w:after="0" w:line="259" w:lineRule="auto"/>
              <w:ind w:left="20" w:right="0" w:firstLine="0"/>
              <w:jc w:val="center"/>
            </w:pPr>
            <w:r>
              <w:t>98,040.01</w:t>
            </w:r>
            <w:proofErr w:type="gramStart"/>
            <w:r>
              <w:t xml:space="preserve"> ..</w:t>
            </w:r>
            <w:proofErr w:type="gramEnd"/>
            <w:r>
              <w:t xml:space="preserve"> 151,978.00</w:t>
            </w:r>
          </w:p>
        </w:tc>
        <w:tc>
          <w:tcPr>
            <w:tcW w:w="2158" w:type="dxa"/>
            <w:tcBorders>
              <w:top w:val="nil"/>
              <w:left w:val="single" w:sz="3" w:space="0" w:color="000000"/>
              <w:bottom w:val="nil"/>
              <w:right w:val="double" w:sz="3" w:space="0" w:color="000000"/>
            </w:tcBorders>
          </w:tcPr>
          <w:p w14:paraId="3F8A8EFA" w14:textId="77777777" w:rsidR="00863EA7" w:rsidRDefault="002604E0">
            <w:pPr>
              <w:spacing w:after="0" w:line="259" w:lineRule="auto"/>
              <w:ind w:left="0" w:right="20" w:firstLine="0"/>
              <w:jc w:val="center"/>
            </w:pPr>
            <w:r>
              <w:t>26.00</w:t>
            </w:r>
          </w:p>
        </w:tc>
      </w:tr>
      <w:tr w:rsidR="00863EA7" w14:paraId="294838B8" w14:textId="77777777">
        <w:trPr>
          <w:trHeight w:val="263"/>
        </w:trPr>
        <w:tc>
          <w:tcPr>
            <w:tcW w:w="4312" w:type="dxa"/>
            <w:tcBorders>
              <w:top w:val="nil"/>
              <w:left w:val="double" w:sz="3" w:space="0" w:color="000000"/>
              <w:bottom w:val="nil"/>
              <w:right w:val="single" w:sz="3" w:space="0" w:color="000000"/>
            </w:tcBorders>
          </w:tcPr>
          <w:p w14:paraId="135D250C" w14:textId="77777777" w:rsidR="00863EA7" w:rsidRDefault="002604E0">
            <w:pPr>
              <w:spacing w:after="0" w:line="259" w:lineRule="auto"/>
              <w:ind w:left="20" w:right="0" w:firstLine="0"/>
              <w:jc w:val="center"/>
            </w:pPr>
            <w:r>
              <w:t>151,978.01</w:t>
            </w:r>
            <w:proofErr w:type="gramStart"/>
            <w:r>
              <w:t xml:space="preserve"> ..</w:t>
            </w:r>
            <w:proofErr w:type="gramEnd"/>
            <w:r>
              <w:t xml:space="preserve"> 216,511.00</w:t>
            </w:r>
          </w:p>
        </w:tc>
        <w:tc>
          <w:tcPr>
            <w:tcW w:w="2158" w:type="dxa"/>
            <w:tcBorders>
              <w:top w:val="nil"/>
              <w:left w:val="single" w:sz="3" w:space="0" w:color="000000"/>
              <w:bottom w:val="nil"/>
              <w:right w:val="double" w:sz="3" w:space="0" w:color="000000"/>
            </w:tcBorders>
          </w:tcPr>
          <w:p w14:paraId="7762EDC3" w14:textId="77777777" w:rsidR="00863EA7" w:rsidRDefault="002604E0">
            <w:pPr>
              <w:spacing w:after="0" w:line="259" w:lineRule="auto"/>
              <w:ind w:left="0" w:right="20" w:firstLine="0"/>
              <w:jc w:val="center"/>
            </w:pPr>
            <w:r>
              <w:t>29.00</w:t>
            </w:r>
          </w:p>
        </w:tc>
      </w:tr>
      <w:tr w:rsidR="00863EA7" w14:paraId="5B44F32B" w14:textId="77777777">
        <w:trPr>
          <w:trHeight w:val="264"/>
        </w:trPr>
        <w:tc>
          <w:tcPr>
            <w:tcW w:w="4312" w:type="dxa"/>
            <w:tcBorders>
              <w:top w:val="nil"/>
              <w:left w:val="double" w:sz="3" w:space="0" w:color="000000"/>
              <w:bottom w:val="single" w:sz="3" w:space="0" w:color="000000"/>
              <w:right w:val="single" w:sz="3" w:space="0" w:color="000000"/>
            </w:tcBorders>
          </w:tcPr>
          <w:p w14:paraId="52B4AD74" w14:textId="77777777" w:rsidR="00863EA7" w:rsidRDefault="002604E0">
            <w:pPr>
              <w:spacing w:after="0" w:line="259" w:lineRule="auto"/>
              <w:ind w:left="20" w:right="0" w:firstLine="0"/>
              <w:jc w:val="center"/>
            </w:pPr>
            <w:r>
              <w:t>216,511.01 (and above)</w:t>
            </w:r>
          </w:p>
        </w:tc>
        <w:tc>
          <w:tcPr>
            <w:tcW w:w="2158" w:type="dxa"/>
            <w:tcBorders>
              <w:top w:val="nil"/>
              <w:left w:val="single" w:sz="3" w:space="0" w:color="000000"/>
              <w:bottom w:val="single" w:sz="3" w:space="0" w:color="000000"/>
              <w:right w:val="double" w:sz="3" w:space="0" w:color="000000"/>
            </w:tcBorders>
          </w:tcPr>
          <w:p w14:paraId="786F2755" w14:textId="77777777" w:rsidR="00863EA7" w:rsidRDefault="002604E0">
            <w:pPr>
              <w:spacing w:after="0" w:line="259" w:lineRule="auto"/>
              <w:ind w:left="0" w:right="20" w:firstLine="0"/>
              <w:jc w:val="center"/>
            </w:pPr>
            <w:r>
              <w:t>33.00</w:t>
            </w:r>
          </w:p>
        </w:tc>
      </w:tr>
    </w:tbl>
    <w:p w14:paraId="7F31AC3B" w14:textId="77777777" w:rsidR="00863EA7" w:rsidRDefault="002604E0">
      <w:pPr>
        <w:spacing w:after="336"/>
        <w:ind w:left="2176" w:right="164"/>
      </w:pPr>
      <w:r>
        <w:t>Table 2: 2021 federal tax rates and income thresholds</w:t>
      </w:r>
    </w:p>
    <w:p w14:paraId="2FA95E0D" w14:textId="77777777" w:rsidR="00863EA7" w:rsidRDefault="002604E0">
      <w:pPr>
        <w:spacing w:after="223"/>
        <w:ind w:left="498" w:firstLine="0"/>
      </w:pPr>
      <w:r>
        <w:rPr>
          <w:color w:val="0000FF"/>
        </w:rPr>
        <w:t>You are to note that the computations for provincial and federal taxes have been revised in comparison with the first assignment. For example, if gross income is $92,486.79 the taxes are computed below:</w:t>
      </w:r>
    </w:p>
    <w:p w14:paraId="0F89F410" w14:textId="77777777" w:rsidR="00863EA7" w:rsidRDefault="002604E0">
      <w:pPr>
        <w:numPr>
          <w:ilvl w:val="0"/>
          <w:numId w:val="1"/>
        </w:numPr>
        <w:ind w:left="936" w:right="164" w:hanging="199"/>
      </w:pPr>
      <w:r>
        <w:rPr>
          <w:b/>
        </w:rPr>
        <w:t xml:space="preserve">Provincial Tax: $12,576.91 </w:t>
      </w:r>
      <w:r>
        <w:t xml:space="preserve">= $(2,600.96 + 4,423.70 + </w:t>
      </w:r>
      <w:r>
        <w:t>5,552.24)</w:t>
      </w:r>
    </w:p>
    <w:p w14:paraId="3A64CD66" w14:textId="77777777" w:rsidR="00863EA7" w:rsidRDefault="002604E0">
      <w:pPr>
        <w:numPr>
          <w:ilvl w:val="1"/>
          <w:numId w:val="1"/>
        </w:numPr>
        <w:spacing w:after="75"/>
        <w:ind w:right="164" w:hanging="214"/>
      </w:pPr>
      <w:r>
        <w:t>1st category $29,590 is tax at the rate of 8.79% =</w:t>
      </w:r>
      <w:r>
        <w:t xml:space="preserve">⇒ </w:t>
      </w:r>
      <w:r>
        <w:t>$2,600.96</w:t>
      </w:r>
    </w:p>
    <w:p w14:paraId="482895C0" w14:textId="77777777" w:rsidR="00863EA7" w:rsidRDefault="002604E0">
      <w:pPr>
        <w:numPr>
          <w:ilvl w:val="1"/>
          <w:numId w:val="1"/>
        </w:numPr>
        <w:spacing w:after="75"/>
        <w:ind w:right="164" w:hanging="214"/>
      </w:pPr>
      <w:r>
        <w:t>2nd category ($59,180.00 - $29,590.01) is taxed at the rate of 14.95% =</w:t>
      </w:r>
      <w:r>
        <w:t xml:space="preserve">⇒ </w:t>
      </w:r>
      <w:r>
        <w:t>$4,423.70</w:t>
      </w:r>
    </w:p>
    <w:p w14:paraId="5805BC78" w14:textId="77777777" w:rsidR="00863EA7" w:rsidRDefault="002604E0">
      <w:pPr>
        <w:numPr>
          <w:ilvl w:val="1"/>
          <w:numId w:val="1"/>
        </w:numPr>
        <w:ind w:right="164" w:hanging="214"/>
      </w:pPr>
      <w:r>
        <w:t>Remainder (i.e., $92,486.79 - $59,180.01) is taxed at the rate of 16.67% =</w:t>
      </w:r>
      <w:r>
        <w:t xml:space="preserve">⇒ </w:t>
      </w:r>
      <w:r>
        <w:t>$5,552.24</w:t>
      </w:r>
    </w:p>
    <w:p w14:paraId="6F1C19A3" w14:textId="77777777" w:rsidR="00863EA7" w:rsidRDefault="002604E0">
      <w:pPr>
        <w:numPr>
          <w:ilvl w:val="0"/>
          <w:numId w:val="1"/>
        </w:numPr>
        <w:ind w:left="936" w:right="164" w:hanging="199"/>
      </w:pPr>
      <w:r>
        <w:rPr>
          <w:b/>
        </w:rPr>
        <w:t>Federal Tax: $1</w:t>
      </w:r>
      <w:r>
        <w:rPr>
          <w:b/>
        </w:rPr>
        <w:t xml:space="preserve">6,263.69 </w:t>
      </w:r>
      <w:r>
        <w:t>= $(7,353.00 + 8,910.69)</w:t>
      </w:r>
    </w:p>
    <w:p w14:paraId="24107E73" w14:textId="77777777" w:rsidR="00863EA7" w:rsidRDefault="002604E0">
      <w:pPr>
        <w:numPr>
          <w:ilvl w:val="1"/>
          <w:numId w:val="1"/>
        </w:numPr>
        <w:spacing w:after="75"/>
        <w:ind w:right="164" w:hanging="214"/>
      </w:pPr>
      <w:r>
        <w:t>1st category $49,020.00 is tax at the rate of 15.0% =</w:t>
      </w:r>
      <w:r>
        <w:t xml:space="preserve">⇒ </w:t>
      </w:r>
      <w:r>
        <w:t>$7,353.00</w:t>
      </w:r>
    </w:p>
    <w:p w14:paraId="27CFBB8D" w14:textId="77777777" w:rsidR="00863EA7" w:rsidRDefault="002604E0">
      <w:pPr>
        <w:numPr>
          <w:ilvl w:val="1"/>
          <w:numId w:val="1"/>
        </w:numPr>
        <w:spacing w:after="211"/>
        <w:ind w:right="164" w:hanging="214"/>
      </w:pPr>
      <w:r>
        <w:t>Remainder (i.e., $92,486.79 - $49,020.01) is taxed at the rate of 20.5% =</w:t>
      </w:r>
      <w:r>
        <w:t xml:space="preserve">⇒ </w:t>
      </w:r>
      <w:r>
        <w:t>$8,910.69</w:t>
      </w:r>
    </w:p>
    <w:p w14:paraId="675AC56B" w14:textId="77777777" w:rsidR="00863EA7" w:rsidRDefault="002604E0">
      <w:pPr>
        <w:spacing w:after="224"/>
        <w:ind w:left="508" w:right="164"/>
      </w:pPr>
      <w:r>
        <w:t>In addition to the deductions above assuming Nova Scotia’s employees are charged health premiums and that the premiums are based on the following rules:</w:t>
      </w:r>
    </w:p>
    <w:p w14:paraId="205498BA" w14:textId="77777777" w:rsidR="00863EA7" w:rsidRDefault="002604E0">
      <w:pPr>
        <w:numPr>
          <w:ilvl w:val="0"/>
          <w:numId w:val="2"/>
        </w:numPr>
        <w:ind w:right="164" w:hanging="365"/>
      </w:pPr>
      <w:r>
        <w:lastRenderedPageBreak/>
        <w:t>If the taxable income is less than or equal to $22,000.00, the premium is $0.00.</w:t>
      </w:r>
    </w:p>
    <w:p w14:paraId="6873DEE6" w14:textId="77777777" w:rsidR="00863EA7" w:rsidRDefault="002604E0">
      <w:pPr>
        <w:numPr>
          <w:ilvl w:val="0"/>
          <w:numId w:val="2"/>
        </w:numPr>
        <w:ind w:right="164" w:hanging="365"/>
      </w:pPr>
      <w:r>
        <w:t xml:space="preserve">If the taxable income </w:t>
      </w:r>
      <w:r>
        <w:t>is greater than $22</w:t>
      </w:r>
      <w:r>
        <w:rPr>
          <w:i/>
        </w:rPr>
        <w:t>,</w:t>
      </w:r>
      <w:r>
        <w:t>000</w:t>
      </w:r>
      <w:r>
        <w:rPr>
          <w:i/>
        </w:rPr>
        <w:t>.</w:t>
      </w:r>
      <w:r>
        <w:t>00 and less than or equal to $38</w:t>
      </w:r>
      <w:r>
        <w:rPr>
          <w:i/>
        </w:rPr>
        <w:t>,</w:t>
      </w:r>
      <w:r>
        <w:t>000</w:t>
      </w:r>
      <w:r>
        <w:rPr>
          <w:i/>
        </w:rPr>
        <w:t>.</w:t>
      </w:r>
      <w:r>
        <w:t>00, the premium is equal to the lesser of: (</w:t>
      </w:r>
      <w:proofErr w:type="spellStart"/>
      <w:r>
        <w:t>i</w:t>
      </w:r>
      <w:proofErr w:type="spellEnd"/>
      <w:r>
        <w:t>) $300</w:t>
      </w:r>
      <w:r>
        <w:rPr>
          <w:i/>
        </w:rPr>
        <w:t>.</w:t>
      </w:r>
      <w:r>
        <w:t>00 and (ii) 6% of (taxable income - $22,000.00);</w:t>
      </w:r>
    </w:p>
    <w:p w14:paraId="403B1AC3" w14:textId="77777777" w:rsidR="00863EA7" w:rsidRDefault="002604E0">
      <w:pPr>
        <w:numPr>
          <w:ilvl w:val="0"/>
          <w:numId w:val="2"/>
        </w:numPr>
        <w:ind w:right="164" w:hanging="365"/>
      </w:pPr>
      <w:r>
        <w:t>If the taxable income is greater than $38</w:t>
      </w:r>
      <w:r>
        <w:rPr>
          <w:i/>
        </w:rPr>
        <w:t>,</w:t>
      </w:r>
      <w:r>
        <w:t>000</w:t>
      </w:r>
      <w:r>
        <w:rPr>
          <w:i/>
        </w:rPr>
        <w:t>.</w:t>
      </w:r>
      <w:r>
        <w:t>00 and less than or equal to $50</w:t>
      </w:r>
      <w:r>
        <w:rPr>
          <w:i/>
        </w:rPr>
        <w:t>,</w:t>
      </w:r>
      <w:r>
        <w:t>000</w:t>
      </w:r>
      <w:r>
        <w:rPr>
          <w:i/>
        </w:rPr>
        <w:t>.</w:t>
      </w:r>
      <w:r>
        <w:t>00, the pre</w:t>
      </w:r>
      <w:r>
        <w:t>mium is equal to the lesser of: (</w:t>
      </w:r>
      <w:proofErr w:type="spellStart"/>
      <w:r>
        <w:t>i</w:t>
      </w:r>
      <w:proofErr w:type="spellEnd"/>
      <w:r>
        <w:t>) $450</w:t>
      </w:r>
      <w:r>
        <w:rPr>
          <w:i/>
        </w:rPr>
        <w:t>.</w:t>
      </w:r>
      <w:r>
        <w:t>00 and (ii) 300 + 6% of (taxable income - $38,000.00);</w:t>
      </w:r>
    </w:p>
    <w:p w14:paraId="367E7253" w14:textId="77777777" w:rsidR="00863EA7" w:rsidRDefault="002604E0">
      <w:pPr>
        <w:numPr>
          <w:ilvl w:val="0"/>
          <w:numId w:val="2"/>
        </w:numPr>
        <w:ind w:right="164" w:hanging="365"/>
      </w:pPr>
      <w:r>
        <w:t>If the taxable income is greater than $50</w:t>
      </w:r>
      <w:r>
        <w:rPr>
          <w:i/>
        </w:rPr>
        <w:t>,</w:t>
      </w:r>
      <w:r>
        <w:t>000</w:t>
      </w:r>
      <w:r>
        <w:rPr>
          <w:i/>
        </w:rPr>
        <w:t>.</w:t>
      </w:r>
      <w:r>
        <w:t>00 and less than or equal to $74</w:t>
      </w:r>
      <w:r>
        <w:rPr>
          <w:i/>
        </w:rPr>
        <w:t>,</w:t>
      </w:r>
      <w:r>
        <w:t>000</w:t>
      </w:r>
      <w:r>
        <w:rPr>
          <w:i/>
        </w:rPr>
        <w:t>.</w:t>
      </w:r>
      <w:r>
        <w:t>00, the premium is equal to the lesser of: (</w:t>
      </w:r>
      <w:proofErr w:type="spellStart"/>
      <w:r>
        <w:t>i</w:t>
      </w:r>
      <w:proofErr w:type="spellEnd"/>
      <w:r>
        <w:t>) $600</w:t>
      </w:r>
      <w:r>
        <w:rPr>
          <w:i/>
        </w:rPr>
        <w:t>.</w:t>
      </w:r>
      <w:r>
        <w:t xml:space="preserve">00 and (ii) 450 + 25% of </w:t>
      </w:r>
      <w:r>
        <w:t>(taxable income - $50,000.00);</w:t>
      </w:r>
    </w:p>
    <w:p w14:paraId="2BF49892" w14:textId="77777777" w:rsidR="00863EA7" w:rsidRDefault="002604E0">
      <w:pPr>
        <w:numPr>
          <w:ilvl w:val="0"/>
          <w:numId w:val="2"/>
        </w:numPr>
        <w:ind w:right="164" w:hanging="365"/>
      </w:pPr>
      <w:r>
        <w:t>If the taxable income is greater than $74</w:t>
      </w:r>
      <w:r>
        <w:rPr>
          <w:i/>
        </w:rPr>
        <w:t>,</w:t>
      </w:r>
      <w:r>
        <w:t>000</w:t>
      </w:r>
      <w:r>
        <w:rPr>
          <w:i/>
        </w:rPr>
        <w:t>.</w:t>
      </w:r>
      <w:r>
        <w:t>00 and less than or equal to $202</w:t>
      </w:r>
      <w:r>
        <w:rPr>
          <w:i/>
        </w:rPr>
        <w:t>,</w:t>
      </w:r>
      <w:r>
        <w:t>000</w:t>
      </w:r>
      <w:r>
        <w:rPr>
          <w:i/>
        </w:rPr>
        <w:t>.</w:t>
      </w:r>
      <w:r>
        <w:t>00, the premium is equal to the lesser of: (</w:t>
      </w:r>
      <w:proofErr w:type="spellStart"/>
      <w:r>
        <w:t>i</w:t>
      </w:r>
      <w:proofErr w:type="spellEnd"/>
      <w:r>
        <w:t>) $750</w:t>
      </w:r>
      <w:r>
        <w:rPr>
          <w:i/>
        </w:rPr>
        <w:t>.</w:t>
      </w:r>
      <w:r>
        <w:t>00 and (ii) 600 + 25% of (taxable income - $74,000.00);</w:t>
      </w:r>
    </w:p>
    <w:p w14:paraId="618DD847" w14:textId="77777777" w:rsidR="00863EA7" w:rsidRDefault="002604E0">
      <w:pPr>
        <w:numPr>
          <w:ilvl w:val="0"/>
          <w:numId w:val="2"/>
        </w:numPr>
        <w:spacing w:after="228"/>
        <w:ind w:right="164" w:hanging="365"/>
      </w:pPr>
      <w:r>
        <w:t xml:space="preserve">If the taxable income is greater </w:t>
      </w:r>
      <w:r>
        <w:t>than $202</w:t>
      </w:r>
      <w:r>
        <w:rPr>
          <w:i/>
        </w:rPr>
        <w:t>,</w:t>
      </w:r>
      <w:r>
        <w:t>000</w:t>
      </w:r>
      <w:r>
        <w:rPr>
          <w:i/>
        </w:rPr>
        <w:t>.</w:t>
      </w:r>
      <w:r>
        <w:t>00, the premium is equal to the lesser of: (</w:t>
      </w:r>
      <w:proofErr w:type="spellStart"/>
      <w:r>
        <w:t>i</w:t>
      </w:r>
      <w:proofErr w:type="spellEnd"/>
      <w:r>
        <w:t>) $900</w:t>
      </w:r>
      <w:r>
        <w:rPr>
          <w:i/>
        </w:rPr>
        <w:t>.</w:t>
      </w:r>
      <w:r>
        <w:t>00 and (ii) 750 + 25% of (taxable income - $202,000.00).</w:t>
      </w:r>
    </w:p>
    <w:p w14:paraId="19AF0153" w14:textId="77777777" w:rsidR="00863EA7" w:rsidRDefault="002604E0">
      <w:pPr>
        <w:spacing w:after="195"/>
        <w:ind w:left="254" w:right="164"/>
      </w:pPr>
      <w:r>
        <w:t xml:space="preserve">2. </w:t>
      </w:r>
      <w:r>
        <w:rPr>
          <w:b/>
        </w:rPr>
        <w:t xml:space="preserve">Tasks: </w:t>
      </w:r>
      <w:r>
        <w:t>You are required to do the following:</w:t>
      </w:r>
    </w:p>
    <w:p w14:paraId="69D28559" w14:textId="77777777" w:rsidR="00863EA7" w:rsidRDefault="002604E0">
      <w:pPr>
        <w:numPr>
          <w:ilvl w:val="0"/>
          <w:numId w:val="3"/>
        </w:numPr>
        <w:spacing w:after="115" w:line="269" w:lineRule="auto"/>
        <w:ind w:right="0" w:hanging="476"/>
        <w:jc w:val="left"/>
      </w:pPr>
      <w:r>
        <w:rPr>
          <w:b/>
          <w:color w:val="0000FF"/>
        </w:rPr>
        <w:t>Write a program that:</w:t>
      </w:r>
    </w:p>
    <w:p w14:paraId="4C528A03" w14:textId="77777777" w:rsidR="00863EA7" w:rsidRDefault="002604E0">
      <w:pPr>
        <w:numPr>
          <w:ilvl w:val="1"/>
          <w:numId w:val="3"/>
        </w:numPr>
        <w:spacing w:after="64" w:line="269" w:lineRule="auto"/>
        <w:ind w:right="0" w:hanging="214"/>
        <w:jc w:val="left"/>
      </w:pPr>
      <w:r>
        <w:rPr>
          <w:b/>
          <w:color w:val="0000FF"/>
        </w:rPr>
        <w:t xml:space="preserve">take gross income of </w:t>
      </w:r>
      <w:r>
        <w:rPr>
          <w:i/>
          <w:color w:val="0000FF"/>
        </w:rPr>
        <w:t xml:space="preserve">N </w:t>
      </w:r>
      <w:r>
        <w:rPr>
          <w:b/>
          <w:color w:val="0000FF"/>
        </w:rPr>
        <w:t>employees from the user;</w:t>
      </w:r>
    </w:p>
    <w:p w14:paraId="15857766" w14:textId="77777777" w:rsidR="00863EA7" w:rsidRDefault="002604E0">
      <w:pPr>
        <w:numPr>
          <w:ilvl w:val="1"/>
          <w:numId w:val="3"/>
        </w:numPr>
        <w:spacing w:after="64" w:line="269" w:lineRule="auto"/>
        <w:ind w:right="0" w:hanging="214"/>
        <w:jc w:val="left"/>
      </w:pPr>
      <w:r>
        <w:rPr>
          <w:b/>
          <w:color w:val="0000FF"/>
        </w:rPr>
        <w:t>compute their n</w:t>
      </w:r>
      <w:r>
        <w:rPr>
          <w:b/>
          <w:color w:val="0000FF"/>
        </w:rPr>
        <w:t>et incomes (i.e., after deducting appropriate provincial and federal level taxes, CPP, EI and health premium);</w:t>
      </w:r>
    </w:p>
    <w:p w14:paraId="3C424385" w14:textId="77777777" w:rsidR="00863EA7" w:rsidRDefault="002604E0">
      <w:pPr>
        <w:numPr>
          <w:ilvl w:val="1"/>
          <w:numId w:val="3"/>
        </w:numPr>
        <w:spacing w:after="64" w:line="269" w:lineRule="auto"/>
        <w:ind w:right="0" w:hanging="214"/>
        <w:jc w:val="left"/>
      </w:pPr>
      <w:r>
        <w:rPr>
          <w:b/>
          <w:color w:val="0000FF"/>
        </w:rPr>
        <w:t>compute and display mean (</w:t>
      </w:r>
      <w:r>
        <w:rPr>
          <w:i/>
          <w:color w:val="0000FF"/>
        </w:rPr>
        <w:t>µ</w:t>
      </w:r>
      <w:r>
        <w:rPr>
          <w:b/>
          <w:color w:val="0000FF"/>
        </w:rPr>
        <w:t>) and standard deviation (</w:t>
      </w:r>
      <w:r>
        <w:rPr>
          <w:i/>
          <w:color w:val="0000FF"/>
        </w:rPr>
        <w:t>σ</w:t>
      </w:r>
      <w:r>
        <w:rPr>
          <w:b/>
          <w:color w:val="0000FF"/>
        </w:rPr>
        <w:t>) of the entire net incomes; and</w:t>
      </w:r>
    </w:p>
    <w:p w14:paraId="55251963" w14:textId="77777777" w:rsidR="00863EA7" w:rsidRDefault="002604E0">
      <w:pPr>
        <w:numPr>
          <w:ilvl w:val="1"/>
          <w:numId w:val="3"/>
        </w:numPr>
        <w:spacing w:after="514" w:line="269" w:lineRule="auto"/>
        <w:ind w:right="0" w:hanging="214"/>
        <w:jc w:val="left"/>
      </w:pPr>
      <w:r>
        <w:rPr>
          <w:b/>
          <w:color w:val="0000FF"/>
        </w:rPr>
        <w:t>display a list of all gross incomes and a list of all net incomes.</w:t>
      </w:r>
    </w:p>
    <w:p w14:paraId="0B4BBD2A" w14:textId="77777777" w:rsidR="00863EA7" w:rsidRDefault="002604E0">
      <w:pPr>
        <w:ind w:left="947" w:right="164"/>
      </w:pPr>
      <w:r>
        <w:t>You are to implement your work with the following equations to compute mean and standard deviation of any dataset of your choice:</w:t>
      </w:r>
    </w:p>
    <w:p w14:paraId="73A4B1B2" w14:textId="77777777" w:rsidR="00863EA7" w:rsidRDefault="002604E0">
      <w:pPr>
        <w:tabs>
          <w:tab w:val="center" w:pos="6157"/>
          <w:tab w:val="right" w:pos="9205"/>
        </w:tabs>
        <w:spacing w:after="342" w:line="269" w:lineRule="auto"/>
        <w:ind w:left="0" w:right="0" w:firstLine="0"/>
        <w:jc w:val="left"/>
      </w:pPr>
      <w:r>
        <w:rPr>
          <w:noProof/>
        </w:rPr>
        <w:drawing>
          <wp:anchor distT="0" distB="0" distL="114300" distR="114300" simplePos="0" relativeHeight="251659264" behindDoc="0" locked="0" layoutInCell="1" allowOverlap="0" wp14:anchorId="26B09D4D" wp14:editId="608F6B16">
            <wp:simplePos x="0" y="0"/>
            <wp:positionH relativeFrom="column">
              <wp:posOffset>1600200</wp:posOffset>
            </wp:positionH>
            <wp:positionV relativeFrom="paragraph">
              <wp:posOffset>-218337</wp:posOffset>
            </wp:positionV>
            <wp:extent cx="2282952" cy="734568"/>
            <wp:effectExtent l="0" t="0" r="0" b="0"/>
            <wp:wrapSquare wrapText="bothSides"/>
            <wp:docPr id="6310" name="Picture 6310"/>
            <wp:cNvGraphicFramePr/>
            <a:graphic xmlns:a="http://schemas.openxmlformats.org/drawingml/2006/main">
              <a:graphicData uri="http://schemas.openxmlformats.org/drawingml/2006/picture">
                <pic:pic xmlns:pic="http://schemas.openxmlformats.org/drawingml/2006/picture">
                  <pic:nvPicPr>
                    <pic:cNvPr id="6310" name="Picture 6310"/>
                    <pic:cNvPicPr/>
                  </pic:nvPicPr>
                  <pic:blipFill>
                    <a:blip r:embed="rId10"/>
                    <a:stretch>
                      <a:fillRect/>
                    </a:stretch>
                  </pic:blipFill>
                  <pic:spPr>
                    <a:xfrm>
                      <a:off x="0" y="0"/>
                      <a:ext cx="2282952" cy="734568"/>
                    </a:xfrm>
                    <a:prstGeom prst="rect">
                      <a:avLst/>
                    </a:prstGeom>
                  </pic:spPr>
                </pic:pic>
              </a:graphicData>
            </a:graphic>
          </wp:anchor>
        </w:drawing>
      </w:r>
      <w:r>
        <w:rPr>
          <w:rFonts w:ascii="Calibri" w:eastAsia="Calibri" w:hAnsi="Calibri" w:cs="Calibri"/>
          <w:sz w:val="22"/>
        </w:rPr>
        <w:tab/>
      </w:r>
      <w:r>
        <w:rPr>
          <w:i/>
        </w:rPr>
        <w:t>,</w:t>
      </w:r>
      <w:r>
        <w:rPr>
          <w:i/>
        </w:rPr>
        <w:tab/>
      </w:r>
      <w:r>
        <w:t>(1)</w:t>
      </w:r>
    </w:p>
    <w:p w14:paraId="1041F7C6" w14:textId="77777777" w:rsidR="00863EA7" w:rsidRDefault="002604E0">
      <w:pPr>
        <w:spacing w:after="296" w:line="269" w:lineRule="auto"/>
        <w:ind w:left="2530" w:right="164"/>
        <w:jc w:val="right"/>
      </w:pPr>
      <w:r>
        <w:t>(2)</w:t>
      </w:r>
    </w:p>
    <w:p w14:paraId="4DCB0F04" w14:textId="77777777" w:rsidR="00863EA7" w:rsidRDefault="002604E0">
      <w:pPr>
        <w:ind w:left="946" w:right="164"/>
      </w:pPr>
      <w:r>
        <w:rPr>
          <w:b/>
        </w:rPr>
        <w:t xml:space="preserve">Hint: </w:t>
      </w:r>
      <w:r>
        <w:t xml:space="preserve">Develop your program using Python’s program mode. </w:t>
      </w:r>
      <w:proofErr w:type="gramStart"/>
      <w:r>
        <w:t>In particular, write</w:t>
      </w:r>
      <w:proofErr w:type="gramEnd"/>
      <w:r>
        <w:t xml:space="preserve"> a file for your program and document </w:t>
      </w:r>
      <w:r>
        <w:t xml:space="preserve">your program accordingly. Your program would be wrong if it allows negative salary. For each concern, provincial and federal level taxes, health premium, mean </w:t>
      </w:r>
      <w:r>
        <w:rPr>
          <w:i/>
        </w:rPr>
        <w:t>µ</w:t>
      </w:r>
      <w:r>
        <w:t>([</w:t>
      </w:r>
      <w:r>
        <w:rPr>
          <w:i/>
        </w:rPr>
        <w:t>x</w:t>
      </w:r>
      <w:r>
        <w:rPr>
          <w:vertAlign w:val="subscript"/>
        </w:rPr>
        <w:t>0</w:t>
      </w:r>
      <w:r>
        <w:rPr>
          <w:i/>
        </w:rPr>
        <w:t>,x</w:t>
      </w:r>
      <w:proofErr w:type="gramStart"/>
      <w:r>
        <w:rPr>
          <w:vertAlign w:val="subscript"/>
        </w:rPr>
        <w:t>1</w:t>
      </w:r>
      <w:r>
        <w:rPr>
          <w:i/>
        </w:rPr>
        <w:t>,...</w:t>
      </w:r>
      <w:proofErr w:type="gramEnd"/>
      <w:r>
        <w:rPr>
          <w:i/>
        </w:rPr>
        <w:t>x</w:t>
      </w:r>
      <w:r>
        <w:rPr>
          <w:i/>
          <w:vertAlign w:val="subscript"/>
        </w:rPr>
        <w:t>N</w:t>
      </w:r>
      <w:r>
        <w:rPr>
          <w:vertAlign w:val="subscript"/>
        </w:rPr>
        <w:t>−</w:t>
      </w:r>
      <w:r>
        <w:rPr>
          <w:vertAlign w:val="subscript"/>
        </w:rPr>
        <w:t>1</w:t>
      </w:r>
      <w:r>
        <w:t xml:space="preserve">]), and standard deviation </w:t>
      </w:r>
      <w:r>
        <w:rPr>
          <w:i/>
        </w:rPr>
        <w:t>σ</w:t>
      </w:r>
      <w:r>
        <w:t>([</w:t>
      </w:r>
      <w:r>
        <w:rPr>
          <w:i/>
        </w:rPr>
        <w:t>x</w:t>
      </w:r>
      <w:r>
        <w:rPr>
          <w:vertAlign w:val="subscript"/>
        </w:rPr>
        <w:t>0</w:t>
      </w:r>
      <w:r>
        <w:rPr>
          <w:i/>
        </w:rPr>
        <w:t>,x</w:t>
      </w:r>
      <w:r>
        <w:rPr>
          <w:vertAlign w:val="subscript"/>
        </w:rPr>
        <w:t>1</w:t>
      </w:r>
      <w:r>
        <w:rPr>
          <w:i/>
        </w:rPr>
        <w:t>,...x</w:t>
      </w:r>
      <w:r>
        <w:rPr>
          <w:i/>
          <w:vertAlign w:val="subscript"/>
        </w:rPr>
        <w:t>N</w:t>
      </w:r>
      <w:r>
        <w:rPr>
          <w:vertAlign w:val="subscript"/>
        </w:rPr>
        <w:t>−</w:t>
      </w:r>
      <w:r>
        <w:rPr>
          <w:vertAlign w:val="subscript"/>
        </w:rPr>
        <w:t>1</w:t>
      </w:r>
      <w:r>
        <w:t>]) - you are to develop separate funct</w:t>
      </w:r>
      <w:r>
        <w:t xml:space="preserve">ions with return statements (where applicable), then couple them in a sensible manner. You can use any in-built function except </w:t>
      </w:r>
      <w:r>
        <w:rPr>
          <w:i/>
        </w:rPr>
        <w:t xml:space="preserve">mean </w:t>
      </w:r>
      <w:r>
        <w:t xml:space="preserve">and </w:t>
      </w:r>
      <w:r>
        <w:rPr>
          <w:i/>
        </w:rPr>
        <w:t>standard deviation</w:t>
      </w:r>
      <w:r>
        <w:t>.</w:t>
      </w:r>
    </w:p>
    <w:p w14:paraId="020BED1D" w14:textId="77777777" w:rsidR="00863EA7" w:rsidRDefault="002604E0">
      <w:pPr>
        <w:numPr>
          <w:ilvl w:val="0"/>
          <w:numId w:val="3"/>
        </w:numPr>
        <w:ind w:right="0" w:hanging="476"/>
        <w:jc w:val="left"/>
      </w:pPr>
      <w:r>
        <w:t xml:space="preserve">A </w:t>
      </w:r>
      <w:r>
        <w:rPr>
          <w:b/>
          <w:color w:val="0000FF"/>
        </w:rPr>
        <w:t xml:space="preserve">duplicate (i.e., having the same functionalities) </w:t>
      </w:r>
      <w:r>
        <w:t>of the program you have developed in (a) - abov</w:t>
      </w:r>
      <w:r>
        <w:t xml:space="preserve">e, using population mean </w:t>
      </w:r>
      <w:r>
        <w:rPr>
          <w:i/>
        </w:rPr>
        <w:t>µ</w:t>
      </w:r>
      <w:r>
        <w:t>([</w:t>
      </w:r>
      <w:r>
        <w:rPr>
          <w:i/>
        </w:rPr>
        <w:t>x</w:t>
      </w:r>
      <w:r>
        <w:rPr>
          <w:vertAlign w:val="subscript"/>
        </w:rPr>
        <w:t>0</w:t>
      </w:r>
      <w:r>
        <w:rPr>
          <w:i/>
        </w:rPr>
        <w:t>,x</w:t>
      </w:r>
      <w:proofErr w:type="gramStart"/>
      <w:r>
        <w:rPr>
          <w:vertAlign w:val="subscript"/>
        </w:rPr>
        <w:t>1</w:t>
      </w:r>
      <w:r>
        <w:rPr>
          <w:i/>
        </w:rPr>
        <w:t>,...</w:t>
      </w:r>
      <w:proofErr w:type="gramEnd"/>
      <w:r>
        <w:rPr>
          <w:i/>
        </w:rPr>
        <w:t>x</w:t>
      </w:r>
      <w:r>
        <w:rPr>
          <w:i/>
          <w:vertAlign w:val="subscript"/>
        </w:rPr>
        <w:t>N</w:t>
      </w:r>
      <w:r>
        <w:rPr>
          <w:vertAlign w:val="subscript"/>
        </w:rPr>
        <w:t>−</w:t>
      </w:r>
      <w:r>
        <w:rPr>
          <w:vertAlign w:val="subscript"/>
        </w:rPr>
        <w:t>1</w:t>
      </w:r>
      <w:r>
        <w:t xml:space="preserve">]) and standard deviation </w:t>
      </w:r>
      <w:r>
        <w:rPr>
          <w:i/>
        </w:rPr>
        <w:t>σ</w:t>
      </w:r>
      <w:r>
        <w:t>([</w:t>
      </w:r>
      <w:r>
        <w:rPr>
          <w:i/>
        </w:rPr>
        <w:t>x</w:t>
      </w:r>
      <w:r>
        <w:rPr>
          <w:vertAlign w:val="subscript"/>
        </w:rPr>
        <w:t>0</w:t>
      </w:r>
      <w:r>
        <w:rPr>
          <w:i/>
        </w:rPr>
        <w:t>,x</w:t>
      </w:r>
      <w:r>
        <w:rPr>
          <w:vertAlign w:val="subscript"/>
        </w:rPr>
        <w:t>1</w:t>
      </w:r>
      <w:r>
        <w:rPr>
          <w:i/>
        </w:rPr>
        <w:t>,...x</w:t>
      </w:r>
      <w:r>
        <w:rPr>
          <w:i/>
          <w:vertAlign w:val="subscript"/>
        </w:rPr>
        <w:t>N</w:t>
      </w:r>
      <w:r>
        <w:rPr>
          <w:vertAlign w:val="subscript"/>
        </w:rPr>
        <w:t>−</w:t>
      </w:r>
      <w:r>
        <w:rPr>
          <w:vertAlign w:val="subscript"/>
        </w:rPr>
        <w:t>1</w:t>
      </w:r>
      <w:r>
        <w:t xml:space="preserve">]) functions imported from the </w:t>
      </w:r>
      <w:r>
        <w:rPr>
          <w:b/>
          <w:color w:val="FF0000"/>
        </w:rPr>
        <w:t>statistics module</w:t>
      </w:r>
      <w:r>
        <w:t>.</w:t>
      </w:r>
    </w:p>
    <w:p w14:paraId="1E943127" w14:textId="77777777" w:rsidR="00863EA7" w:rsidRDefault="002604E0">
      <w:pPr>
        <w:numPr>
          <w:ilvl w:val="0"/>
          <w:numId w:val="3"/>
        </w:numPr>
        <w:spacing w:after="216" w:line="272" w:lineRule="auto"/>
        <w:ind w:right="0" w:hanging="476"/>
        <w:jc w:val="left"/>
      </w:pPr>
      <w:r>
        <w:t>You will notice that I have inserted test cases. Tests are introduced to verify correctness of your code. You will be automatically graded with these test cases. Then, your points will be deducted for any missing instructions in (</w:t>
      </w:r>
      <w:proofErr w:type="spellStart"/>
      <w:r>
        <w:t>i</w:t>
      </w:r>
      <w:proofErr w:type="spellEnd"/>
      <w:r>
        <w:t>.) or (ii.) (e.g., if a d</w:t>
      </w:r>
      <w:r>
        <w:t>uplicate program is missing) above.</w:t>
      </w:r>
    </w:p>
    <w:p w14:paraId="362E60D0" w14:textId="77777777" w:rsidR="00863EA7" w:rsidRDefault="002604E0">
      <w:pPr>
        <w:spacing w:after="0"/>
        <w:ind w:left="-5" w:right="164"/>
      </w:pPr>
      <w:r>
        <w:t>An example test run of the program is given in figure 1. Thus, your program should produce the following output (using the same format and set of taxable incomes) if everything is right:</w:t>
      </w:r>
    </w:p>
    <w:p w14:paraId="2C44EC85" w14:textId="77777777" w:rsidR="00863EA7" w:rsidRDefault="002604E0">
      <w:pPr>
        <w:spacing w:after="324" w:line="259" w:lineRule="auto"/>
        <w:ind w:left="0" w:right="0" w:firstLine="0"/>
        <w:jc w:val="left"/>
      </w:pPr>
      <w:r>
        <w:rPr>
          <w:noProof/>
        </w:rPr>
        <w:lastRenderedPageBreak/>
        <w:drawing>
          <wp:inline distT="0" distB="0" distL="0" distR="0" wp14:anchorId="790C1C35" wp14:editId="60A308B3">
            <wp:extent cx="5760139" cy="2744926"/>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1"/>
                    <a:stretch>
                      <a:fillRect/>
                    </a:stretch>
                  </pic:blipFill>
                  <pic:spPr>
                    <a:xfrm>
                      <a:off x="0" y="0"/>
                      <a:ext cx="5760139" cy="2744926"/>
                    </a:xfrm>
                    <a:prstGeom prst="rect">
                      <a:avLst/>
                    </a:prstGeom>
                  </pic:spPr>
                </pic:pic>
              </a:graphicData>
            </a:graphic>
          </wp:inline>
        </w:drawing>
      </w:r>
    </w:p>
    <w:p w14:paraId="6B3285CD" w14:textId="77777777" w:rsidR="00863EA7" w:rsidRDefault="002604E0">
      <w:pPr>
        <w:spacing w:after="232" w:line="265" w:lineRule="auto"/>
        <w:jc w:val="center"/>
      </w:pPr>
      <w:r>
        <w:t xml:space="preserve">Figure 1: Expected Output - if </w:t>
      </w:r>
      <w:r>
        <w:t>your program works correctly.</w:t>
      </w:r>
    </w:p>
    <w:p w14:paraId="0C44015D" w14:textId="77777777" w:rsidR="00863EA7" w:rsidRDefault="002604E0">
      <w:pPr>
        <w:ind w:left="-5" w:right="164"/>
      </w:pPr>
      <w:r>
        <w:t xml:space="preserve">Please note that the program has been developed such that the entry-point for program execution is </w:t>
      </w:r>
      <w:r>
        <w:rPr>
          <w:rFonts w:ascii="Calibri" w:eastAsia="Calibri" w:hAnsi="Calibri" w:cs="Calibri"/>
          <w:i/>
          <w:color w:val="0000FF"/>
        </w:rPr>
        <w:t>main.py</w:t>
      </w:r>
      <w:r>
        <w:t>. This is the coordinating file - by executing this file, you are indirectly executing other files (</w:t>
      </w:r>
      <w:proofErr w:type="gramStart"/>
      <w:r>
        <w:t>in order to</w:t>
      </w:r>
      <w:proofErr w:type="gramEnd"/>
      <w:r>
        <w:t xml:space="preserve"> realize </w:t>
      </w:r>
      <w:r>
        <w:t xml:space="preserve">the program objectives). We have relied on the power of </w:t>
      </w:r>
      <w:r>
        <w:rPr>
          <w:i/>
        </w:rPr>
        <w:t xml:space="preserve">modules </w:t>
      </w:r>
      <w:r>
        <w:t>to integrate the system.</w:t>
      </w:r>
    </w:p>
    <w:p w14:paraId="27F4F1E0" w14:textId="77777777" w:rsidR="00863EA7" w:rsidRDefault="002604E0">
      <w:pPr>
        <w:pStyle w:val="Heading1"/>
        <w:spacing w:after="114"/>
        <w:ind w:left="0" w:right="0" w:firstLine="0"/>
      </w:pPr>
      <w:r>
        <w:rPr>
          <w:sz w:val="29"/>
        </w:rPr>
        <w:t>Grading Scheme</w:t>
      </w:r>
    </w:p>
    <w:p w14:paraId="7AEFF4D7" w14:textId="77777777" w:rsidR="00863EA7" w:rsidRDefault="002604E0">
      <w:pPr>
        <w:spacing w:after="0"/>
        <w:ind w:left="-5" w:right="164"/>
      </w:pPr>
      <w:r>
        <w:t>The following scheme will be used to grade your submission. Therefore, you may also use it as a guide in preparing your deliverable.</w:t>
      </w:r>
    </w:p>
    <w:tbl>
      <w:tblPr>
        <w:tblStyle w:val="TableGrid"/>
        <w:tblW w:w="6714" w:type="dxa"/>
        <w:tblInd w:w="1156" w:type="dxa"/>
        <w:tblCellMar>
          <w:top w:w="50" w:type="dxa"/>
          <w:left w:w="120" w:type="dxa"/>
          <w:bottom w:w="0" w:type="dxa"/>
          <w:right w:w="115" w:type="dxa"/>
        </w:tblCellMar>
        <w:tblLook w:val="04A0" w:firstRow="1" w:lastRow="0" w:firstColumn="1" w:lastColumn="0" w:noHBand="0" w:noVBand="1"/>
      </w:tblPr>
      <w:tblGrid>
        <w:gridCol w:w="5625"/>
        <w:gridCol w:w="1089"/>
      </w:tblGrid>
      <w:tr w:rsidR="00863EA7" w14:paraId="4BB5D36C" w14:textId="77777777">
        <w:trPr>
          <w:trHeight w:val="271"/>
        </w:trPr>
        <w:tc>
          <w:tcPr>
            <w:tcW w:w="5625" w:type="dxa"/>
            <w:tcBorders>
              <w:top w:val="single" w:sz="3" w:space="0" w:color="000000"/>
              <w:left w:val="single" w:sz="3" w:space="0" w:color="000000"/>
              <w:bottom w:val="single" w:sz="3" w:space="0" w:color="000000"/>
              <w:right w:val="single" w:sz="3" w:space="0" w:color="000000"/>
            </w:tcBorders>
          </w:tcPr>
          <w:p w14:paraId="6290CD78" w14:textId="77777777" w:rsidR="00863EA7" w:rsidRDefault="002604E0">
            <w:pPr>
              <w:spacing w:after="0" w:line="259" w:lineRule="auto"/>
              <w:ind w:left="0" w:right="4" w:firstLine="0"/>
              <w:jc w:val="center"/>
            </w:pPr>
            <w:r>
              <w:rPr>
                <w:b/>
              </w:rPr>
              <w:t>Grade Item</w:t>
            </w:r>
          </w:p>
        </w:tc>
        <w:tc>
          <w:tcPr>
            <w:tcW w:w="1089" w:type="dxa"/>
            <w:tcBorders>
              <w:top w:val="single" w:sz="3" w:space="0" w:color="000000"/>
              <w:left w:val="single" w:sz="3" w:space="0" w:color="000000"/>
              <w:bottom w:val="single" w:sz="3" w:space="0" w:color="000000"/>
              <w:right w:val="single" w:sz="3" w:space="0" w:color="000000"/>
            </w:tcBorders>
          </w:tcPr>
          <w:p w14:paraId="68276E0D" w14:textId="77777777" w:rsidR="00863EA7" w:rsidRDefault="002604E0">
            <w:pPr>
              <w:spacing w:after="0" w:line="259" w:lineRule="auto"/>
              <w:ind w:left="0" w:right="0" w:firstLine="0"/>
              <w:jc w:val="left"/>
            </w:pPr>
            <w:r>
              <w:rPr>
                <w:b/>
              </w:rPr>
              <w:t>Weight</w:t>
            </w:r>
          </w:p>
        </w:tc>
      </w:tr>
      <w:tr w:rsidR="00863EA7" w14:paraId="537D0609" w14:textId="77777777">
        <w:trPr>
          <w:trHeight w:val="271"/>
        </w:trPr>
        <w:tc>
          <w:tcPr>
            <w:tcW w:w="5625" w:type="dxa"/>
            <w:tcBorders>
              <w:top w:val="single" w:sz="3" w:space="0" w:color="000000"/>
              <w:left w:val="single" w:sz="3" w:space="0" w:color="000000"/>
              <w:bottom w:val="single" w:sz="3" w:space="0" w:color="000000"/>
              <w:right w:val="single" w:sz="3" w:space="0" w:color="000000"/>
            </w:tcBorders>
          </w:tcPr>
          <w:p w14:paraId="197CA2E4" w14:textId="77777777" w:rsidR="00863EA7" w:rsidRDefault="002604E0">
            <w:pPr>
              <w:spacing w:after="0" w:line="259" w:lineRule="auto"/>
              <w:ind w:left="0" w:right="0" w:firstLine="0"/>
              <w:jc w:val="left"/>
            </w:pPr>
            <w:r>
              <w:t>A syntactically and semantically correct program.</w:t>
            </w:r>
          </w:p>
        </w:tc>
        <w:tc>
          <w:tcPr>
            <w:tcW w:w="1089" w:type="dxa"/>
            <w:tcBorders>
              <w:top w:val="single" w:sz="3" w:space="0" w:color="000000"/>
              <w:left w:val="single" w:sz="3" w:space="0" w:color="000000"/>
              <w:bottom w:val="single" w:sz="3" w:space="0" w:color="000000"/>
              <w:right w:val="single" w:sz="3" w:space="0" w:color="000000"/>
            </w:tcBorders>
          </w:tcPr>
          <w:p w14:paraId="5D81B156" w14:textId="77777777" w:rsidR="00863EA7" w:rsidRDefault="002604E0">
            <w:pPr>
              <w:spacing w:after="0" w:line="259" w:lineRule="auto"/>
              <w:ind w:left="0" w:right="0" w:firstLine="0"/>
              <w:jc w:val="left"/>
            </w:pPr>
            <w:r>
              <w:rPr>
                <w:b/>
              </w:rPr>
              <w:t>50</w:t>
            </w:r>
          </w:p>
        </w:tc>
      </w:tr>
      <w:tr w:rsidR="00863EA7" w14:paraId="40B4EB23" w14:textId="77777777">
        <w:trPr>
          <w:trHeight w:val="797"/>
        </w:trPr>
        <w:tc>
          <w:tcPr>
            <w:tcW w:w="5625" w:type="dxa"/>
            <w:tcBorders>
              <w:top w:val="single" w:sz="3" w:space="0" w:color="000000"/>
              <w:left w:val="single" w:sz="3" w:space="0" w:color="000000"/>
              <w:bottom w:val="single" w:sz="3" w:space="0" w:color="000000"/>
              <w:right w:val="single" w:sz="3" w:space="0" w:color="000000"/>
            </w:tcBorders>
          </w:tcPr>
          <w:p w14:paraId="7E5D6048" w14:textId="77777777" w:rsidR="00863EA7" w:rsidRDefault="002604E0">
            <w:pPr>
              <w:spacing w:after="0" w:line="259" w:lineRule="auto"/>
              <w:ind w:left="0" w:right="0" w:firstLine="0"/>
            </w:pPr>
            <w:r>
              <w:t>A program with detailed program design - see examples in my video lectures (it was embedded as comments in the video). I am enforcing program design this time.</w:t>
            </w:r>
          </w:p>
        </w:tc>
        <w:tc>
          <w:tcPr>
            <w:tcW w:w="1089" w:type="dxa"/>
            <w:tcBorders>
              <w:top w:val="single" w:sz="3" w:space="0" w:color="000000"/>
              <w:left w:val="single" w:sz="3" w:space="0" w:color="000000"/>
              <w:bottom w:val="single" w:sz="3" w:space="0" w:color="000000"/>
              <w:right w:val="single" w:sz="3" w:space="0" w:color="000000"/>
            </w:tcBorders>
          </w:tcPr>
          <w:p w14:paraId="5F43A244" w14:textId="77777777" w:rsidR="00863EA7" w:rsidRDefault="002604E0">
            <w:pPr>
              <w:spacing w:after="0" w:line="259" w:lineRule="auto"/>
              <w:ind w:left="0" w:right="0" w:firstLine="0"/>
              <w:jc w:val="left"/>
            </w:pPr>
            <w:r>
              <w:rPr>
                <w:b/>
              </w:rPr>
              <w:t>15</w:t>
            </w:r>
          </w:p>
        </w:tc>
      </w:tr>
      <w:tr w:rsidR="00863EA7" w14:paraId="710EDC3B" w14:textId="77777777">
        <w:trPr>
          <w:trHeight w:val="1323"/>
        </w:trPr>
        <w:tc>
          <w:tcPr>
            <w:tcW w:w="5625" w:type="dxa"/>
            <w:tcBorders>
              <w:top w:val="single" w:sz="3" w:space="0" w:color="000000"/>
              <w:left w:val="single" w:sz="3" w:space="0" w:color="000000"/>
              <w:bottom w:val="single" w:sz="3" w:space="0" w:color="000000"/>
              <w:right w:val="single" w:sz="3" w:space="0" w:color="000000"/>
            </w:tcBorders>
          </w:tcPr>
          <w:p w14:paraId="77AD6EC9" w14:textId="77777777" w:rsidR="00863EA7" w:rsidRDefault="002604E0">
            <w:pPr>
              <w:spacing w:after="0" w:line="259" w:lineRule="auto"/>
              <w:ind w:left="0" w:right="0" w:firstLine="0"/>
            </w:pPr>
            <w:r>
              <w:t xml:space="preserve">A flowchart of your program must be included. This must represent your program. You can use </w:t>
            </w:r>
            <w:r>
              <w:t>pen and paper for drawings. You may also decompose the problem into separate components, draw them each and show how the components will be coupled to realize your code.</w:t>
            </w:r>
          </w:p>
        </w:tc>
        <w:tc>
          <w:tcPr>
            <w:tcW w:w="1089" w:type="dxa"/>
            <w:tcBorders>
              <w:top w:val="single" w:sz="3" w:space="0" w:color="000000"/>
              <w:left w:val="single" w:sz="3" w:space="0" w:color="000000"/>
              <w:bottom w:val="single" w:sz="3" w:space="0" w:color="000000"/>
              <w:right w:val="single" w:sz="3" w:space="0" w:color="000000"/>
            </w:tcBorders>
          </w:tcPr>
          <w:p w14:paraId="53800363" w14:textId="77777777" w:rsidR="00863EA7" w:rsidRDefault="002604E0">
            <w:pPr>
              <w:spacing w:after="0" w:line="259" w:lineRule="auto"/>
              <w:ind w:left="0" w:right="0" w:firstLine="0"/>
              <w:jc w:val="left"/>
            </w:pPr>
            <w:r>
              <w:rPr>
                <w:b/>
              </w:rPr>
              <w:t>20</w:t>
            </w:r>
          </w:p>
        </w:tc>
      </w:tr>
      <w:tr w:rsidR="00863EA7" w14:paraId="49D3A79D" w14:textId="77777777">
        <w:trPr>
          <w:trHeight w:val="534"/>
        </w:trPr>
        <w:tc>
          <w:tcPr>
            <w:tcW w:w="5625" w:type="dxa"/>
            <w:tcBorders>
              <w:top w:val="single" w:sz="3" w:space="0" w:color="000000"/>
              <w:left w:val="single" w:sz="3" w:space="0" w:color="000000"/>
              <w:bottom w:val="single" w:sz="3" w:space="0" w:color="000000"/>
              <w:right w:val="single" w:sz="3" w:space="0" w:color="000000"/>
            </w:tcBorders>
          </w:tcPr>
          <w:p w14:paraId="6223B985" w14:textId="77777777" w:rsidR="00863EA7" w:rsidRDefault="002604E0">
            <w:pPr>
              <w:spacing w:after="0" w:line="259" w:lineRule="auto"/>
              <w:ind w:left="0" w:right="0" w:firstLine="0"/>
              <w:jc w:val="left"/>
            </w:pPr>
            <w:r>
              <w:t>Program efficiency. That is, using efficient but correct control structures.</w:t>
            </w:r>
          </w:p>
        </w:tc>
        <w:tc>
          <w:tcPr>
            <w:tcW w:w="1089" w:type="dxa"/>
            <w:tcBorders>
              <w:top w:val="single" w:sz="3" w:space="0" w:color="000000"/>
              <w:left w:val="single" w:sz="3" w:space="0" w:color="000000"/>
              <w:bottom w:val="single" w:sz="3" w:space="0" w:color="000000"/>
              <w:right w:val="single" w:sz="3" w:space="0" w:color="000000"/>
            </w:tcBorders>
          </w:tcPr>
          <w:p w14:paraId="0F910759" w14:textId="77777777" w:rsidR="00863EA7" w:rsidRDefault="002604E0">
            <w:pPr>
              <w:spacing w:after="0" w:line="259" w:lineRule="auto"/>
              <w:ind w:left="0" w:right="0" w:firstLine="0"/>
              <w:jc w:val="left"/>
            </w:pPr>
            <w:r>
              <w:rPr>
                <w:b/>
              </w:rPr>
              <w:t>5</w:t>
            </w:r>
          </w:p>
        </w:tc>
      </w:tr>
      <w:tr w:rsidR="00863EA7" w14:paraId="70033E4F" w14:textId="77777777">
        <w:trPr>
          <w:trHeight w:val="1060"/>
        </w:trPr>
        <w:tc>
          <w:tcPr>
            <w:tcW w:w="5625" w:type="dxa"/>
            <w:tcBorders>
              <w:top w:val="single" w:sz="3" w:space="0" w:color="000000"/>
              <w:left w:val="single" w:sz="3" w:space="0" w:color="000000"/>
              <w:bottom w:val="single" w:sz="3" w:space="0" w:color="000000"/>
              <w:right w:val="single" w:sz="3" w:space="0" w:color="000000"/>
            </w:tcBorders>
          </w:tcPr>
          <w:p w14:paraId="57D21A69" w14:textId="77777777" w:rsidR="00863EA7" w:rsidRDefault="002604E0">
            <w:pPr>
              <w:spacing w:after="24"/>
              <w:ind w:left="0" w:right="0" w:firstLine="0"/>
            </w:pPr>
            <w:r>
              <w:t>A program with detailed program documentation and uses sensible variable names. Your program’s file name and other files should be zipped and named in the following format - [first-</w:t>
            </w:r>
          </w:p>
          <w:p w14:paraId="324C08F5" w14:textId="77777777" w:rsidR="00863EA7" w:rsidRDefault="002604E0">
            <w:pPr>
              <w:spacing w:after="0" w:line="259" w:lineRule="auto"/>
              <w:ind w:left="0" w:right="0" w:firstLine="0"/>
              <w:jc w:val="left"/>
            </w:pPr>
            <w:r>
              <w:t xml:space="preserve">Name </w:t>
            </w:r>
            <w:proofErr w:type="spellStart"/>
            <w:r>
              <w:t>lastName</w:t>
            </w:r>
            <w:proofErr w:type="spellEnd"/>
            <w:r>
              <w:t xml:space="preserve"> </w:t>
            </w:r>
            <w:proofErr w:type="spellStart"/>
            <w:r>
              <w:t>studentID</w:t>
            </w:r>
            <w:proofErr w:type="spellEnd"/>
            <w:r>
              <w:t>]</w:t>
            </w:r>
          </w:p>
        </w:tc>
        <w:tc>
          <w:tcPr>
            <w:tcW w:w="1089" w:type="dxa"/>
            <w:tcBorders>
              <w:top w:val="single" w:sz="3" w:space="0" w:color="000000"/>
              <w:left w:val="single" w:sz="3" w:space="0" w:color="000000"/>
              <w:bottom w:val="single" w:sz="3" w:space="0" w:color="000000"/>
              <w:right w:val="single" w:sz="3" w:space="0" w:color="000000"/>
            </w:tcBorders>
          </w:tcPr>
          <w:p w14:paraId="2A007E8A" w14:textId="77777777" w:rsidR="00863EA7" w:rsidRDefault="002604E0">
            <w:pPr>
              <w:spacing w:after="0" w:line="259" w:lineRule="auto"/>
              <w:ind w:left="0" w:right="0" w:firstLine="0"/>
              <w:jc w:val="left"/>
            </w:pPr>
            <w:r>
              <w:rPr>
                <w:b/>
              </w:rPr>
              <w:t>10</w:t>
            </w:r>
          </w:p>
        </w:tc>
      </w:tr>
      <w:tr w:rsidR="00863EA7" w14:paraId="5A18AEF4" w14:textId="77777777">
        <w:trPr>
          <w:trHeight w:val="271"/>
        </w:trPr>
        <w:tc>
          <w:tcPr>
            <w:tcW w:w="5625" w:type="dxa"/>
            <w:tcBorders>
              <w:top w:val="single" w:sz="3" w:space="0" w:color="000000"/>
              <w:left w:val="single" w:sz="3" w:space="0" w:color="000000"/>
              <w:bottom w:val="single" w:sz="3" w:space="0" w:color="000000"/>
              <w:right w:val="single" w:sz="3" w:space="0" w:color="000000"/>
            </w:tcBorders>
          </w:tcPr>
          <w:p w14:paraId="477A5628" w14:textId="77777777" w:rsidR="00863EA7" w:rsidRDefault="002604E0">
            <w:pPr>
              <w:spacing w:after="0" w:line="259" w:lineRule="auto"/>
              <w:ind w:left="0" w:right="0" w:firstLine="0"/>
              <w:jc w:val="center"/>
            </w:pPr>
            <w:r>
              <w:rPr>
                <w:b/>
              </w:rPr>
              <w:t>Total</w:t>
            </w:r>
          </w:p>
        </w:tc>
        <w:tc>
          <w:tcPr>
            <w:tcW w:w="1089" w:type="dxa"/>
            <w:tcBorders>
              <w:top w:val="single" w:sz="3" w:space="0" w:color="000000"/>
              <w:left w:val="single" w:sz="3" w:space="0" w:color="000000"/>
              <w:bottom w:val="single" w:sz="3" w:space="0" w:color="000000"/>
              <w:right w:val="single" w:sz="3" w:space="0" w:color="000000"/>
            </w:tcBorders>
          </w:tcPr>
          <w:p w14:paraId="3B48274E" w14:textId="77777777" w:rsidR="00863EA7" w:rsidRDefault="002604E0">
            <w:pPr>
              <w:spacing w:after="0" w:line="259" w:lineRule="auto"/>
              <w:ind w:left="0" w:right="0" w:firstLine="0"/>
              <w:jc w:val="left"/>
            </w:pPr>
            <w:r>
              <w:rPr>
                <w:b/>
              </w:rPr>
              <w:t>100</w:t>
            </w:r>
          </w:p>
        </w:tc>
      </w:tr>
    </w:tbl>
    <w:p w14:paraId="7FFCBBC0" w14:textId="77777777" w:rsidR="002604E0" w:rsidRDefault="002604E0"/>
    <w:sectPr w:rsidR="002604E0">
      <w:headerReference w:type="even" r:id="rId12"/>
      <w:headerReference w:type="default" r:id="rId13"/>
      <w:footerReference w:type="even" r:id="rId14"/>
      <w:footerReference w:type="default" r:id="rId15"/>
      <w:headerReference w:type="first" r:id="rId16"/>
      <w:footerReference w:type="first" r:id="rId17"/>
      <w:pgSz w:w="11906" w:h="16838"/>
      <w:pgMar w:top="1440" w:right="1261" w:bottom="5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0FBA" w14:textId="77777777" w:rsidR="002604E0" w:rsidRDefault="002604E0">
      <w:pPr>
        <w:spacing w:after="0" w:line="240" w:lineRule="auto"/>
      </w:pPr>
      <w:r>
        <w:separator/>
      </w:r>
    </w:p>
  </w:endnote>
  <w:endnote w:type="continuationSeparator" w:id="0">
    <w:p w14:paraId="4EE73F28" w14:textId="77777777" w:rsidR="002604E0" w:rsidRDefault="0026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30D9" w14:textId="77777777" w:rsidR="00863EA7" w:rsidRDefault="002604E0">
    <w:pPr>
      <w:tabs>
        <w:tab w:val="center" w:pos="2151"/>
        <w:tab w:val="center" w:pos="3845"/>
        <w:tab w:val="center" w:pos="5498"/>
        <w:tab w:val="center" w:pos="6023"/>
        <w:tab w:val="right" w:pos="920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3C13A4" wp14:editId="38CA4E46">
              <wp:simplePos x="0" y="0"/>
              <wp:positionH relativeFrom="page">
                <wp:posOffset>914400</wp:posOffset>
              </wp:positionH>
              <wp:positionV relativeFrom="page">
                <wp:posOffset>10154654</wp:posOffset>
              </wp:positionV>
              <wp:extent cx="5731205" cy="5055"/>
              <wp:effectExtent l="0" t="0" r="0" b="0"/>
              <wp:wrapSquare wrapText="bothSides"/>
              <wp:docPr id="6398" name="Group 639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399" name="Shape 639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98" style="width:451.276pt;height:0.398pt;position:absolute;mso-position-horizontal-relative:page;mso-position-horizontal:absolute;margin-left:72pt;mso-position-vertical-relative:page;margin-top:799.579pt;" coordsize="57312,50">
              <v:shape id="Shape 6399" style="position:absolute;width:57312;height:0;left:0;top:0;" coordsize="5731205,0" path="m0,0l5731205,0">
                <v:stroke weight="0.398pt" endcap="flat" joinstyle="miter" miterlimit="10" on="true" color="#000000"/>
                <v:fill on="false" color="#000000" opacity="0"/>
              </v:shape>
              <w10:wrap type="square"/>
            </v:group>
          </w:pict>
        </mc:Fallback>
      </mc:AlternateContent>
    </w:r>
    <w:r>
      <w:rPr>
        <w:rFonts w:ascii="Calibri" w:eastAsia="Calibri" w:hAnsi="Calibri" w:cs="Calibri"/>
        <w:color w:val="0000FF"/>
        <w:sz w:val="18"/>
      </w:rPr>
      <w:t xml:space="preserve">UFV </w:t>
    </w:r>
    <w:proofErr w:type="gramStart"/>
    <w:r>
      <w:rPr>
        <w:rFonts w:ascii="Calibri" w:eastAsia="Calibri" w:hAnsi="Calibri" w:cs="Calibri"/>
        <w:color w:val="0000FF"/>
        <w:sz w:val="18"/>
      </w:rPr>
      <w:t>is located in</w:t>
    </w:r>
    <w:proofErr w:type="gramEnd"/>
    <w:r>
      <w:rPr>
        <w:rFonts w:ascii="Calibri" w:eastAsia="Calibri" w:hAnsi="Calibri" w:cs="Calibri"/>
        <w:color w:val="0000FF"/>
        <w:sz w:val="18"/>
      </w:rPr>
      <w:t xml:space="preserve"> </w:t>
    </w:r>
    <w:proofErr w:type="spellStart"/>
    <w:r>
      <w:rPr>
        <w:rFonts w:ascii="Calibri" w:eastAsia="Calibri" w:hAnsi="Calibri" w:cs="Calibri"/>
        <w:color w:val="0000FF"/>
        <w:sz w:val="18"/>
      </w:rPr>
      <w:t>S’olh</w:t>
    </w:r>
    <w:proofErr w:type="spellEnd"/>
    <w:r>
      <w:rPr>
        <w:rFonts w:ascii="Calibri" w:eastAsia="Calibri" w:hAnsi="Calibri" w:cs="Calibri"/>
        <w:color w:val="0000FF"/>
        <w:sz w:val="18"/>
      </w:rPr>
      <w:t xml:space="preserve"> T´</w:t>
    </w:r>
    <w:r>
      <w:rPr>
        <w:rFonts w:ascii="Calibri" w:eastAsia="Calibri" w:hAnsi="Calibri" w:cs="Calibri"/>
        <w:color w:val="0000FF"/>
        <w:sz w:val="18"/>
      </w:rPr>
      <w:tab/>
    </w:r>
    <w:proofErr w:type="spellStart"/>
    <w:r>
      <w:rPr>
        <w:rFonts w:ascii="Calibri" w:eastAsia="Calibri" w:hAnsi="Calibri" w:cs="Calibri"/>
        <w:color w:val="0000FF"/>
        <w:sz w:val="18"/>
      </w:rPr>
      <w:t>em</w:t>
    </w:r>
    <w:proofErr w:type="spellEnd"/>
    <w:r>
      <w:rPr>
        <w:rFonts w:ascii="Calibri" w:eastAsia="Calibri" w:hAnsi="Calibri" w:cs="Calibri"/>
        <w:color w:val="0000FF"/>
        <w:sz w:val="18"/>
      </w:rPr>
      <w:t>´</w:t>
    </w:r>
    <w:r>
      <w:rPr>
        <w:rFonts w:ascii="Calibri" w:eastAsia="Calibri" w:hAnsi="Calibri" w:cs="Calibri"/>
        <w:color w:val="0000FF"/>
        <w:sz w:val="18"/>
      </w:rPr>
      <w:tab/>
    </w:r>
    <w:proofErr w:type="spellStart"/>
    <w:r>
      <w:rPr>
        <w:rFonts w:ascii="Calibri" w:eastAsia="Calibri" w:hAnsi="Calibri" w:cs="Calibri"/>
        <w:color w:val="0000FF"/>
        <w:sz w:val="18"/>
      </w:rPr>
      <w:t>exw</w:t>
    </w:r>
    <w:proofErr w:type="spellEnd"/>
    <w:r>
      <w:rPr>
        <w:rFonts w:ascii="Calibri" w:eastAsia="Calibri" w:hAnsi="Calibri" w:cs="Calibri"/>
        <w:color w:val="0000FF"/>
        <w:sz w:val="18"/>
      </w:rPr>
      <w:t>, the traditional territory of the St´</w:t>
    </w:r>
    <w:r>
      <w:rPr>
        <w:rFonts w:ascii="Calibri" w:eastAsia="Calibri" w:hAnsi="Calibri" w:cs="Calibri"/>
        <w:color w:val="0000FF"/>
        <w:sz w:val="18"/>
      </w:rPr>
      <w:tab/>
      <w:t>o:l´</w:t>
    </w:r>
    <w:r>
      <w:rPr>
        <w:rFonts w:ascii="Calibri" w:eastAsia="Calibri" w:hAnsi="Calibri" w:cs="Calibri"/>
        <w:color w:val="0000FF"/>
        <w:sz w:val="18"/>
      </w:rPr>
      <w:tab/>
      <w:t>o people.¯</w:t>
    </w:r>
    <w:r>
      <w:rPr>
        <w:rFonts w:ascii="Calibri" w:eastAsia="Calibri" w:hAnsi="Calibri" w:cs="Calibri"/>
        <w:color w:val="0000FF"/>
        <w:sz w:val="18"/>
      </w:rPr>
      <w:tab/>
    </w:r>
    <w:r>
      <w:t xml:space="preserve">Page </w:t>
    </w:r>
    <w:r>
      <w:fldChar w:fldCharType="begin"/>
    </w:r>
    <w:r>
      <w:instrText xml:space="preserve"> PAGE   \* M</w:instrText>
    </w:r>
    <w:r>
      <w:instrText xml:space="preserve">ERGEFORMAT </w:instrText>
    </w:r>
    <w:r>
      <w:fldChar w:fldCharType="separate"/>
    </w:r>
    <w:r>
      <w:t>2</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B7D7" w14:textId="0E9FC4C3" w:rsidR="00863EA7" w:rsidRPr="00917CE8" w:rsidRDefault="002604E0">
    <w:pPr>
      <w:tabs>
        <w:tab w:val="center" w:pos="2151"/>
        <w:tab w:val="center" w:pos="3845"/>
        <w:tab w:val="center" w:pos="5498"/>
        <w:tab w:val="center" w:pos="6023"/>
        <w:tab w:val="right" w:pos="9205"/>
      </w:tabs>
      <w:spacing w:after="0" w:line="259" w:lineRule="auto"/>
      <w:ind w:left="0" w:right="0" w:firstLine="0"/>
      <w:jc w:val="left"/>
      <w:rPr>
        <w:rFonts w:ascii="Calibri" w:eastAsia="Calibri" w:hAnsi="Calibri" w:cs="Calibri"/>
        <w:color w:val="0000FF"/>
        <w:sz w:val="18"/>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429A926" wp14:editId="0D4AE8DB">
              <wp:simplePos x="0" y="0"/>
              <wp:positionH relativeFrom="page">
                <wp:posOffset>914400</wp:posOffset>
              </wp:positionH>
              <wp:positionV relativeFrom="page">
                <wp:posOffset>10154654</wp:posOffset>
              </wp:positionV>
              <wp:extent cx="5731205" cy="5055"/>
              <wp:effectExtent l="0" t="0" r="0" b="0"/>
              <wp:wrapSquare wrapText="bothSides"/>
              <wp:docPr id="6355" name="Group 6355"/>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356" name="Shape 6356"/>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55" style="width:451.276pt;height:0.398pt;position:absolute;mso-position-horizontal-relative:page;mso-position-horizontal:absolute;margin-left:72pt;mso-position-vertical-relative:page;margin-top:799.579pt;" coordsize="57312,50">
              <v:shape id="Shape 6356" style="position:absolute;width:57312;height:0;left:0;top:0;" coordsize="5731205,0" path="m0,0l5731205,0">
                <v:stroke weight="0.398pt" endcap="flat" joinstyle="miter" miterlimit="10" on="true" color="#000000"/>
                <v:fill on="false" color="#000000" opacity="0"/>
              </v:shape>
              <w10:wrap type="square"/>
            </v:group>
          </w:pict>
        </mc:Fallback>
      </mc:AlternateContent>
    </w:r>
    <w:r w:rsidR="00917CE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5B62" w14:textId="77777777" w:rsidR="00863EA7" w:rsidRDefault="00863EA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4A83" w14:textId="77777777" w:rsidR="002604E0" w:rsidRDefault="002604E0">
      <w:pPr>
        <w:spacing w:after="0" w:line="240" w:lineRule="auto"/>
      </w:pPr>
      <w:r>
        <w:separator/>
      </w:r>
    </w:p>
  </w:footnote>
  <w:footnote w:type="continuationSeparator" w:id="0">
    <w:p w14:paraId="49A74A6B" w14:textId="77777777" w:rsidR="002604E0" w:rsidRDefault="00260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BAB7" w14:textId="77777777" w:rsidR="00863EA7" w:rsidRDefault="002604E0">
    <w:pPr>
      <w:tabs>
        <w:tab w:val="right" w:pos="920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341DF7" wp14:editId="2F6E45C1">
              <wp:simplePos x="0" y="0"/>
              <wp:positionH relativeFrom="page">
                <wp:posOffset>914400</wp:posOffset>
              </wp:positionH>
              <wp:positionV relativeFrom="page">
                <wp:posOffset>688328</wp:posOffset>
              </wp:positionV>
              <wp:extent cx="5731205" cy="5055"/>
              <wp:effectExtent l="0" t="0" r="0" b="0"/>
              <wp:wrapSquare wrapText="bothSides"/>
              <wp:docPr id="6368" name="Group 636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369" name="Shape 636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68" style="width:451.276pt;height:0.398pt;position:absolute;mso-position-horizontal-relative:page;mso-position-horizontal:absolute;margin-left:72pt;mso-position-vertical-relative:page;margin-top:54.199pt;" coordsize="57312,50">
              <v:shape id="Shape 6369" style="position:absolute;width:57312;height:0;left:0;top:0;" coordsize="5731205,0" path="m0,0l5731205,0">
                <v:stroke weight="0.398pt" endcap="flat" joinstyle="miter" miterlimit="10" on="true" color="#000000"/>
                <v:fill on="false" color="#000000" opacity="0"/>
              </v:shape>
              <w10:wrap type="square"/>
            </v:group>
          </w:pict>
        </mc:Fallback>
      </mc:AlternateContent>
    </w:r>
    <w:r>
      <w:rPr>
        <w:b/>
      </w:rPr>
      <w:t>COMP 150</w:t>
    </w:r>
    <w:r>
      <w:t xml:space="preserve">: </w:t>
    </w:r>
    <w:r>
      <w:rPr>
        <w:b/>
      </w:rPr>
      <w:t>Assignment 2 — Looping, Functions, and Lists</w:t>
    </w:r>
    <w:r>
      <w:rPr>
        <w:b/>
      </w:rPr>
      <w:tab/>
    </w:r>
    <w:proofErr w:type="spellStart"/>
    <w:r>
      <w:rPr>
        <w:rFonts w:ascii="Calibri" w:eastAsia="Calibri" w:hAnsi="Calibri" w:cs="Calibri"/>
      </w:rPr>
      <w:t>Opeyemi</w:t>
    </w:r>
    <w:proofErr w:type="spellEnd"/>
    <w:r>
      <w:rPr>
        <w:rFonts w:ascii="Calibri" w:eastAsia="Calibri" w:hAnsi="Calibri" w:cs="Calibri"/>
      </w:rPr>
      <w:t xml:space="preserve"> Adesina, PhD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C943" w14:textId="69A1F966" w:rsidR="00863EA7" w:rsidRDefault="002604E0">
    <w:pPr>
      <w:tabs>
        <w:tab w:val="right" w:pos="920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476B95B" wp14:editId="49B1B365">
              <wp:simplePos x="0" y="0"/>
              <wp:positionH relativeFrom="page">
                <wp:posOffset>914400</wp:posOffset>
              </wp:positionH>
              <wp:positionV relativeFrom="page">
                <wp:posOffset>688328</wp:posOffset>
              </wp:positionV>
              <wp:extent cx="5731205" cy="5055"/>
              <wp:effectExtent l="0" t="0" r="0" b="0"/>
              <wp:wrapSquare wrapText="bothSides"/>
              <wp:docPr id="6325" name="Group 6325"/>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326" name="Shape 6326"/>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25" style="width:451.276pt;height:0.398pt;position:absolute;mso-position-horizontal-relative:page;mso-position-horizontal:absolute;margin-left:72pt;mso-position-vertical-relative:page;margin-top:54.199pt;" coordsize="57312,50">
              <v:shape id="Shape 6326"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5121" w14:textId="77777777" w:rsidR="00863EA7" w:rsidRDefault="00863EA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2D00"/>
    <w:multiLevelType w:val="hybridMultilevel"/>
    <w:tmpl w:val="37729A0A"/>
    <w:lvl w:ilvl="0" w:tplc="E338871A">
      <w:start w:val="1"/>
      <w:numFmt w:val="lowerLetter"/>
      <w:lvlText w:val="(%1)"/>
      <w:lvlJc w:val="left"/>
      <w:pPr>
        <w:ind w:left="9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80E49E">
      <w:start w:val="1"/>
      <w:numFmt w:val="lowerLetter"/>
      <w:lvlText w:val="%2"/>
      <w:lvlJc w:val="left"/>
      <w:pPr>
        <w:ind w:left="14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BDAD216">
      <w:start w:val="1"/>
      <w:numFmt w:val="lowerRoman"/>
      <w:lvlText w:val="%3"/>
      <w:lvlJc w:val="left"/>
      <w:pPr>
        <w:ind w:left="21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DFC19DC">
      <w:start w:val="1"/>
      <w:numFmt w:val="decimal"/>
      <w:lvlText w:val="%4"/>
      <w:lvlJc w:val="left"/>
      <w:pPr>
        <w:ind w:left="28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94E3174">
      <w:start w:val="1"/>
      <w:numFmt w:val="lowerLetter"/>
      <w:lvlText w:val="%5"/>
      <w:lvlJc w:val="left"/>
      <w:pPr>
        <w:ind w:left="35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24E2196">
      <w:start w:val="1"/>
      <w:numFmt w:val="lowerRoman"/>
      <w:lvlText w:val="%6"/>
      <w:lvlJc w:val="left"/>
      <w:pPr>
        <w:ind w:left="43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1EBEA8">
      <w:start w:val="1"/>
      <w:numFmt w:val="decimal"/>
      <w:lvlText w:val="%7"/>
      <w:lvlJc w:val="left"/>
      <w:pPr>
        <w:ind w:left="50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FC6E538">
      <w:start w:val="1"/>
      <w:numFmt w:val="lowerLetter"/>
      <w:lvlText w:val="%8"/>
      <w:lvlJc w:val="left"/>
      <w:pPr>
        <w:ind w:left="57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64E61C">
      <w:start w:val="1"/>
      <w:numFmt w:val="lowerRoman"/>
      <w:lvlText w:val="%9"/>
      <w:lvlJc w:val="left"/>
      <w:pPr>
        <w:ind w:left="64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DF1103"/>
    <w:multiLevelType w:val="hybridMultilevel"/>
    <w:tmpl w:val="B4E4154A"/>
    <w:lvl w:ilvl="0" w:tplc="0548E480">
      <w:start w:val="1"/>
      <w:numFmt w:val="lowerRoman"/>
      <w:lvlText w:val="(%1.)"/>
      <w:lvlJc w:val="left"/>
      <w:pPr>
        <w:ind w:left="9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C4532">
      <w:start w:val="1"/>
      <w:numFmt w:val="bullet"/>
      <w:lvlText w:val="•"/>
      <w:lvlJc w:val="left"/>
      <w:pPr>
        <w:ind w:left="1294"/>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2" w:tplc="0A5EF65C">
      <w:start w:val="1"/>
      <w:numFmt w:val="bullet"/>
      <w:lvlText w:val="▪"/>
      <w:lvlJc w:val="left"/>
      <w:pPr>
        <w:ind w:left="193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3" w:tplc="C7243EB0">
      <w:start w:val="1"/>
      <w:numFmt w:val="bullet"/>
      <w:lvlText w:val="•"/>
      <w:lvlJc w:val="left"/>
      <w:pPr>
        <w:ind w:left="265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4" w:tplc="6A083C20">
      <w:start w:val="1"/>
      <w:numFmt w:val="bullet"/>
      <w:lvlText w:val="o"/>
      <w:lvlJc w:val="left"/>
      <w:pPr>
        <w:ind w:left="337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5" w:tplc="0B3C7D4C">
      <w:start w:val="1"/>
      <w:numFmt w:val="bullet"/>
      <w:lvlText w:val="▪"/>
      <w:lvlJc w:val="left"/>
      <w:pPr>
        <w:ind w:left="409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6" w:tplc="2D241AEA">
      <w:start w:val="1"/>
      <w:numFmt w:val="bullet"/>
      <w:lvlText w:val="•"/>
      <w:lvlJc w:val="left"/>
      <w:pPr>
        <w:ind w:left="481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7" w:tplc="04BE5708">
      <w:start w:val="1"/>
      <w:numFmt w:val="bullet"/>
      <w:lvlText w:val="o"/>
      <w:lvlJc w:val="left"/>
      <w:pPr>
        <w:ind w:left="553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lvl w:ilvl="8" w:tplc="4D9EFE90">
      <w:start w:val="1"/>
      <w:numFmt w:val="bullet"/>
      <w:lvlText w:val="▪"/>
      <w:lvlJc w:val="left"/>
      <w:pPr>
        <w:ind w:left="6251"/>
      </w:pPr>
      <w:rPr>
        <w:rFonts w:ascii="Calibri" w:eastAsia="Calibri" w:hAnsi="Calibri" w:cs="Calibri"/>
        <w:b w:val="0"/>
        <w:i/>
        <w:iCs/>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755229F1"/>
    <w:multiLevelType w:val="hybridMultilevel"/>
    <w:tmpl w:val="770C94DA"/>
    <w:lvl w:ilvl="0" w:tplc="1A1E570C">
      <w:start w:val="1"/>
      <w:numFmt w:val="bullet"/>
      <w:lvlText w:val="•"/>
      <w:lvlJc w:val="left"/>
      <w:pPr>
        <w:ind w:left="9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D22F04">
      <w:start w:val="1"/>
      <w:numFmt w:val="bullet"/>
      <w:lvlText w:val="–"/>
      <w:lvlJc w:val="left"/>
      <w:pPr>
        <w:ind w:left="13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6223684">
      <w:start w:val="1"/>
      <w:numFmt w:val="bullet"/>
      <w:lvlText w:val="▪"/>
      <w:lvlJc w:val="left"/>
      <w:pPr>
        <w:ind w:left="19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C252554A">
      <w:start w:val="1"/>
      <w:numFmt w:val="bullet"/>
      <w:lvlText w:val="•"/>
      <w:lvlJc w:val="left"/>
      <w:pPr>
        <w:ind w:left="26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5E72A966">
      <w:start w:val="1"/>
      <w:numFmt w:val="bullet"/>
      <w:lvlText w:val="o"/>
      <w:lvlJc w:val="left"/>
      <w:pPr>
        <w:ind w:left="33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E36649C">
      <w:start w:val="1"/>
      <w:numFmt w:val="bullet"/>
      <w:lvlText w:val="▪"/>
      <w:lvlJc w:val="left"/>
      <w:pPr>
        <w:ind w:left="40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425E6BBC">
      <w:start w:val="1"/>
      <w:numFmt w:val="bullet"/>
      <w:lvlText w:val="•"/>
      <w:lvlJc w:val="left"/>
      <w:pPr>
        <w:ind w:left="48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A647D72">
      <w:start w:val="1"/>
      <w:numFmt w:val="bullet"/>
      <w:lvlText w:val="o"/>
      <w:lvlJc w:val="left"/>
      <w:pPr>
        <w:ind w:left="55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F1B44C00">
      <w:start w:val="1"/>
      <w:numFmt w:val="bullet"/>
      <w:lvlText w:val="▪"/>
      <w:lvlJc w:val="left"/>
      <w:pPr>
        <w:ind w:left="62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EA7"/>
    <w:rsid w:val="002604E0"/>
    <w:rsid w:val="00863EA7"/>
    <w:rsid w:val="00917C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4ACD"/>
  <w15:docId w15:val="{CD5E3D69-1564-4612-9D25-1BB7180A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68" w:lineRule="auto"/>
      <w:ind w:left="10" w:right="17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31"/>
      <w:ind w:left="10" w:right="179"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nada.ca/en/revenue-agency/services/forms-publications/payroll/t4032-payroll-deductions-tables/t4032ns-jan/t4032ns-january-general-information.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ada.ca/en/revenue-agency/services/forms-publications/payroll/t4032-payroll-deductions-tables/t4032ns-jan/t4032ns-january-general-information.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nada.ca/en/revenue-agency/services/forms-publications/payroll/t4032-payroll-deductions-tables/t4032ns-jan/t4032ns-january-general-informa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Jasneet.Gill</dc:creator>
  <cp:keywords/>
  <cp:lastModifiedBy>Jasneet.Gill</cp:lastModifiedBy>
  <cp:revision>2</cp:revision>
  <dcterms:created xsi:type="dcterms:W3CDTF">2021-10-31T06:22:00Z</dcterms:created>
  <dcterms:modified xsi:type="dcterms:W3CDTF">2021-10-31T06:22:00Z</dcterms:modified>
</cp:coreProperties>
</file>