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21" w:rsidRPr="00AD5F09" w:rsidRDefault="00D83121">
      <w:pPr>
        <w:pStyle w:val="ConsPlusNormal"/>
      </w:pPr>
    </w:p>
    <w:tbl>
      <w:tblPr>
        <w:tblStyle w:val="a7"/>
        <w:tblW w:w="5812" w:type="dxa"/>
        <w:tblInd w:w="4320" w:type="dxa"/>
        <w:tblLook w:val="04A0" w:firstRow="1" w:lastRow="0" w:firstColumn="1" w:lastColumn="0" w:noHBand="0" w:noVBand="1"/>
      </w:tblPr>
      <w:tblGrid>
        <w:gridCol w:w="1984"/>
        <w:gridCol w:w="3828"/>
      </w:tblGrid>
      <w:tr w:rsidR="00BA5C22" w:rsidRPr="00BA713F" w:rsidTr="005E64E8">
        <w:tc>
          <w:tcPr>
            <w:tcW w:w="5812" w:type="dxa"/>
            <w:gridSpan w:val="2"/>
          </w:tcPr>
          <w:p w:rsidR="00BA5C22" w:rsidRPr="00FC4DD1" w:rsidRDefault="00BA5C22" w:rsidP="00FC4DD1">
            <w:pPr>
              <w:widowControl w:val="0"/>
              <w:tabs>
                <w:tab w:val="left" w:pos="59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713F">
              <w:rPr>
                <w:rFonts w:ascii="Times New Roman" w:hAnsi="Times New Roman"/>
                <w:b/>
                <w:sz w:val="24"/>
                <w:szCs w:val="24"/>
              </w:rPr>
              <w:t>В суд</w:t>
            </w:r>
          </w:p>
        </w:tc>
      </w:tr>
      <w:tr w:rsidR="00BA03C1" w:rsidRPr="00BA713F" w:rsidTr="005E64E8">
        <w:tc>
          <w:tcPr>
            <w:tcW w:w="1984" w:type="dxa"/>
          </w:tcPr>
          <w:p w:rsidR="00BA03C1" w:rsidRPr="00BA713F" w:rsidRDefault="00BA03C1" w:rsidP="00BA03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BA713F">
              <w:rPr>
                <w:rFonts w:ascii="Times New Roman" w:hAnsi="Times New Roman"/>
                <w:b/>
                <w:sz w:val="24"/>
                <w:szCs w:val="24"/>
              </w:rPr>
              <w:t xml:space="preserve">Истец: </w:t>
            </w:r>
          </w:p>
        </w:tc>
        <w:tc>
          <w:tcPr>
            <w:tcW w:w="3828" w:type="dxa"/>
          </w:tcPr>
          <w:p w:rsidR="00BA03C1" w:rsidRDefault="00BA03C1" w:rsidP="00BA03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surname }} {{ name }} </w:t>
            </w:r>
          </w:p>
          <w:p w:rsidR="00BA03C1" w:rsidRPr="00FC1B3C" w:rsidRDefault="00BA03C1" w:rsidP="00BA03C1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patronymic }}</w:t>
            </w:r>
          </w:p>
        </w:tc>
      </w:tr>
      <w:tr w:rsidR="00BA03C1" w:rsidRPr="00BA713F" w:rsidTr="005E64E8">
        <w:tc>
          <w:tcPr>
            <w:tcW w:w="1984" w:type="dxa"/>
          </w:tcPr>
          <w:p w:rsidR="00BA03C1" w:rsidRPr="00BA713F" w:rsidRDefault="00BA03C1" w:rsidP="00BA03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713F">
              <w:rPr>
                <w:rFonts w:ascii="Times New Roman" w:hAnsi="Times New Roman"/>
                <w:sz w:val="24"/>
                <w:szCs w:val="24"/>
              </w:rPr>
              <w:t>Адрес</w:t>
            </w:r>
            <w:r w:rsidRPr="00BA713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828" w:type="dxa"/>
          </w:tcPr>
          <w:p w:rsidR="00BA03C1" w:rsidRPr="00D01340" w:rsidRDefault="00BA03C1" w:rsidP="00BA03C1">
            <w:pPr>
              <w:widowControl w:val="0"/>
              <w:tabs>
                <w:tab w:val="left" w:pos="465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address }}</w:t>
            </w:r>
          </w:p>
        </w:tc>
      </w:tr>
      <w:tr w:rsidR="00BA03C1" w:rsidRPr="00BA713F" w:rsidTr="005E64E8">
        <w:tc>
          <w:tcPr>
            <w:tcW w:w="1984" w:type="dxa"/>
          </w:tcPr>
          <w:p w:rsidR="00BA03C1" w:rsidRPr="00BA713F" w:rsidRDefault="00BA03C1" w:rsidP="00BA03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BA713F">
              <w:rPr>
                <w:rFonts w:ascii="Times New Roman" w:hAnsi="Times New Roman"/>
                <w:sz w:val="24"/>
                <w:szCs w:val="24"/>
              </w:rPr>
              <w:t xml:space="preserve">Идентификатор: </w:t>
            </w:r>
          </w:p>
        </w:tc>
        <w:tc>
          <w:tcPr>
            <w:tcW w:w="3828" w:type="dxa"/>
          </w:tcPr>
          <w:p w:rsidR="00BA03C1" w:rsidRDefault="00BA03C1" w:rsidP="00BA03C1">
            <w:pPr>
              <w:widowControl w:val="0"/>
              <w:tabs>
                <w:tab w:val="left" w:pos="27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01340">
              <w:rPr>
                <w:rFonts w:ascii="Times New Roman" w:hAnsi="Times New Roman"/>
                <w:sz w:val="24"/>
                <w:szCs w:val="24"/>
              </w:rPr>
              <w:t>Дата</w:t>
            </w:r>
            <w:r w:rsidRPr="00BA03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01340">
              <w:rPr>
                <w:rFonts w:ascii="Times New Roman" w:hAnsi="Times New Roman"/>
                <w:sz w:val="24"/>
                <w:szCs w:val="24"/>
              </w:rPr>
              <w:t xml:space="preserve">рождения: </w:t>
            </w:r>
          </w:p>
          <w:p w:rsidR="00BA03C1" w:rsidRPr="00FC1B3C" w:rsidRDefault="00BA03C1" w:rsidP="00BA03C1">
            <w:pPr>
              <w:widowControl w:val="0"/>
              <w:tabs>
                <w:tab w:val="left" w:pos="27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birth</w:t>
            </w: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place</w:t>
            </w: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 xml:space="preserve"> }}</w:t>
            </w:r>
          </w:p>
        </w:tc>
      </w:tr>
    </w:tbl>
    <w:p w:rsidR="00D83121" w:rsidRPr="00AD5F09" w:rsidRDefault="00D83121">
      <w:pPr>
        <w:pStyle w:val="ConsPlusNormal"/>
        <w:ind w:firstLine="540"/>
        <w:jc w:val="both"/>
      </w:pPr>
      <w:bookmarkStart w:id="0" w:name="_GoBack"/>
      <w:bookmarkEnd w:id="0"/>
    </w:p>
    <w:p w:rsidR="00D83121" w:rsidRPr="00AD5F09" w:rsidRDefault="00D83121">
      <w:pPr>
        <w:pStyle w:val="ConsPlusNormal"/>
        <w:jc w:val="center"/>
      </w:pPr>
      <w:r w:rsidRPr="00AD5F09">
        <w:t>Исковое заявление</w:t>
      </w:r>
    </w:p>
    <w:p w:rsidR="00D83121" w:rsidRPr="00AD5F09" w:rsidRDefault="00D83121">
      <w:pPr>
        <w:pStyle w:val="ConsPlusNormal"/>
        <w:jc w:val="center"/>
      </w:pPr>
      <w:r w:rsidRPr="00AD5F09">
        <w:t>о разделе наследства</w:t>
      </w:r>
    </w:p>
    <w:p w:rsidR="00D83121" w:rsidRPr="00AD5F09" w:rsidRDefault="00D83121">
      <w:pPr>
        <w:pStyle w:val="ConsPlusNormal"/>
        <w:ind w:firstLine="540"/>
        <w:jc w:val="both"/>
      </w:pPr>
    </w:p>
    <w:p w:rsidR="00D83121" w:rsidRPr="00AD5F09" w:rsidRDefault="00D83121">
      <w:pPr>
        <w:pStyle w:val="ConsPlusNormal"/>
        <w:ind w:firstLine="540"/>
        <w:jc w:val="both"/>
      </w:pPr>
      <w:r w:rsidRPr="00AD5F09">
        <w:t>"____"__________ ____ г. умер _________________, ____ __________ ____ года рождения.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Истец и ответчик являются его наследниками.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В состав наследства входят предметы обычной домашней обстановки и обихода, а именно следующее имущество: ____________________________________________.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Указанное имущество не относится к антикварным предметам, предметам, представляющим художественную, историческую или иную культурную ценность.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На день открытия наследства истец проживал с наследодателем и использовал наследственное имущество для обычных повседневных бытовых нужд.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 xml:space="preserve">В соответствии со </w:t>
      </w:r>
      <w:hyperlink r:id="rId6" w:history="1">
        <w:r w:rsidRPr="00AD5F09">
          <w:t>ст. 1169</w:t>
        </w:r>
      </w:hyperlink>
      <w:r w:rsidRPr="00AD5F09">
        <w:t xml:space="preserve"> Гражданского кодекса Российской Федерации наследник, проживавший на день открытия наследства совместно с наследодателем, имеет при разделе наследства преимущественное право на получение в счет своей наследственной доли предметов обычной домашней обстановки и обихода.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Следовательно, истец имеет преимущественное право на получение в счет своей наследственной доли указанного наследственного имущества.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 xml:space="preserve">Согласно </w:t>
      </w:r>
      <w:hyperlink r:id="rId7" w:history="1">
        <w:r w:rsidRPr="00AD5F09">
          <w:t>п. 1 ст. 1170</w:t>
        </w:r>
      </w:hyperlink>
      <w:r w:rsidRPr="00AD5F09">
        <w:t xml:space="preserve"> Гражданского кодекса Российской Федерации несоразмерность наследственного имущества, о преимущественном праве на получение которого заявляет наследник на основании </w:t>
      </w:r>
      <w:hyperlink r:id="rId8" w:history="1">
        <w:r w:rsidRPr="00AD5F09">
          <w:t>ст. 1169</w:t>
        </w:r>
      </w:hyperlink>
      <w:r w:rsidRPr="00AD5F09">
        <w:t xml:space="preserve"> Гражданского кодекса Российской Федерации, с наследственной долей этого наследника устраняется передачей этим наследником остальным наследникам другого имущества из состава наследства или предоставлением иной компенсации, в том числе выплатой соответствующей денежной суммы.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Истец предлагал ответчику заключить соглашение о разделе наследственного имущества и выплате ответчику компенсации в размере ____ (____) рублей. Однако ответчик отказался от заключения такого соглашения.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В связи с недостижением согласия по разделу наследственного имущества, к которому относятся предметы обычной домашней обстановки и обихода, истец вынужден обратиться с настоящим иском в суд.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 xml:space="preserve">В силу </w:t>
      </w:r>
      <w:hyperlink r:id="rId9" w:history="1">
        <w:r w:rsidRPr="00AD5F09">
          <w:t>п. 54</w:t>
        </w:r>
      </w:hyperlink>
      <w:r w:rsidRPr="00AD5F09">
        <w:t xml:space="preserve"> Постановления Пленума Верховного Суда Российской Федерации от 29.05.2012 N 9 "О судебной практике по делам о наследовании" при осуществлении преимущественного права на предметы обычной домашней обстановки и обихода выплата денежной компенсации не требует согласия наследника, имеющего право на ее получение.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lastRenderedPageBreak/>
        <w:t xml:space="preserve">На основании вышеизложенного и руководствуясь </w:t>
      </w:r>
      <w:hyperlink r:id="rId10" w:history="1">
        <w:r w:rsidRPr="00AD5F09">
          <w:t>ст. 1169</w:t>
        </w:r>
      </w:hyperlink>
      <w:r w:rsidRPr="00AD5F09">
        <w:t xml:space="preserve">, </w:t>
      </w:r>
      <w:hyperlink r:id="rId11" w:history="1">
        <w:r w:rsidRPr="00AD5F09">
          <w:t>п. 1 ст. 1170</w:t>
        </w:r>
      </w:hyperlink>
      <w:r w:rsidRPr="00AD5F09">
        <w:t xml:space="preserve"> Гражданского кодекса Российской Федерации, </w:t>
      </w:r>
      <w:hyperlink r:id="rId12" w:history="1">
        <w:r w:rsidRPr="00AD5F09">
          <w:t>ст. 131</w:t>
        </w:r>
      </w:hyperlink>
      <w:r w:rsidRPr="00AD5F09">
        <w:t xml:space="preserve"> и </w:t>
      </w:r>
      <w:hyperlink r:id="rId13" w:history="1">
        <w:r w:rsidRPr="00AD5F09">
          <w:t>132</w:t>
        </w:r>
      </w:hyperlink>
      <w:r w:rsidRPr="00AD5F09">
        <w:t xml:space="preserve"> Гражданского процессуального кодекса Российской Федерации,</w:t>
      </w:r>
    </w:p>
    <w:p w:rsidR="00D83121" w:rsidRPr="00AD5F09" w:rsidRDefault="00D83121">
      <w:pPr>
        <w:pStyle w:val="ConsPlusNormal"/>
        <w:ind w:firstLine="540"/>
        <w:jc w:val="both"/>
      </w:pPr>
    </w:p>
    <w:p w:rsidR="00D83121" w:rsidRPr="00AD5F09" w:rsidRDefault="00AD5F09">
      <w:pPr>
        <w:pStyle w:val="ConsPlusNormal"/>
        <w:jc w:val="center"/>
      </w:pPr>
      <w:r w:rsidRPr="00AD5F09">
        <w:t>ПРОШУ:</w:t>
      </w:r>
    </w:p>
    <w:p w:rsidR="00D83121" w:rsidRPr="00AD5F09" w:rsidRDefault="00D83121">
      <w:pPr>
        <w:pStyle w:val="ConsPlusNormal"/>
        <w:ind w:firstLine="540"/>
        <w:jc w:val="both"/>
      </w:pPr>
    </w:p>
    <w:p w:rsidR="00D83121" w:rsidRPr="00AD5F09" w:rsidRDefault="00D83121">
      <w:pPr>
        <w:pStyle w:val="ConsPlusNormal"/>
        <w:ind w:firstLine="540"/>
        <w:jc w:val="both"/>
      </w:pPr>
      <w:r w:rsidRPr="00AD5F09">
        <w:t>1. Разделить наследственное имущество, а именно: ___________, которое относится к предметам обычной домашней обстановки и обихода, с учетом преимущественного права истца на его получение в счет наследственной доли в следующем порядке: признать за истцом право собственности на указанное наследственное имущество и выплатить ответчику компенсацию в размере _____ (________) рублей.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2. Взыскать с ответчика в пользу истца расходы на уплату государственной пошлины в размере _____ (________) рублей.</w:t>
      </w:r>
    </w:p>
    <w:p w:rsidR="00D83121" w:rsidRPr="00AD5F09" w:rsidRDefault="00D83121">
      <w:pPr>
        <w:pStyle w:val="ConsPlusNormal"/>
        <w:ind w:firstLine="540"/>
        <w:jc w:val="both"/>
      </w:pPr>
    </w:p>
    <w:p w:rsidR="00D83121" w:rsidRPr="00AD5F09" w:rsidRDefault="00D83121">
      <w:pPr>
        <w:pStyle w:val="ConsPlusNormal"/>
        <w:ind w:firstLine="540"/>
        <w:jc w:val="both"/>
      </w:pPr>
      <w:r w:rsidRPr="00AD5F09">
        <w:t>Приложение: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1. Копия свидетельства о смерти N ____ от "____"__________ ____ г.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2. Документы, подтверждающие преимущественное право истца на наследственное имущество.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3. Копии искового заявления и приложенных к нему документов для ответчика.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4. Документ, подтверждающий уплату государственной пошлины.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5. Копия доверенности представителя (если исковое заявление подписывается представителем истца).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6. Документы, подтверждающие стоимость наследственного имущества.</w:t>
      </w:r>
    </w:p>
    <w:p w:rsidR="00D83121" w:rsidRPr="00AD5F09" w:rsidRDefault="00D83121">
      <w:pPr>
        <w:pStyle w:val="ConsPlusNormal"/>
        <w:spacing w:before="240"/>
        <w:ind w:firstLine="540"/>
        <w:jc w:val="both"/>
      </w:pPr>
      <w:r w:rsidRPr="00AD5F09">
        <w:t>7. Иные документы, подтверждающие обстоятельства, на которых истец основывает свои требования.</w:t>
      </w:r>
    </w:p>
    <w:p w:rsidR="00D83121" w:rsidRPr="00AD5F09" w:rsidRDefault="00D83121">
      <w:pPr>
        <w:pStyle w:val="ConsPlusNormal"/>
        <w:ind w:firstLine="540"/>
        <w:jc w:val="both"/>
      </w:pPr>
    </w:p>
    <w:p w:rsidR="00D83121" w:rsidRPr="00AD5F09" w:rsidRDefault="00D83121" w:rsidP="00BA5C22">
      <w:pPr>
        <w:pStyle w:val="ConsPlusNormal"/>
        <w:ind w:firstLine="540"/>
        <w:jc w:val="both"/>
      </w:pPr>
      <w:r w:rsidRPr="00AD5F09">
        <w:t>"____"__________ ____ г. _____________</w:t>
      </w:r>
      <w:r w:rsidR="00BA5C22">
        <w:t>_ Истец (представитель) /Ф.И.О.</w:t>
      </w:r>
    </w:p>
    <w:sectPr w:rsidR="00D83121" w:rsidRPr="00AD5F09">
      <w:pgSz w:w="11906" w:h="16838"/>
      <w:pgMar w:top="1440" w:right="566" w:bottom="1440" w:left="1133" w:header="0" w:footer="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16B" w:rsidRDefault="00A5516B">
      <w:pPr>
        <w:spacing w:after="0" w:line="240" w:lineRule="auto"/>
      </w:pPr>
      <w:r>
        <w:separator/>
      </w:r>
    </w:p>
  </w:endnote>
  <w:endnote w:type="continuationSeparator" w:id="0">
    <w:p w:rsidR="00A5516B" w:rsidRDefault="00A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16B" w:rsidRDefault="00A5516B">
      <w:pPr>
        <w:spacing w:after="0" w:line="240" w:lineRule="auto"/>
      </w:pPr>
      <w:r>
        <w:separator/>
      </w:r>
    </w:p>
  </w:footnote>
  <w:footnote w:type="continuationSeparator" w:id="0">
    <w:p w:rsidR="00A5516B" w:rsidRDefault="00A55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09"/>
    <w:rsid w:val="000525E8"/>
    <w:rsid w:val="005E64E8"/>
    <w:rsid w:val="00824A3A"/>
    <w:rsid w:val="008D2626"/>
    <w:rsid w:val="00A5516B"/>
    <w:rsid w:val="00AD5F09"/>
    <w:rsid w:val="00BA03C1"/>
    <w:rsid w:val="00BA5C22"/>
    <w:rsid w:val="00BA713F"/>
    <w:rsid w:val="00D83121"/>
    <w:rsid w:val="00FC4DD1"/>
    <w:rsid w:val="00FD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CA72DF"/>
  <w14:defaultImageDpi w14:val="0"/>
  <w15:docId w15:val="{54AD1963-A7B0-46DF-8C08-06089CA4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 w:eastAsia="ru-RU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  <w:lang w:val="ru-RU" w:eastAsia="ru-RU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  <w:lang w:val="ru-RU" w:eastAsia="ru-RU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AD5F09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unhideWhenUsed/>
    <w:rsid w:val="00AD5F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AD5F09"/>
    <w:rPr>
      <w:rFonts w:cs="Times New Roman"/>
    </w:rPr>
  </w:style>
  <w:style w:type="table" w:styleId="a7">
    <w:name w:val="Table Grid"/>
    <w:basedOn w:val="a1"/>
    <w:uiPriority w:val="59"/>
    <w:rsid w:val="00BA5C22"/>
    <w:pPr>
      <w:spacing w:after="0" w:line="240" w:lineRule="auto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basedOn w:val="a0"/>
    <w:link w:val="a5"/>
    <w:uiPriority w:val="99"/>
    <w:locked/>
    <w:rsid w:val="00AD5F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89129&amp;date=10.11.2022&amp;dst=100305&amp;field=134" TargetMode="External"/><Relationship Id="rId13" Type="http://schemas.openxmlformats.org/officeDocument/2006/relationships/hyperlink" Target="https://login.consultant.ru/link/?req=doc&amp;base=LAW&amp;n=428391&amp;date=10.11.2022&amp;dst=100643&amp;field=1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389129&amp;date=10.11.2022&amp;dst=100308&amp;field=134" TargetMode="External"/><Relationship Id="rId12" Type="http://schemas.openxmlformats.org/officeDocument/2006/relationships/hyperlink" Target="https://login.consultant.ru/link/?req=doc&amp;base=LAW&amp;n=428391&amp;date=10.11.2022&amp;dst=100628&amp;field=1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89129&amp;date=10.11.2022&amp;dst=100305&amp;field=134" TargetMode="External"/><Relationship Id="rId11" Type="http://schemas.openxmlformats.org/officeDocument/2006/relationships/hyperlink" Target="https://login.consultant.ru/link/?req=doc&amp;base=LAW&amp;n=389129&amp;date=10.11.2022&amp;dst=100308&amp;field=134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89129&amp;date=10.11.2022&amp;dst=100305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72403&amp;date=10.11.2022&amp;dst=100173&amp;field=1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684</Words>
  <Characters>3899</Characters>
  <Application>Microsoft Office Word</Application>
  <DocSecurity>2</DocSecurity>
  <Lines>32</Lines>
  <Paragraphs>9</Paragraphs>
  <ScaleCrop>false</ScaleCrop>
  <Company>КонсультантПлюс Версия 4022.00.09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Исковое заявление в суд общей юрисдикции о разделе наследства("Раздел имущества между супругами и наследниками: правовые аспекты", "Редакция "Российской газеты", 2019)</dc:title>
  <dc:subject/>
  <dc:creator>Виталий</dc:creator>
  <cp:keywords/>
  <dc:description/>
  <cp:lastModifiedBy>Владимир Лысак</cp:lastModifiedBy>
  <cp:revision>4</cp:revision>
  <dcterms:created xsi:type="dcterms:W3CDTF">2022-11-11T14:56:00Z</dcterms:created>
  <dcterms:modified xsi:type="dcterms:W3CDTF">2023-04-21T19:56:00Z</dcterms:modified>
</cp:coreProperties>
</file>