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0914" w14:textId="03FBF400" w:rsidR="00616272" w:rsidRDefault="00616272">
      <w:pPr>
        <w:rPr>
          <w:rFonts w:ascii="Calibri Light" w:hAnsi="Calibri Light" w:cs="Calibri Light"/>
        </w:rPr>
      </w:pPr>
    </w:p>
    <w:p w14:paraId="73CC4C29" w14:textId="7F92A884" w:rsidR="00616272" w:rsidRDefault="00616272">
      <w:pPr>
        <w:rPr>
          <w:rFonts w:ascii="Calibri Light" w:hAnsi="Calibri Light" w:cs="Calibri Light"/>
        </w:rPr>
      </w:pPr>
    </w:p>
    <w:p w14:paraId="3857D840" w14:textId="1D0FD250" w:rsidR="00616272" w:rsidRDefault="00616272">
      <w:pPr>
        <w:rPr>
          <w:rFonts w:ascii="Calibri Light" w:hAnsi="Calibri Light" w:cs="Calibri Light"/>
        </w:rPr>
      </w:pPr>
    </w:p>
    <w:p w14:paraId="03041059" w14:textId="4DF3CC2C" w:rsidR="00616272" w:rsidRDefault="00616272">
      <w:pPr>
        <w:rPr>
          <w:rFonts w:ascii="Calibri Light" w:hAnsi="Calibri Light" w:cs="Calibri Light"/>
        </w:rPr>
      </w:pPr>
    </w:p>
    <w:p w14:paraId="1CEC836A" w14:textId="77777777" w:rsidR="00616272" w:rsidRPr="005B3B89" w:rsidRDefault="00616272">
      <w:pPr>
        <w:rPr>
          <w:rFonts w:ascii="Calibri Light" w:hAnsi="Calibri Light" w:cs="Calibri Light"/>
        </w:rPr>
      </w:pPr>
    </w:p>
    <w:p w14:paraId="679ACCD9" w14:textId="31933AEB" w:rsidR="004C15BB" w:rsidRDefault="004C15BB" w:rsidP="004C15BB">
      <w:pPr>
        <w:jc w:val="center"/>
        <w:rPr>
          <w:rFonts w:ascii="Calibri Light" w:hAnsi="Calibri Light" w:cs="Calibri Light"/>
          <w:b/>
          <w:bCs/>
          <w:sz w:val="32"/>
          <w:szCs w:val="32"/>
        </w:rPr>
      </w:pPr>
    </w:p>
    <w:p w14:paraId="3441E1DD" w14:textId="5E82A790" w:rsidR="00616272" w:rsidRDefault="00616272" w:rsidP="004C15BB">
      <w:pPr>
        <w:jc w:val="center"/>
        <w:rPr>
          <w:rFonts w:ascii="Calibri Light" w:hAnsi="Calibri Light" w:cs="Calibri Light"/>
          <w:b/>
          <w:bCs/>
          <w:sz w:val="32"/>
          <w:szCs w:val="32"/>
        </w:rPr>
      </w:pPr>
    </w:p>
    <w:p w14:paraId="55632CB5" w14:textId="58B6FD16" w:rsidR="00616272" w:rsidRDefault="00616272" w:rsidP="004C15BB">
      <w:pPr>
        <w:jc w:val="center"/>
        <w:rPr>
          <w:rFonts w:ascii="Calibri Light" w:hAnsi="Calibri Light" w:cs="Calibri Light"/>
          <w:b/>
          <w:bCs/>
          <w:sz w:val="32"/>
          <w:szCs w:val="32"/>
        </w:rPr>
      </w:pPr>
    </w:p>
    <w:p w14:paraId="7F180CF4" w14:textId="58B5F648" w:rsidR="00616272" w:rsidRDefault="00616272" w:rsidP="004C15BB">
      <w:pPr>
        <w:jc w:val="center"/>
        <w:rPr>
          <w:rFonts w:ascii="Calibri Light" w:hAnsi="Calibri Light" w:cs="Calibri Light"/>
          <w:b/>
          <w:bCs/>
          <w:sz w:val="32"/>
          <w:szCs w:val="32"/>
        </w:rPr>
      </w:pPr>
    </w:p>
    <w:tbl>
      <w:tblPr>
        <w:tblStyle w:val="Tablaconcuadrcula"/>
        <w:tblW w:w="9215" w:type="dxa"/>
        <w:tblInd w:w="-289" w:type="dxa"/>
        <w:tblLook w:val="04A0" w:firstRow="1" w:lastRow="0" w:firstColumn="1" w:lastColumn="0" w:noHBand="0" w:noVBand="1"/>
      </w:tblPr>
      <w:tblGrid>
        <w:gridCol w:w="2836"/>
        <w:gridCol w:w="6379"/>
      </w:tblGrid>
      <w:tr w:rsidR="001D2459" w14:paraId="685F007A" w14:textId="77777777" w:rsidTr="001D2459">
        <w:tc>
          <w:tcPr>
            <w:tcW w:w="2836" w:type="dxa"/>
            <w:shd w:val="clear" w:color="auto" w:fill="F2F2F2" w:themeFill="background1" w:themeFillShade="F2"/>
          </w:tcPr>
          <w:p w14:paraId="57C17A93" w14:textId="143DEFF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Alumno</w:t>
            </w:r>
          </w:p>
        </w:tc>
        <w:tc>
          <w:tcPr>
            <w:tcW w:w="6379" w:type="dxa"/>
          </w:tcPr>
          <w:p w14:paraId="348834D1" w14:textId="54A46687" w:rsidR="001D2459" w:rsidRDefault="00BE5719" w:rsidP="001D2459">
            <w:pPr>
              <w:rPr>
                <w:rFonts w:ascii="Calibri Light" w:hAnsi="Calibri Light" w:cs="Calibri Light"/>
                <w:b/>
                <w:bCs/>
                <w:sz w:val="32"/>
                <w:szCs w:val="32"/>
              </w:rPr>
            </w:pPr>
            <w:r>
              <w:rPr>
                <w:rFonts w:ascii="Calibri Light" w:hAnsi="Calibri Light" w:cs="Calibri Light"/>
                <w:b/>
                <w:bCs/>
                <w:sz w:val="32"/>
                <w:szCs w:val="32"/>
              </w:rPr>
              <w:t>Jose Manuel Almagro Domínguez</w:t>
            </w:r>
          </w:p>
        </w:tc>
      </w:tr>
      <w:tr w:rsidR="001D2459" w14:paraId="650AC5CF" w14:textId="77777777" w:rsidTr="001D2459">
        <w:tc>
          <w:tcPr>
            <w:tcW w:w="2836" w:type="dxa"/>
            <w:shd w:val="clear" w:color="auto" w:fill="F2F2F2" w:themeFill="background1" w:themeFillShade="F2"/>
          </w:tcPr>
          <w:p w14:paraId="757FCF15" w14:textId="783B8C1C"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Asignatura</w:t>
            </w:r>
          </w:p>
        </w:tc>
        <w:tc>
          <w:tcPr>
            <w:tcW w:w="6379" w:type="dxa"/>
          </w:tcPr>
          <w:p w14:paraId="433861BF" w14:textId="5209FED5" w:rsidR="001D2459" w:rsidRDefault="00BE5719" w:rsidP="001D2459">
            <w:pPr>
              <w:rPr>
                <w:rFonts w:ascii="Calibri Light" w:hAnsi="Calibri Light" w:cs="Calibri Light"/>
                <w:b/>
                <w:bCs/>
                <w:sz w:val="32"/>
                <w:szCs w:val="32"/>
              </w:rPr>
            </w:pPr>
            <w:r>
              <w:rPr>
                <w:rFonts w:ascii="Calibri Light" w:hAnsi="Calibri Light" w:cs="Calibri Light"/>
                <w:b/>
                <w:bCs/>
                <w:sz w:val="32"/>
                <w:szCs w:val="32"/>
              </w:rPr>
              <w:t>Lenguaje de Marcas</w:t>
            </w:r>
          </w:p>
        </w:tc>
      </w:tr>
      <w:tr w:rsidR="001D2459" w14:paraId="458F44E9" w14:textId="77777777" w:rsidTr="001D2459">
        <w:tc>
          <w:tcPr>
            <w:tcW w:w="2836" w:type="dxa"/>
            <w:shd w:val="clear" w:color="auto" w:fill="F2F2F2" w:themeFill="background1" w:themeFillShade="F2"/>
          </w:tcPr>
          <w:p w14:paraId="695385D7" w14:textId="12452F62"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Curso</w:t>
            </w:r>
          </w:p>
        </w:tc>
        <w:tc>
          <w:tcPr>
            <w:tcW w:w="6379" w:type="dxa"/>
          </w:tcPr>
          <w:p w14:paraId="44427BAC" w14:textId="4BCF14BC" w:rsidR="001D2459" w:rsidRDefault="00BE5719" w:rsidP="001D2459">
            <w:pPr>
              <w:rPr>
                <w:rFonts w:ascii="Calibri Light" w:hAnsi="Calibri Light" w:cs="Calibri Light"/>
                <w:b/>
                <w:bCs/>
                <w:sz w:val="32"/>
                <w:szCs w:val="32"/>
              </w:rPr>
            </w:pPr>
            <w:r>
              <w:rPr>
                <w:rFonts w:ascii="Calibri Light" w:hAnsi="Calibri Light" w:cs="Calibri Light"/>
                <w:b/>
                <w:bCs/>
                <w:sz w:val="32"/>
                <w:szCs w:val="32"/>
              </w:rPr>
              <w:t>1º DAM</w:t>
            </w:r>
          </w:p>
        </w:tc>
      </w:tr>
      <w:tr w:rsidR="001D2459" w14:paraId="22EC140A" w14:textId="77777777" w:rsidTr="001D2459">
        <w:tc>
          <w:tcPr>
            <w:tcW w:w="2836" w:type="dxa"/>
            <w:shd w:val="clear" w:color="auto" w:fill="F2F2F2" w:themeFill="background1" w:themeFillShade="F2"/>
          </w:tcPr>
          <w:p w14:paraId="245366CD" w14:textId="0B5DE120"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Año</w:t>
            </w:r>
          </w:p>
        </w:tc>
        <w:tc>
          <w:tcPr>
            <w:tcW w:w="6379" w:type="dxa"/>
          </w:tcPr>
          <w:p w14:paraId="2E9B9D3E" w14:textId="78E982F7"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2020-2021</w:t>
            </w:r>
          </w:p>
        </w:tc>
      </w:tr>
      <w:tr w:rsidR="001D2459" w14:paraId="6D1FE1E1" w14:textId="77777777" w:rsidTr="001D2459">
        <w:tc>
          <w:tcPr>
            <w:tcW w:w="2836" w:type="dxa"/>
            <w:shd w:val="clear" w:color="auto" w:fill="F2F2F2" w:themeFill="background1" w:themeFillShade="F2"/>
          </w:tcPr>
          <w:p w14:paraId="55C9862B" w14:textId="63813C54" w:rsidR="001D2459" w:rsidRDefault="001D2459" w:rsidP="001D2459">
            <w:pPr>
              <w:rPr>
                <w:rFonts w:ascii="Calibri Light" w:hAnsi="Calibri Light" w:cs="Calibri Light"/>
                <w:b/>
                <w:bCs/>
                <w:sz w:val="32"/>
                <w:szCs w:val="32"/>
              </w:rPr>
            </w:pPr>
            <w:r>
              <w:rPr>
                <w:rFonts w:ascii="Calibri Light" w:hAnsi="Calibri Light" w:cs="Calibri Light"/>
                <w:b/>
                <w:bCs/>
                <w:sz w:val="32"/>
                <w:szCs w:val="32"/>
              </w:rPr>
              <w:t>Título de la práctica</w:t>
            </w:r>
          </w:p>
        </w:tc>
        <w:tc>
          <w:tcPr>
            <w:tcW w:w="6379" w:type="dxa"/>
          </w:tcPr>
          <w:p w14:paraId="2F2D04DA" w14:textId="46AC7813" w:rsidR="001D2459" w:rsidRDefault="00BE5719" w:rsidP="001D2459">
            <w:pPr>
              <w:rPr>
                <w:rFonts w:ascii="Calibri Light" w:hAnsi="Calibri Light" w:cs="Calibri Light"/>
                <w:b/>
                <w:bCs/>
                <w:sz w:val="32"/>
                <w:szCs w:val="32"/>
              </w:rPr>
            </w:pPr>
            <w:r>
              <w:rPr>
                <w:rFonts w:ascii="Calibri Light" w:hAnsi="Calibri Light" w:cs="Calibri Light"/>
                <w:b/>
                <w:bCs/>
                <w:sz w:val="32"/>
                <w:szCs w:val="32"/>
              </w:rPr>
              <w:t>SGML</w:t>
            </w:r>
          </w:p>
        </w:tc>
      </w:tr>
    </w:tbl>
    <w:p w14:paraId="57B61BEB" w14:textId="0059F891" w:rsidR="00616272" w:rsidRDefault="00616272" w:rsidP="004C15BB">
      <w:pPr>
        <w:jc w:val="center"/>
        <w:rPr>
          <w:rFonts w:ascii="Calibri Light" w:hAnsi="Calibri Light" w:cs="Calibri Light"/>
          <w:b/>
          <w:bCs/>
          <w:sz w:val="32"/>
          <w:szCs w:val="32"/>
        </w:rPr>
      </w:pPr>
    </w:p>
    <w:p w14:paraId="16A17F43" w14:textId="4C9BE3BD" w:rsidR="00616272" w:rsidRDefault="00616272" w:rsidP="004C15BB">
      <w:pPr>
        <w:jc w:val="center"/>
        <w:rPr>
          <w:rFonts w:ascii="Calibri Light" w:hAnsi="Calibri Light" w:cs="Calibri Light"/>
          <w:b/>
          <w:bCs/>
          <w:sz w:val="32"/>
          <w:szCs w:val="32"/>
        </w:rPr>
      </w:pPr>
    </w:p>
    <w:p w14:paraId="137CACED" w14:textId="3102AEEE" w:rsidR="00616272" w:rsidRDefault="00616272" w:rsidP="004C15BB">
      <w:pPr>
        <w:jc w:val="center"/>
        <w:rPr>
          <w:rFonts w:ascii="Calibri Light" w:hAnsi="Calibri Light" w:cs="Calibri Light"/>
          <w:b/>
          <w:bCs/>
          <w:sz w:val="32"/>
          <w:szCs w:val="32"/>
        </w:rPr>
      </w:pPr>
    </w:p>
    <w:p w14:paraId="4EFDA818" w14:textId="74266D11" w:rsidR="00616272" w:rsidRDefault="00616272" w:rsidP="004C15BB">
      <w:pPr>
        <w:jc w:val="center"/>
        <w:rPr>
          <w:rFonts w:ascii="Calibri Light" w:hAnsi="Calibri Light" w:cs="Calibri Light"/>
          <w:b/>
          <w:bCs/>
          <w:sz w:val="32"/>
          <w:szCs w:val="32"/>
        </w:rPr>
      </w:pPr>
    </w:p>
    <w:p w14:paraId="013328E7" w14:textId="77777777" w:rsidR="00616272" w:rsidRPr="005B3B89" w:rsidRDefault="00616272" w:rsidP="004C15BB">
      <w:pPr>
        <w:jc w:val="center"/>
        <w:rPr>
          <w:rFonts w:ascii="Calibri Light" w:hAnsi="Calibri Light" w:cs="Calibri Light"/>
          <w:b/>
          <w:bCs/>
          <w:sz w:val="32"/>
          <w:szCs w:val="32"/>
        </w:rPr>
      </w:pPr>
    </w:p>
    <w:p w14:paraId="5F82BFBA" w14:textId="7D050611" w:rsidR="00B638A2" w:rsidRDefault="00B638A2" w:rsidP="00C600E2">
      <w:pPr>
        <w:spacing w:line="360" w:lineRule="auto"/>
        <w:ind w:firstLine="708"/>
        <w:jc w:val="both"/>
        <w:rPr>
          <w:rFonts w:ascii="Calibri Light" w:hAnsi="Calibri Light" w:cs="Calibri Light"/>
        </w:rPr>
      </w:pPr>
    </w:p>
    <w:p w14:paraId="44C6BD9A" w14:textId="636F8CA7" w:rsidR="00616272" w:rsidRDefault="00616272" w:rsidP="00C600E2">
      <w:pPr>
        <w:spacing w:line="360" w:lineRule="auto"/>
        <w:ind w:firstLine="708"/>
        <w:jc w:val="both"/>
        <w:rPr>
          <w:rFonts w:ascii="Calibri Light" w:hAnsi="Calibri Light" w:cs="Calibri Light"/>
        </w:rPr>
      </w:pPr>
    </w:p>
    <w:p w14:paraId="4973C772" w14:textId="2CBC07EB" w:rsidR="00BE5719" w:rsidRDefault="00BE5719" w:rsidP="00C600E2">
      <w:pPr>
        <w:spacing w:line="360" w:lineRule="auto"/>
        <w:ind w:firstLine="708"/>
        <w:jc w:val="both"/>
        <w:rPr>
          <w:rFonts w:ascii="Calibri Light" w:hAnsi="Calibri Light" w:cs="Calibri Light"/>
        </w:rPr>
      </w:pPr>
    </w:p>
    <w:p w14:paraId="44889ADD" w14:textId="7F665AF0" w:rsidR="00BE5719" w:rsidRDefault="00BE5719" w:rsidP="00C600E2">
      <w:pPr>
        <w:spacing w:line="360" w:lineRule="auto"/>
        <w:ind w:firstLine="708"/>
        <w:jc w:val="both"/>
        <w:rPr>
          <w:rFonts w:ascii="Calibri Light" w:hAnsi="Calibri Light" w:cs="Calibri Light"/>
        </w:rPr>
      </w:pPr>
    </w:p>
    <w:p w14:paraId="14BBAA71" w14:textId="028B4C7E" w:rsidR="00BE5719" w:rsidRDefault="00BE5719" w:rsidP="00C600E2">
      <w:pPr>
        <w:spacing w:line="360" w:lineRule="auto"/>
        <w:ind w:firstLine="708"/>
        <w:jc w:val="both"/>
        <w:rPr>
          <w:rFonts w:ascii="Calibri Light" w:hAnsi="Calibri Light" w:cs="Calibri Light"/>
        </w:rPr>
      </w:pPr>
    </w:p>
    <w:p w14:paraId="35022B42" w14:textId="7910CD24" w:rsidR="00BE5719" w:rsidRDefault="00BE5719" w:rsidP="00BE5719">
      <w:pPr>
        <w:pStyle w:val="Ttulo1"/>
        <w:jc w:val="both"/>
      </w:pPr>
      <w:r>
        <w:lastRenderedPageBreak/>
        <w:t>En esta actividad profundizarás más sobre la historia del lenguaje SGML. Deberás consultar los siguientes enlaces para conocer más información sobre la especificación SGML, así como los tipos de versiones, los componentes del lenguaje y su sintaxis.</w:t>
      </w:r>
    </w:p>
    <w:p w14:paraId="149AC63B" w14:textId="77777777" w:rsidR="00BE5719" w:rsidRPr="00BE5719" w:rsidRDefault="00BE5719" w:rsidP="00BE5719">
      <w:pPr>
        <w:jc w:val="both"/>
      </w:pPr>
    </w:p>
    <w:p w14:paraId="257C0D30" w14:textId="77777777" w:rsidR="00BE5719" w:rsidRPr="00BE5719" w:rsidRDefault="00BE5719" w:rsidP="00BE5719">
      <w:pPr>
        <w:pStyle w:val="Default"/>
        <w:jc w:val="both"/>
        <w:rPr>
          <w:sz w:val="22"/>
          <w:szCs w:val="22"/>
        </w:rPr>
      </w:pPr>
      <w:r w:rsidRPr="00BE5719">
        <w:rPr>
          <w:sz w:val="22"/>
          <w:szCs w:val="22"/>
        </w:rPr>
        <w:t xml:space="preserve">El lenguaje de marcado estándar generalizado (SGML, definido en [ISO8879] ), es un lenguaje para definir lenguajes de marcado. HTML es una de esas "aplicaciones" de SGML. </w:t>
      </w:r>
    </w:p>
    <w:p w14:paraId="2312B239" w14:textId="77777777" w:rsidR="00BE5719" w:rsidRPr="00BE5719" w:rsidRDefault="00BE5719" w:rsidP="00BE5719">
      <w:pPr>
        <w:pStyle w:val="Default"/>
        <w:jc w:val="both"/>
        <w:rPr>
          <w:sz w:val="22"/>
          <w:szCs w:val="22"/>
        </w:rPr>
      </w:pPr>
      <w:r w:rsidRPr="00BE5719">
        <w:rPr>
          <w:sz w:val="22"/>
          <w:szCs w:val="22"/>
        </w:rPr>
        <w:t xml:space="preserve">Una aplicación SGML consta de varias partes: </w:t>
      </w:r>
    </w:p>
    <w:p w14:paraId="1F4BE8A2" w14:textId="3DEF247E" w:rsidR="00BE5719" w:rsidRDefault="00BE5719" w:rsidP="00BE5719">
      <w:pPr>
        <w:pStyle w:val="Default"/>
        <w:ind w:left="708"/>
        <w:jc w:val="both"/>
        <w:rPr>
          <w:sz w:val="22"/>
          <w:szCs w:val="22"/>
        </w:rPr>
      </w:pPr>
      <w:r w:rsidRPr="00BE5719">
        <w:rPr>
          <w:sz w:val="22"/>
          <w:szCs w:val="22"/>
        </w:rPr>
        <w:t xml:space="preserve">1. La declaración SGML. La declaración SGML especifica qué caracteres y delimitadores pueden aparecer en la aplicación. </w:t>
      </w:r>
    </w:p>
    <w:p w14:paraId="1A57C700" w14:textId="77777777" w:rsidR="00BE5719" w:rsidRPr="00BE5719" w:rsidRDefault="00BE5719" w:rsidP="00BE5719">
      <w:pPr>
        <w:pStyle w:val="Default"/>
        <w:ind w:left="708"/>
        <w:jc w:val="both"/>
        <w:rPr>
          <w:sz w:val="22"/>
          <w:szCs w:val="22"/>
        </w:rPr>
      </w:pPr>
    </w:p>
    <w:p w14:paraId="2E90081F" w14:textId="68F0CD9D" w:rsidR="00BE5719" w:rsidRDefault="00BE5719" w:rsidP="00BE5719">
      <w:pPr>
        <w:pStyle w:val="Default"/>
        <w:ind w:left="708"/>
        <w:jc w:val="both"/>
        <w:rPr>
          <w:sz w:val="22"/>
          <w:szCs w:val="22"/>
        </w:rPr>
      </w:pPr>
      <w:r w:rsidRPr="00BE5719">
        <w:rPr>
          <w:sz w:val="22"/>
          <w:szCs w:val="22"/>
        </w:rPr>
        <w:t>2. La definición del tipo de documento (DTD). La DTD define la sintaxis de las con</w:t>
      </w:r>
      <w:r>
        <w:rPr>
          <w:sz w:val="22"/>
          <w:szCs w:val="22"/>
        </w:rPr>
        <w:t xml:space="preserve">strucciones de marcado. La DTD </w:t>
      </w:r>
      <w:r w:rsidRPr="00BE5719">
        <w:rPr>
          <w:sz w:val="22"/>
          <w:szCs w:val="22"/>
        </w:rPr>
        <w:t xml:space="preserve">puede incluir definiciones adicionales tales como entidades de caracteres numéricas y con nombre. </w:t>
      </w:r>
    </w:p>
    <w:p w14:paraId="790CFAD7" w14:textId="77777777" w:rsidR="00BE5719" w:rsidRPr="00BE5719" w:rsidRDefault="00BE5719" w:rsidP="00BE5719">
      <w:pPr>
        <w:pStyle w:val="Default"/>
        <w:ind w:left="708"/>
        <w:jc w:val="both"/>
        <w:rPr>
          <w:sz w:val="22"/>
          <w:szCs w:val="22"/>
        </w:rPr>
      </w:pPr>
    </w:p>
    <w:p w14:paraId="66945DBC" w14:textId="1D0B0171" w:rsidR="00BE5719" w:rsidRDefault="00BE5719" w:rsidP="00BE5719">
      <w:pPr>
        <w:pStyle w:val="Default"/>
        <w:ind w:left="708"/>
        <w:jc w:val="both"/>
        <w:rPr>
          <w:sz w:val="22"/>
          <w:szCs w:val="22"/>
        </w:rPr>
      </w:pPr>
      <w:r w:rsidRPr="00BE5719">
        <w:rPr>
          <w:sz w:val="22"/>
          <w:szCs w:val="22"/>
        </w:rPr>
        <w:t xml:space="preserve">3. Una especificación que describe la semántica que se asignará al marcado. Esta especificación también impone restricciones de sintaxis que no se pueden expresar dentro de la DTD. </w:t>
      </w:r>
    </w:p>
    <w:p w14:paraId="4A430CF0" w14:textId="77777777" w:rsidR="00BE5719" w:rsidRPr="00BE5719" w:rsidRDefault="00BE5719" w:rsidP="00BE5719">
      <w:pPr>
        <w:pStyle w:val="Default"/>
        <w:ind w:left="708"/>
        <w:jc w:val="both"/>
        <w:rPr>
          <w:sz w:val="22"/>
          <w:szCs w:val="22"/>
        </w:rPr>
      </w:pPr>
    </w:p>
    <w:p w14:paraId="64DCD248" w14:textId="77777777" w:rsidR="00BE5719" w:rsidRPr="00BE5719" w:rsidRDefault="00BE5719" w:rsidP="00BE5719">
      <w:pPr>
        <w:pStyle w:val="Default"/>
        <w:ind w:left="708"/>
        <w:jc w:val="both"/>
        <w:rPr>
          <w:sz w:val="22"/>
          <w:szCs w:val="22"/>
        </w:rPr>
      </w:pPr>
      <w:r w:rsidRPr="00BE5719">
        <w:rPr>
          <w:sz w:val="22"/>
          <w:szCs w:val="22"/>
        </w:rPr>
        <w:t xml:space="preserve">4. Documentar las instancias que contienen datos (contenido) y marcado. Cada instancia contiene una referencia a la DTD que se utilizará para interpretarla. </w:t>
      </w:r>
    </w:p>
    <w:p w14:paraId="067BFDF5" w14:textId="77777777" w:rsidR="00BE5719" w:rsidRPr="00BE5719" w:rsidRDefault="00BE5719" w:rsidP="00BE5719">
      <w:pPr>
        <w:pStyle w:val="Default"/>
        <w:jc w:val="both"/>
        <w:rPr>
          <w:sz w:val="22"/>
          <w:szCs w:val="22"/>
        </w:rPr>
      </w:pPr>
    </w:p>
    <w:p w14:paraId="5DCA65C3" w14:textId="77777777" w:rsidR="00BE5719" w:rsidRPr="00BE5719" w:rsidRDefault="00BE5719" w:rsidP="00BE5719">
      <w:pPr>
        <w:pStyle w:val="Default"/>
        <w:jc w:val="both"/>
        <w:rPr>
          <w:sz w:val="22"/>
          <w:szCs w:val="22"/>
        </w:rPr>
      </w:pPr>
      <w:r w:rsidRPr="00BE5719">
        <w:rPr>
          <w:sz w:val="22"/>
          <w:szCs w:val="22"/>
        </w:rPr>
        <w:t xml:space="preserve">SGML es un estándar ISO: "ISO 8879: 1986 Tratamiento de la información - Sistemas de texto y de oficina - Lenguaje de marcado generalizado estándar (SGML)", de los cuales hay tres versiones: </w:t>
      </w:r>
    </w:p>
    <w:p w14:paraId="38AEC7CD" w14:textId="77777777" w:rsidR="00BE5719" w:rsidRPr="00BE5719" w:rsidRDefault="00BE5719" w:rsidP="00BE5719">
      <w:pPr>
        <w:pStyle w:val="Default"/>
        <w:ind w:left="708"/>
        <w:jc w:val="both"/>
        <w:rPr>
          <w:sz w:val="22"/>
          <w:szCs w:val="22"/>
        </w:rPr>
      </w:pPr>
      <w:r w:rsidRPr="00BE5719">
        <w:rPr>
          <w:sz w:val="22"/>
          <w:szCs w:val="22"/>
        </w:rPr>
        <w:t xml:space="preserve">• Originalmente SGML, fue aceptado en octubre de 1986, seguido de una Rectificación Técnica menor. </w:t>
      </w:r>
    </w:p>
    <w:p w14:paraId="2433D4C6" w14:textId="77777777" w:rsidR="00BE5719" w:rsidRPr="00BE5719" w:rsidRDefault="00BE5719" w:rsidP="00BE5719">
      <w:pPr>
        <w:pStyle w:val="Default"/>
        <w:ind w:left="708"/>
        <w:jc w:val="both"/>
        <w:rPr>
          <w:sz w:val="22"/>
          <w:szCs w:val="22"/>
        </w:rPr>
      </w:pPr>
      <w:r w:rsidRPr="00BE5719">
        <w:rPr>
          <w:sz w:val="22"/>
          <w:szCs w:val="22"/>
        </w:rPr>
        <w:t xml:space="preserve">• SGML (ENR), en 1996, fue el resultado de una Rectificación Técnica para añadir reglas de nomenclatura extendidos (extended naming rules) que permiten lenguajes arbitrarios y marcados de script. </w:t>
      </w:r>
    </w:p>
    <w:p w14:paraId="7376667A" w14:textId="4E658312" w:rsidR="00BE5719" w:rsidRDefault="00BE5719" w:rsidP="00BE5719">
      <w:pPr>
        <w:pStyle w:val="Default"/>
        <w:ind w:left="708"/>
        <w:jc w:val="both"/>
        <w:rPr>
          <w:sz w:val="22"/>
          <w:szCs w:val="22"/>
        </w:rPr>
      </w:pPr>
      <w:r w:rsidRPr="00BE5719">
        <w:rPr>
          <w:sz w:val="22"/>
          <w:szCs w:val="22"/>
        </w:rPr>
        <w:t xml:space="preserve">• SGML (ENR + WWW o WebSGML), en 1998, fue el resultado de una Corrección de errores técnicos para satisfacer mejor los requerimientos de XML y la WWW. </w:t>
      </w:r>
    </w:p>
    <w:p w14:paraId="276230A4" w14:textId="77777777" w:rsidR="00BE5719" w:rsidRDefault="00BE5719">
      <w:pPr>
        <w:rPr>
          <w:rFonts w:ascii="Calibri" w:hAnsi="Calibri" w:cs="Calibri"/>
          <w:color w:val="000000"/>
        </w:rPr>
      </w:pPr>
      <w:r>
        <w:br w:type="page"/>
      </w:r>
    </w:p>
    <w:p w14:paraId="410B571F" w14:textId="77777777" w:rsidR="00BE5719" w:rsidRPr="00BE5719" w:rsidRDefault="00BE5719" w:rsidP="00BE5719">
      <w:pPr>
        <w:pStyle w:val="Default"/>
        <w:jc w:val="both"/>
        <w:rPr>
          <w:sz w:val="22"/>
          <w:szCs w:val="22"/>
        </w:rPr>
      </w:pPr>
    </w:p>
    <w:p w14:paraId="6B1A24D0" w14:textId="5965E53A" w:rsidR="00BE5719" w:rsidRDefault="00BE5719" w:rsidP="00BE5719">
      <w:pPr>
        <w:pStyle w:val="Default"/>
        <w:jc w:val="both"/>
        <w:rPr>
          <w:sz w:val="22"/>
          <w:szCs w:val="22"/>
        </w:rPr>
      </w:pPr>
      <w:r w:rsidRPr="00BE5719">
        <w:rPr>
          <w:sz w:val="22"/>
          <w:szCs w:val="22"/>
        </w:rPr>
        <w:t xml:space="preserve">SGML es parte de un trío de permitir a las normas ISO para documentos electrónicos desarrollados por ISO/IEC JTC 1/SC 34 (ISO/IEC se une al Comité Técnico 1, Subcomité 34 - Descripción del documento y los lenguajes de procesamiento): </w:t>
      </w:r>
    </w:p>
    <w:p w14:paraId="3517BF6F" w14:textId="77777777" w:rsidR="00BE5719" w:rsidRPr="00BE5719" w:rsidRDefault="00BE5719" w:rsidP="00BE5719">
      <w:pPr>
        <w:pStyle w:val="Default"/>
        <w:jc w:val="both"/>
        <w:rPr>
          <w:sz w:val="22"/>
          <w:szCs w:val="22"/>
        </w:rPr>
      </w:pPr>
    </w:p>
    <w:p w14:paraId="6503369F" w14:textId="77777777" w:rsidR="00BE5719" w:rsidRPr="00BE5719" w:rsidRDefault="00BE5719" w:rsidP="00BE5719">
      <w:pPr>
        <w:pStyle w:val="Default"/>
        <w:ind w:left="708"/>
        <w:jc w:val="both"/>
        <w:rPr>
          <w:sz w:val="22"/>
          <w:szCs w:val="22"/>
        </w:rPr>
      </w:pPr>
      <w:r w:rsidRPr="00BE5719">
        <w:rPr>
          <w:sz w:val="22"/>
          <w:szCs w:val="22"/>
        </w:rPr>
        <w:t xml:space="preserve">• SGML (ISO 8879) - Lenguaje de Marcado Generalizado. </w:t>
      </w:r>
    </w:p>
    <w:p w14:paraId="475363BA" w14:textId="77777777" w:rsidR="00BE5719" w:rsidRPr="00BE5719" w:rsidRDefault="00BE5719" w:rsidP="00BE5719">
      <w:pPr>
        <w:pStyle w:val="Default"/>
        <w:ind w:left="708"/>
        <w:jc w:val="both"/>
        <w:rPr>
          <w:sz w:val="22"/>
          <w:szCs w:val="22"/>
        </w:rPr>
      </w:pPr>
      <w:r w:rsidRPr="00BE5719">
        <w:rPr>
          <w:sz w:val="22"/>
          <w:szCs w:val="22"/>
        </w:rPr>
        <w:t xml:space="preserve">• SGML fue trabajado en 1998 al formato XML, un perfil exitoso de SGML. El uso completo de SGML se encuentra raramente o nulo en nuevos proyectos. </w:t>
      </w:r>
    </w:p>
    <w:p w14:paraId="6525BAF9" w14:textId="77777777" w:rsidR="00BE5719" w:rsidRPr="00BE5719" w:rsidRDefault="00BE5719" w:rsidP="00BE5719">
      <w:pPr>
        <w:pStyle w:val="Default"/>
        <w:ind w:left="708"/>
        <w:jc w:val="both"/>
        <w:rPr>
          <w:sz w:val="22"/>
          <w:szCs w:val="22"/>
        </w:rPr>
      </w:pPr>
      <w:r w:rsidRPr="00BE5719">
        <w:rPr>
          <w:sz w:val="22"/>
          <w:szCs w:val="22"/>
        </w:rPr>
        <w:t xml:space="preserve">• DSSSL (ISO / IEC 10179) - (Document Style Semantics and Specification Language) es un lenguaje para describir estilos en documentos basado en el esquema. </w:t>
      </w:r>
    </w:p>
    <w:p w14:paraId="7382CB94" w14:textId="77777777" w:rsidR="00BE5719" w:rsidRPr="00BE5719" w:rsidRDefault="00BE5719" w:rsidP="00BE5719">
      <w:pPr>
        <w:pStyle w:val="Default"/>
        <w:ind w:left="708"/>
        <w:jc w:val="both"/>
        <w:rPr>
          <w:sz w:val="22"/>
          <w:szCs w:val="22"/>
        </w:rPr>
      </w:pPr>
      <w:r w:rsidRPr="00BE5719">
        <w:rPr>
          <w:sz w:val="22"/>
          <w:szCs w:val="22"/>
        </w:rPr>
        <w:t xml:space="preserve">• DSSSL fue trabajado dentro de W3C XSLT y XSL-FO que utilizan una sintaxis XML. Hoy en día, DSSSL se utiliza muy poco en nuevos proyectos, aparte de la documentación de Linux. </w:t>
      </w:r>
    </w:p>
    <w:p w14:paraId="7BC8E6E5" w14:textId="77777777" w:rsidR="00BE5719" w:rsidRPr="00BE5719" w:rsidRDefault="00BE5719" w:rsidP="00BE5719">
      <w:pPr>
        <w:pStyle w:val="Default"/>
        <w:ind w:left="708"/>
        <w:jc w:val="both"/>
        <w:rPr>
          <w:sz w:val="22"/>
          <w:szCs w:val="22"/>
        </w:rPr>
      </w:pPr>
      <w:r w:rsidRPr="00BE5719">
        <w:rPr>
          <w:sz w:val="22"/>
          <w:szCs w:val="22"/>
        </w:rPr>
        <w:t xml:space="preserve">• HyTime hipertexto generalizada y programación. </w:t>
      </w:r>
    </w:p>
    <w:p w14:paraId="654EE264" w14:textId="77777777" w:rsidR="00BE5719" w:rsidRPr="00BE5719" w:rsidRDefault="00BE5719" w:rsidP="00BE5719">
      <w:pPr>
        <w:pStyle w:val="Default"/>
        <w:ind w:left="708"/>
        <w:jc w:val="both"/>
        <w:rPr>
          <w:sz w:val="22"/>
          <w:szCs w:val="22"/>
        </w:rPr>
      </w:pPr>
      <w:r w:rsidRPr="00BE5719">
        <w:rPr>
          <w:sz w:val="22"/>
          <w:szCs w:val="22"/>
        </w:rPr>
        <w:t xml:space="preserve">• HyTime fue trabajardo parcialmente dentro de W3C XLink. HyTime se utiliza muy poco en nuevos proyectos. </w:t>
      </w:r>
    </w:p>
    <w:p w14:paraId="1E4FF244" w14:textId="77777777" w:rsidR="00BE5719" w:rsidRPr="00BE5719" w:rsidRDefault="00BE5719" w:rsidP="00BE5719">
      <w:pPr>
        <w:pStyle w:val="Default"/>
        <w:jc w:val="both"/>
        <w:rPr>
          <w:sz w:val="22"/>
          <w:szCs w:val="22"/>
        </w:rPr>
      </w:pPr>
    </w:p>
    <w:p w14:paraId="7C0DEFAB" w14:textId="77777777" w:rsidR="00BE5719" w:rsidRPr="00BE5719" w:rsidRDefault="00BE5719" w:rsidP="00BE5719">
      <w:pPr>
        <w:pStyle w:val="Default"/>
        <w:jc w:val="both"/>
        <w:rPr>
          <w:sz w:val="22"/>
          <w:szCs w:val="22"/>
        </w:rPr>
      </w:pPr>
      <w:r w:rsidRPr="00BE5719">
        <w:rPr>
          <w:sz w:val="22"/>
          <w:szCs w:val="22"/>
        </w:rPr>
        <w:t xml:space="preserve">SGML es apoyado por varios reportes informáticos, en particular, </w:t>
      </w:r>
    </w:p>
    <w:p w14:paraId="3DB07293" w14:textId="77777777" w:rsidR="00BE5719" w:rsidRPr="00BE5719" w:rsidRDefault="00BE5719" w:rsidP="00BE5719">
      <w:pPr>
        <w:pStyle w:val="Default"/>
        <w:ind w:left="708"/>
        <w:jc w:val="both"/>
        <w:rPr>
          <w:sz w:val="22"/>
          <w:szCs w:val="22"/>
        </w:rPr>
      </w:pPr>
      <w:r w:rsidRPr="00BE5719">
        <w:rPr>
          <w:sz w:val="22"/>
          <w:szCs w:val="22"/>
        </w:rPr>
        <w:t xml:space="preserve">• ISO / IEC TR 9573 - Procesamiento de información - Servicios de apoyo para SGML - Técnicas para utilizar SGML </w:t>
      </w:r>
    </w:p>
    <w:p w14:paraId="35284A31" w14:textId="77777777" w:rsidR="00BE5719" w:rsidRPr="00BE5719" w:rsidRDefault="00BE5719" w:rsidP="00BE5719">
      <w:pPr>
        <w:pStyle w:val="Default"/>
        <w:ind w:left="708"/>
        <w:jc w:val="both"/>
        <w:rPr>
          <w:sz w:val="22"/>
          <w:szCs w:val="22"/>
        </w:rPr>
      </w:pPr>
      <w:r w:rsidRPr="00BE5719">
        <w:rPr>
          <w:sz w:val="22"/>
          <w:szCs w:val="22"/>
        </w:rPr>
        <w:t xml:space="preserve">• Parte 13: Entidad Pública establecida para las matemáticas y la ciencia. </w:t>
      </w:r>
    </w:p>
    <w:p w14:paraId="65B31D01" w14:textId="77777777" w:rsidR="00BE5719" w:rsidRPr="00BE5719" w:rsidRDefault="00BE5719" w:rsidP="00BE5719">
      <w:pPr>
        <w:pStyle w:val="Default"/>
        <w:ind w:left="708"/>
        <w:jc w:val="both"/>
        <w:rPr>
          <w:sz w:val="22"/>
          <w:szCs w:val="22"/>
        </w:rPr>
      </w:pPr>
      <w:r w:rsidRPr="00BE5719">
        <w:rPr>
          <w:sz w:val="22"/>
          <w:szCs w:val="22"/>
        </w:rPr>
        <w:t xml:space="preserve">• En 2007, el grupo de trabajo del W3C MathML acordó asumir el mantenimiento de estos conjuntos de entidades. </w:t>
      </w:r>
    </w:p>
    <w:p w14:paraId="236C9C16" w14:textId="77777777" w:rsidR="00BE5719" w:rsidRPr="00BE5719" w:rsidRDefault="00BE5719" w:rsidP="00BE5719">
      <w:pPr>
        <w:pStyle w:val="Default"/>
        <w:jc w:val="both"/>
        <w:rPr>
          <w:sz w:val="22"/>
          <w:szCs w:val="22"/>
        </w:rPr>
      </w:pPr>
    </w:p>
    <w:p w14:paraId="18ACC0FA" w14:textId="4E8836A4" w:rsidR="00BE5719" w:rsidRDefault="00BE5719" w:rsidP="00BE5719">
      <w:pPr>
        <w:pStyle w:val="Default"/>
        <w:jc w:val="both"/>
        <w:rPr>
          <w:sz w:val="22"/>
          <w:szCs w:val="22"/>
        </w:rPr>
      </w:pPr>
      <w:r w:rsidRPr="00BE5719">
        <w:rPr>
          <w:sz w:val="22"/>
          <w:szCs w:val="22"/>
        </w:rPr>
        <w:t xml:space="preserve">Entidades </w:t>
      </w:r>
    </w:p>
    <w:p w14:paraId="5AA512E9" w14:textId="77777777" w:rsidR="00BE5719" w:rsidRPr="00BE5719" w:rsidRDefault="00BE5719" w:rsidP="00BE5719">
      <w:pPr>
        <w:pStyle w:val="Default"/>
        <w:jc w:val="both"/>
        <w:rPr>
          <w:sz w:val="22"/>
          <w:szCs w:val="22"/>
        </w:rPr>
      </w:pPr>
    </w:p>
    <w:p w14:paraId="3673E726" w14:textId="4E402459" w:rsidR="00BE5719" w:rsidRDefault="00BE5719" w:rsidP="00BE5719">
      <w:pPr>
        <w:pStyle w:val="Default"/>
        <w:jc w:val="both"/>
        <w:rPr>
          <w:sz w:val="22"/>
          <w:szCs w:val="22"/>
        </w:rPr>
      </w:pPr>
      <w:r w:rsidRPr="00BE5719">
        <w:rPr>
          <w:sz w:val="22"/>
          <w:szCs w:val="22"/>
        </w:rPr>
        <w:t xml:space="preserve">Las entidades de caracteres son nombres numéricos o simbólicos de caracteres que pueden incluirse en un documento HTML. Son útiles cuando sus herramientas de creación hacen que sea difícil o imposible ingresar un carácter que quizás no ingrese con frecuencia. Verá entidades de carácter a lo largo de este documento; comienzan con un signo "&amp;" y terminan con un punto y coma (;). </w:t>
      </w:r>
    </w:p>
    <w:p w14:paraId="0DBF4273" w14:textId="77777777" w:rsidR="00BE5719" w:rsidRPr="00BE5719" w:rsidRDefault="00BE5719" w:rsidP="00BE5719">
      <w:pPr>
        <w:pStyle w:val="Default"/>
        <w:jc w:val="both"/>
        <w:rPr>
          <w:sz w:val="22"/>
          <w:szCs w:val="22"/>
        </w:rPr>
      </w:pPr>
    </w:p>
    <w:p w14:paraId="17777CB7" w14:textId="554D8729" w:rsidR="00BE5719" w:rsidRDefault="00BE5719" w:rsidP="00BE5719">
      <w:pPr>
        <w:pStyle w:val="Default"/>
        <w:jc w:val="both"/>
        <w:rPr>
          <w:sz w:val="22"/>
          <w:szCs w:val="22"/>
        </w:rPr>
      </w:pPr>
      <w:r w:rsidRPr="00BE5719">
        <w:rPr>
          <w:sz w:val="22"/>
          <w:szCs w:val="22"/>
        </w:rPr>
        <w:t xml:space="preserve">Elementos </w:t>
      </w:r>
    </w:p>
    <w:p w14:paraId="1A470205" w14:textId="77777777" w:rsidR="00BE5719" w:rsidRPr="00BE5719" w:rsidRDefault="00BE5719" w:rsidP="00BE5719">
      <w:pPr>
        <w:pStyle w:val="Default"/>
        <w:jc w:val="both"/>
        <w:rPr>
          <w:sz w:val="22"/>
          <w:szCs w:val="22"/>
        </w:rPr>
      </w:pPr>
    </w:p>
    <w:p w14:paraId="5DF83F23" w14:textId="77777777" w:rsidR="00BE5719" w:rsidRPr="00BE5719" w:rsidRDefault="00BE5719" w:rsidP="00BE5719">
      <w:pPr>
        <w:pStyle w:val="Default"/>
        <w:jc w:val="both"/>
        <w:rPr>
          <w:sz w:val="22"/>
          <w:szCs w:val="22"/>
        </w:rPr>
      </w:pPr>
      <w:r w:rsidRPr="00BE5719">
        <w:rPr>
          <w:sz w:val="22"/>
          <w:szCs w:val="22"/>
        </w:rPr>
        <w:t xml:space="preserve">Una aplicación SGML define elementos que representan estructuras o comportamientos deseados. Un elemento generalmente consta de tres partes: una etiqueta de inicio, contenido y una etiqueta de finalización. </w:t>
      </w:r>
    </w:p>
    <w:p w14:paraId="179B0692" w14:textId="77777777" w:rsidR="00BE5719" w:rsidRPr="00BE5719" w:rsidRDefault="00BE5719" w:rsidP="00BE5719">
      <w:pPr>
        <w:pStyle w:val="Default"/>
        <w:jc w:val="both"/>
        <w:rPr>
          <w:sz w:val="22"/>
          <w:szCs w:val="22"/>
        </w:rPr>
      </w:pPr>
      <w:r w:rsidRPr="00BE5719">
        <w:rPr>
          <w:sz w:val="22"/>
          <w:szCs w:val="22"/>
        </w:rPr>
        <w:t xml:space="preserve">La etiqueta de inicio de un elemento está escrita , dónde nombre-elemento es el nombre del elemento. La etiqueta final de un elemento se escribe con una barra antes del nombre del elemento: . 4 </w:t>
      </w:r>
    </w:p>
    <w:p w14:paraId="3157D540" w14:textId="77777777" w:rsidR="00BE5719" w:rsidRPr="00BE5719" w:rsidRDefault="00BE5719" w:rsidP="00BE5719">
      <w:pPr>
        <w:pStyle w:val="Default"/>
        <w:jc w:val="both"/>
        <w:rPr>
          <w:sz w:val="22"/>
          <w:szCs w:val="22"/>
        </w:rPr>
      </w:pPr>
    </w:p>
    <w:p w14:paraId="119CB34C" w14:textId="55FE7B40" w:rsidR="00BE5719" w:rsidRDefault="00BE5719" w:rsidP="00BE5719">
      <w:pPr>
        <w:pStyle w:val="Default"/>
        <w:jc w:val="both"/>
        <w:rPr>
          <w:sz w:val="22"/>
          <w:szCs w:val="22"/>
        </w:rPr>
      </w:pPr>
      <w:r w:rsidRPr="00BE5719">
        <w:rPr>
          <w:sz w:val="22"/>
          <w:szCs w:val="22"/>
        </w:rPr>
        <w:t xml:space="preserve">La definición SGML de HTML especifica que algunos elementos HTML no necesitan tener etiquetas finales. La definición de cada elemento en el manual de referencia indica si requiere una etiqueta de cierre. </w:t>
      </w:r>
    </w:p>
    <w:p w14:paraId="1ECB33A6" w14:textId="77777777" w:rsidR="00BE5719" w:rsidRPr="00BE5719" w:rsidRDefault="00BE5719" w:rsidP="00BE5719">
      <w:pPr>
        <w:pStyle w:val="Default"/>
        <w:jc w:val="both"/>
        <w:rPr>
          <w:sz w:val="22"/>
          <w:szCs w:val="22"/>
        </w:rPr>
      </w:pPr>
    </w:p>
    <w:p w14:paraId="4397232E" w14:textId="361AC99F" w:rsidR="00BE5719" w:rsidRDefault="00BE5719" w:rsidP="00BE5719">
      <w:pPr>
        <w:pStyle w:val="Default"/>
        <w:jc w:val="both"/>
        <w:rPr>
          <w:sz w:val="22"/>
          <w:szCs w:val="22"/>
        </w:rPr>
      </w:pPr>
      <w:r w:rsidRPr="00BE5719">
        <w:rPr>
          <w:sz w:val="22"/>
          <w:szCs w:val="22"/>
        </w:rPr>
        <w:t xml:space="preserve">Algunos elementos HTML no tienen contenido. La definición de cada elemento en el manual de referencia indica si está vacío (no tiene contenido) o, si puede tener contenido, qué se considera contenido legal. </w:t>
      </w:r>
    </w:p>
    <w:p w14:paraId="3CB5A364" w14:textId="77777777" w:rsidR="00BE5719" w:rsidRPr="00BE5719" w:rsidRDefault="00BE5719" w:rsidP="00BE5719">
      <w:pPr>
        <w:pStyle w:val="Default"/>
        <w:jc w:val="both"/>
        <w:rPr>
          <w:sz w:val="22"/>
          <w:szCs w:val="22"/>
        </w:rPr>
      </w:pPr>
    </w:p>
    <w:p w14:paraId="182D7ADF" w14:textId="77777777" w:rsidR="00BE5719" w:rsidRPr="00BE5719" w:rsidRDefault="00BE5719" w:rsidP="00BE5719">
      <w:pPr>
        <w:pStyle w:val="Default"/>
        <w:jc w:val="both"/>
        <w:rPr>
          <w:sz w:val="22"/>
          <w:szCs w:val="22"/>
        </w:rPr>
      </w:pPr>
      <w:r w:rsidRPr="00BE5719">
        <w:rPr>
          <w:sz w:val="22"/>
          <w:szCs w:val="22"/>
        </w:rPr>
        <w:t xml:space="preserve">Los nombres de los elementos siempre distinguen entre mayúsculas y minúsculas. </w:t>
      </w:r>
    </w:p>
    <w:p w14:paraId="23CF8AB7" w14:textId="276AF837" w:rsidR="00BE5719" w:rsidRDefault="00BE5719" w:rsidP="00BE5719">
      <w:pPr>
        <w:pStyle w:val="Default"/>
        <w:jc w:val="both"/>
        <w:rPr>
          <w:sz w:val="22"/>
          <w:szCs w:val="22"/>
        </w:rPr>
      </w:pPr>
      <w:r w:rsidRPr="00BE5719">
        <w:rPr>
          <w:sz w:val="22"/>
          <w:szCs w:val="22"/>
        </w:rPr>
        <w:t xml:space="preserve">Atributos </w:t>
      </w:r>
    </w:p>
    <w:p w14:paraId="4DC12554" w14:textId="77777777" w:rsidR="00BE5719" w:rsidRPr="00BE5719" w:rsidRDefault="00BE5719" w:rsidP="00BE5719">
      <w:pPr>
        <w:pStyle w:val="Default"/>
        <w:jc w:val="both"/>
        <w:rPr>
          <w:sz w:val="22"/>
          <w:szCs w:val="22"/>
        </w:rPr>
      </w:pPr>
    </w:p>
    <w:p w14:paraId="6C094FD1" w14:textId="77777777" w:rsidR="00BE5719" w:rsidRPr="00BE5719" w:rsidRDefault="00BE5719" w:rsidP="00BE5719">
      <w:pPr>
        <w:pStyle w:val="Default"/>
        <w:jc w:val="both"/>
        <w:rPr>
          <w:sz w:val="22"/>
          <w:szCs w:val="22"/>
        </w:rPr>
      </w:pPr>
      <w:r w:rsidRPr="00BE5719">
        <w:rPr>
          <w:sz w:val="22"/>
          <w:szCs w:val="22"/>
        </w:rPr>
        <w:t xml:space="preserve">Los elementos pueden tener propiedades asociadas, llamadas atributos, a las que los autores asignan valores. Los pares de atributo / valor aparecen antes del "&gt;" final de la etiqueta de inicio de un elemento. Cualquier número de pares de valor de atributo (legales), separados por espacios, puede aparecer en la etiqueta de inicio de un elemento. Pueden aparecer en cualquier orden. </w:t>
      </w:r>
    </w:p>
    <w:p w14:paraId="3C47EDC0" w14:textId="77777777" w:rsidR="00BE5719" w:rsidRPr="00BE5719" w:rsidRDefault="00BE5719" w:rsidP="00BE5719">
      <w:pPr>
        <w:pStyle w:val="Default"/>
        <w:jc w:val="both"/>
        <w:rPr>
          <w:sz w:val="22"/>
          <w:szCs w:val="22"/>
        </w:rPr>
      </w:pPr>
      <w:r w:rsidRPr="00BE5719">
        <w:rPr>
          <w:sz w:val="22"/>
          <w:szCs w:val="22"/>
        </w:rPr>
        <w:t xml:space="preserve">De forma predeterminada, SGML requiere que delimites todos los valores de atributo usando comillas dobles (") o comillas simples ('). Las comillas simples se pueden incluir dentro del valor del atributo cuando el valor está delimitado por comillas dobles y viceversa. </w:t>
      </w:r>
    </w:p>
    <w:p w14:paraId="2E78BD16" w14:textId="77777777" w:rsidR="00BE5719" w:rsidRPr="00BE5719" w:rsidRDefault="00BE5719" w:rsidP="00BE5719">
      <w:pPr>
        <w:pStyle w:val="Default"/>
        <w:jc w:val="both"/>
        <w:rPr>
          <w:sz w:val="22"/>
          <w:szCs w:val="22"/>
        </w:rPr>
      </w:pPr>
      <w:r w:rsidRPr="00BE5719">
        <w:rPr>
          <w:sz w:val="22"/>
          <w:szCs w:val="22"/>
        </w:rPr>
        <w:t xml:space="preserve">Los nombres de los atributos siempre distinguen entre mayúsculas y minúsculas. </w:t>
      </w:r>
    </w:p>
    <w:p w14:paraId="3883C75B" w14:textId="4D8D72C7" w:rsidR="00B638A2" w:rsidRDefault="00BE5719" w:rsidP="00BE5719">
      <w:pPr>
        <w:pStyle w:val="Default"/>
        <w:jc w:val="both"/>
        <w:rPr>
          <w:sz w:val="22"/>
          <w:szCs w:val="22"/>
        </w:rPr>
      </w:pPr>
      <w:r w:rsidRPr="00BE5719">
        <w:rPr>
          <w:sz w:val="22"/>
          <w:szCs w:val="22"/>
        </w:rPr>
        <w:t>Los valores de atributo generalmente no distinguen entre mayúsculas y minúsculas. La definición de cada atributo en el manual de referencia indica si su valor no distingue entre mayúsculas y minúsculas.</w:t>
      </w:r>
    </w:p>
    <w:p w14:paraId="46792C89" w14:textId="45EB5236" w:rsidR="00BE5719" w:rsidRDefault="00BE5719" w:rsidP="00BE5719">
      <w:pPr>
        <w:pStyle w:val="Default"/>
        <w:jc w:val="both"/>
        <w:rPr>
          <w:sz w:val="22"/>
          <w:szCs w:val="22"/>
        </w:rPr>
      </w:pPr>
    </w:p>
    <w:p w14:paraId="6FBDB888" w14:textId="7128CC1A" w:rsidR="00BE5719" w:rsidRDefault="00BE5719" w:rsidP="00BE5719">
      <w:pPr>
        <w:pStyle w:val="Default"/>
        <w:jc w:val="both"/>
        <w:rPr>
          <w:sz w:val="22"/>
          <w:szCs w:val="22"/>
        </w:rPr>
      </w:pPr>
    </w:p>
    <w:p w14:paraId="452AFA28" w14:textId="2F03ABC4" w:rsidR="00BE5719" w:rsidRDefault="00BE5719" w:rsidP="00BE5719">
      <w:pPr>
        <w:pStyle w:val="Default"/>
        <w:jc w:val="both"/>
        <w:rPr>
          <w:sz w:val="22"/>
          <w:szCs w:val="22"/>
        </w:rPr>
      </w:pPr>
    </w:p>
    <w:p w14:paraId="3AE13D25" w14:textId="7D7F0F93" w:rsidR="00BE5719" w:rsidRDefault="00BE5719" w:rsidP="00BE5719">
      <w:pPr>
        <w:pStyle w:val="Default"/>
        <w:jc w:val="both"/>
        <w:rPr>
          <w:sz w:val="22"/>
          <w:szCs w:val="22"/>
        </w:rPr>
      </w:pPr>
    </w:p>
    <w:p w14:paraId="0E8574EA" w14:textId="318711BF" w:rsidR="00BE5719" w:rsidRDefault="00BE5719" w:rsidP="00BE5719">
      <w:pPr>
        <w:pStyle w:val="Default"/>
        <w:jc w:val="both"/>
        <w:rPr>
          <w:sz w:val="22"/>
          <w:szCs w:val="22"/>
        </w:rPr>
      </w:pPr>
    </w:p>
    <w:p w14:paraId="25C0A062" w14:textId="34B0655C" w:rsidR="00BE5719" w:rsidRDefault="00BE5719" w:rsidP="00BE5719">
      <w:pPr>
        <w:pStyle w:val="Default"/>
        <w:jc w:val="both"/>
        <w:rPr>
          <w:sz w:val="22"/>
          <w:szCs w:val="22"/>
        </w:rPr>
      </w:pPr>
    </w:p>
    <w:p w14:paraId="6E2D52C3" w14:textId="150A0EA2" w:rsidR="00BE5719" w:rsidRDefault="00BE5719" w:rsidP="00BE5719">
      <w:pPr>
        <w:pStyle w:val="Default"/>
        <w:jc w:val="both"/>
        <w:rPr>
          <w:sz w:val="22"/>
          <w:szCs w:val="22"/>
        </w:rPr>
      </w:pPr>
    </w:p>
    <w:p w14:paraId="3DE0131A" w14:textId="5FE208BD" w:rsidR="00BE5719" w:rsidRDefault="00BE5719" w:rsidP="00BE5719">
      <w:pPr>
        <w:pStyle w:val="Default"/>
        <w:jc w:val="both"/>
        <w:rPr>
          <w:sz w:val="22"/>
          <w:szCs w:val="22"/>
        </w:rPr>
      </w:pPr>
    </w:p>
    <w:p w14:paraId="7D7622CF" w14:textId="28D2F144" w:rsidR="00BE5719" w:rsidRPr="00B638A2" w:rsidRDefault="00BE5719" w:rsidP="00BE5719">
      <w:pPr>
        <w:pStyle w:val="Default"/>
        <w:jc w:val="both"/>
      </w:pPr>
      <w:r>
        <w:rPr>
          <w:sz w:val="22"/>
          <w:szCs w:val="22"/>
        </w:rPr>
        <w:t>Este ejercicio ha sido mayoritariamente copiado de internet.</w:t>
      </w:r>
      <w:bookmarkStart w:id="0" w:name="_GoBack"/>
      <w:bookmarkEnd w:id="0"/>
    </w:p>
    <w:sectPr w:rsidR="00BE5719" w:rsidRPr="00B638A2" w:rsidSect="006B504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BF98E" w14:textId="77777777" w:rsidR="009054FF" w:rsidRDefault="009054FF" w:rsidP="00D22C6F">
      <w:pPr>
        <w:spacing w:after="0" w:line="240" w:lineRule="auto"/>
      </w:pPr>
      <w:r>
        <w:separator/>
      </w:r>
    </w:p>
  </w:endnote>
  <w:endnote w:type="continuationSeparator" w:id="0">
    <w:p w14:paraId="5711BAFF" w14:textId="77777777" w:rsidR="009054FF" w:rsidRDefault="009054FF" w:rsidP="00D2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D0B3D" w14:textId="6F213F3E" w:rsidR="00D22C6F" w:rsidRPr="00C600E2" w:rsidRDefault="00C600E2" w:rsidP="00C600E2">
    <w:pPr>
      <w:pStyle w:val="Piedepgina"/>
      <w:jc w:val="right"/>
      <w:rPr>
        <w:rFonts w:ascii="Calibri Light" w:hAnsi="Calibri Light" w:cs="Calibri Light"/>
        <w:b/>
        <w:bCs/>
      </w:rPr>
    </w:pPr>
    <w:r w:rsidRPr="00C600E2">
      <w:rPr>
        <w:rFonts w:ascii="Calibri Light" w:hAnsi="Calibri Light" w:cs="Calibri Light"/>
        <w:b/>
        <w:bCs/>
      </w:rPr>
      <w:fldChar w:fldCharType="begin"/>
    </w:r>
    <w:r w:rsidRPr="00C600E2">
      <w:rPr>
        <w:rFonts w:ascii="Calibri Light" w:hAnsi="Calibri Light" w:cs="Calibri Light"/>
        <w:b/>
        <w:bCs/>
      </w:rPr>
      <w:instrText>PAGE   \* MERGEFORMAT</w:instrText>
    </w:r>
    <w:r w:rsidRPr="00C600E2">
      <w:rPr>
        <w:rFonts w:ascii="Calibri Light" w:hAnsi="Calibri Light" w:cs="Calibri Light"/>
        <w:b/>
        <w:bCs/>
      </w:rPr>
      <w:fldChar w:fldCharType="separate"/>
    </w:r>
    <w:r w:rsidR="00BE5719">
      <w:rPr>
        <w:rFonts w:ascii="Calibri Light" w:hAnsi="Calibri Light" w:cs="Calibri Light"/>
        <w:b/>
        <w:bCs/>
        <w:noProof/>
      </w:rPr>
      <w:t>4</w:t>
    </w:r>
    <w:r w:rsidRPr="00C600E2">
      <w:rPr>
        <w:rFonts w:ascii="Calibri Light" w:hAnsi="Calibri Light" w:cs="Calibri Light"/>
        <w:b/>
        <w:bCs/>
      </w:rPr>
      <w:fldChar w:fldCharType="end"/>
    </w:r>
    <w:r w:rsidR="00FD6ABC" w:rsidRPr="00C600E2">
      <w:rPr>
        <w:rFonts w:ascii="Calibri Light" w:hAnsi="Calibri Light" w:cs="Calibri Light"/>
        <w:b/>
        <w:bCs/>
        <w:noProof/>
      </w:rPr>
      <w:drawing>
        <wp:anchor distT="0" distB="0" distL="114300" distR="114300" simplePos="0" relativeHeight="251663360" behindDoc="0" locked="0" layoutInCell="1" allowOverlap="1" wp14:anchorId="1861ED24" wp14:editId="7FD33539">
          <wp:simplePos x="0" y="0"/>
          <wp:positionH relativeFrom="column">
            <wp:posOffset>-470535</wp:posOffset>
          </wp:positionH>
          <wp:positionV relativeFrom="paragraph">
            <wp:posOffset>-41910</wp:posOffset>
          </wp:positionV>
          <wp:extent cx="6477000" cy="342900"/>
          <wp:effectExtent l="19050" t="0" r="0" b="0"/>
          <wp:wrapSquare wrapText="bothSides"/>
          <wp:docPr id="4"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oficial.png"/>
                  <pic:cNvPicPr/>
                </pic:nvPicPr>
                <pic:blipFill>
                  <a:blip r:embed="rId1"/>
                  <a:stretch>
                    <a:fillRect/>
                  </a:stretch>
                </pic:blipFill>
                <pic:spPr>
                  <a:xfrm>
                    <a:off x="0" y="0"/>
                    <a:ext cx="6477000" cy="342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62885" w14:textId="77777777" w:rsidR="009054FF" w:rsidRDefault="009054FF" w:rsidP="00D22C6F">
      <w:pPr>
        <w:spacing w:after="0" w:line="240" w:lineRule="auto"/>
      </w:pPr>
      <w:r>
        <w:separator/>
      </w:r>
    </w:p>
  </w:footnote>
  <w:footnote w:type="continuationSeparator" w:id="0">
    <w:p w14:paraId="6BED09C6" w14:textId="77777777" w:rsidR="009054FF" w:rsidRDefault="009054FF" w:rsidP="00D2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3E6A" w14:textId="77777777" w:rsidR="00D22C6F" w:rsidRDefault="00FD6ABC">
    <w:pPr>
      <w:pStyle w:val="Encabezado"/>
    </w:pPr>
    <w:r>
      <w:rPr>
        <w:noProof/>
      </w:rPr>
      <w:drawing>
        <wp:anchor distT="0" distB="0" distL="114300" distR="114300" simplePos="0" relativeHeight="251662336" behindDoc="0" locked="0" layoutInCell="1" allowOverlap="1" wp14:anchorId="71890CF3" wp14:editId="31C2C73B">
          <wp:simplePos x="0" y="0"/>
          <wp:positionH relativeFrom="column">
            <wp:posOffset>-813435</wp:posOffset>
          </wp:positionH>
          <wp:positionV relativeFrom="paragraph">
            <wp:posOffset>-354330</wp:posOffset>
          </wp:positionV>
          <wp:extent cx="7029450" cy="1123950"/>
          <wp:effectExtent l="19050" t="0" r="0" b="0"/>
          <wp:wrapSquare wrapText="bothSides"/>
          <wp:docPr id="3"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oficial.png"/>
                  <pic:cNvPicPr/>
                </pic:nvPicPr>
                <pic:blipFill>
                  <a:blip r:embed="rId1"/>
                  <a:stretch>
                    <a:fillRect/>
                  </a:stretch>
                </pic:blipFill>
                <pic:spPr>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A555F"/>
    <w:multiLevelType w:val="hybridMultilevel"/>
    <w:tmpl w:val="00A41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F"/>
    <w:rsid w:val="00123903"/>
    <w:rsid w:val="0015358E"/>
    <w:rsid w:val="001D2459"/>
    <w:rsid w:val="001E75BD"/>
    <w:rsid w:val="00231D45"/>
    <w:rsid w:val="002A3E8C"/>
    <w:rsid w:val="002E00FE"/>
    <w:rsid w:val="004623F4"/>
    <w:rsid w:val="00484790"/>
    <w:rsid w:val="004B03B3"/>
    <w:rsid w:val="004C15BB"/>
    <w:rsid w:val="00502E44"/>
    <w:rsid w:val="00503F3A"/>
    <w:rsid w:val="00577763"/>
    <w:rsid w:val="005B3B89"/>
    <w:rsid w:val="0060031F"/>
    <w:rsid w:val="00616272"/>
    <w:rsid w:val="0062041D"/>
    <w:rsid w:val="006A76AC"/>
    <w:rsid w:val="006B5047"/>
    <w:rsid w:val="00820771"/>
    <w:rsid w:val="008E3B82"/>
    <w:rsid w:val="009054FF"/>
    <w:rsid w:val="00931768"/>
    <w:rsid w:val="00AA25A7"/>
    <w:rsid w:val="00AD7800"/>
    <w:rsid w:val="00B638A2"/>
    <w:rsid w:val="00BE5719"/>
    <w:rsid w:val="00C40360"/>
    <w:rsid w:val="00C600E2"/>
    <w:rsid w:val="00C60FA7"/>
    <w:rsid w:val="00CC02EF"/>
    <w:rsid w:val="00D22C6F"/>
    <w:rsid w:val="00D417EF"/>
    <w:rsid w:val="00D613BB"/>
    <w:rsid w:val="00D637DE"/>
    <w:rsid w:val="00DF110E"/>
    <w:rsid w:val="00ED7444"/>
    <w:rsid w:val="00EF041E"/>
    <w:rsid w:val="00F17E06"/>
    <w:rsid w:val="00F76658"/>
    <w:rsid w:val="00F8716F"/>
    <w:rsid w:val="00FD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9015"/>
  <w15:docId w15:val="{768D74B2-5DDF-4C38-96FF-6AF6B5E9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C6F"/>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C6F"/>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rsid w:val="00FD6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ABC"/>
    <w:rPr>
      <w:rFonts w:ascii="Tahoma" w:hAnsi="Tahoma" w:cs="Tahoma"/>
      <w:sz w:val="16"/>
      <w:szCs w:val="16"/>
    </w:rPr>
  </w:style>
  <w:style w:type="character" w:customStyle="1" w:styleId="Ttulo1Car">
    <w:name w:val="Título 1 Car"/>
    <w:basedOn w:val="Fuentedeprrafopredeter"/>
    <w:link w:val="Ttulo1"/>
    <w:uiPriority w:val="9"/>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638A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1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571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B3A3-263B-41AF-BD3E-7184F148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lyserg moonlighting</cp:lastModifiedBy>
  <cp:revision>2</cp:revision>
  <dcterms:created xsi:type="dcterms:W3CDTF">2020-12-05T20:00:00Z</dcterms:created>
  <dcterms:modified xsi:type="dcterms:W3CDTF">2020-12-05T20:00:00Z</dcterms:modified>
</cp:coreProperties>
</file>