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Калентьев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77777777"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77777777"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77777777" w:rsidR="009A47C6" w:rsidRDefault="00A7595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7777777" w:rsidR="009A47C6" w:rsidRDefault="00A7595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7777777" w:rsidR="009A47C6" w:rsidRDefault="00A7595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7777777" w:rsidR="009A47C6" w:rsidRDefault="00A7595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7777777" w:rsidR="009A47C6" w:rsidRDefault="00A7595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77777777" w:rsidR="009A47C6" w:rsidRDefault="00A7595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77777777" w:rsidR="009A47C6" w:rsidRDefault="00A7595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r w:rsidR="00EB3FA7" w:rsidRPr="00EB3FA7">
        <w:rPr>
          <w:lang w:val="ru-RU"/>
        </w:rPr>
        <w:t>SolidWorks, Autodesk Invento</w:t>
      </w:r>
      <w:r w:rsidR="00EB3FA7">
        <w:rPr>
          <w:lang w:val="ru-RU"/>
        </w:rPr>
        <w:t>r, Solid Edge, Creo, NX, Catia),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</w:t>
      </w:r>
      <w:r>
        <w:rPr>
          <w:lang w:val="ru-RU"/>
        </w:rPr>
        <w:t xml:space="preserve">ect().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>Ниже в таблице 1.1 представлены свойства и методы интерфейса KompasObject,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B138D7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ksDocument</w:t>
            </w:r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B138D7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B138D7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r>
              <w:t>GetDynamicArray(long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r>
              <w:t>ksDynamicArray</w:t>
            </w:r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B138D7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r>
              <w:t>GetParamStruct (short structType)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B138D7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typeDoc)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B138D7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UpdateDocumentParam</w:t>
            </w:r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B138D7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GetPart(int type)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13F97117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B138D7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r w:rsidRPr="00890F14">
              <w:t>EntityCollection (short objType)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r>
              <w:t>ksEntityCollection</w:t>
            </w:r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B138D7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 (short objType)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B138D7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GetPart(int type)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B138D7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NewEntity (short objType)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B138D7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GetDefinition()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B138D7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Update()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B138D7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B138D7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B138D7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B138D7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r>
              <w:t>GetPlane</w:t>
            </w:r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</w:rPr>
        <w:t>MechaniCS</w:t>
      </w:r>
    </w:p>
    <w:p w14:paraId="7003DCFB" w14:textId="77777777"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CC554A">
        <w:t>CSoft</w:t>
      </w:r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r w:rsidRPr="00CC554A">
        <w:t>MechaniCS</w:t>
      </w:r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>, предназначенное для оформления чертежей в соответствии с ЕСКД, проектирования систем гидропневмоэлементов,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MechaniCS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>ям AutoCAD и Autodesk Inventor.</w:t>
      </w:r>
    </w:p>
    <w:p w14:paraId="4157856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MechaniCS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AutoCAD)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1F24F4A3" w:rsidR="00984A9B" w:rsidRDefault="00B138D7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64DE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0.75pt">
            <v:imagedata r:id="rId10" o:title="Basic Class Diagram with Attributes and Operations"/>
          </v:shape>
        </w:pict>
      </w:r>
    </w:p>
    <w:p w14:paraId="451B2DAA" w14:textId="77777777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6145BAE" w:rsidR="00984A9B" w:rsidRPr="00B138D7" w:rsidRDefault="00984A9B" w:rsidP="00B138D7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6" w:name="_Toc86356827"/>
      <w:bookmarkStart w:id="7" w:name="_GoBack"/>
      <w:bookmarkEnd w:id="7"/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6"/>
    </w:p>
    <w:p w14:paraId="61E0AFB0" w14:textId="5EB4718D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7D8984FB" w:rsidR="003D73B1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778997" wp14:editId="060196D6">
            <wp:extent cx="3771900" cy="2999735"/>
            <wp:effectExtent l="0" t="0" r="0" b="0"/>
            <wp:docPr id="3" name="Рисунок 3" descr="C:\Users\User\AppData\Local\Temp\vmware-User\VMwareDnD\10c02529\Аннотация 2021-11-11 18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vmware-User\VMwareDnD\10c02529\Аннотация 2021-11-11 1833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86" cy="300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071FE08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случае ввода некорректных дан</w:t>
      </w:r>
      <w:r w:rsidR="005C1083">
        <w:rPr>
          <w:lang w:val="ru-RU"/>
        </w:rPr>
        <w:t>ных программа выдаст</w:t>
      </w:r>
      <w:r w:rsidR="005C1083" w:rsidRPr="005C1083">
        <w:rPr>
          <w:lang w:val="ru-RU"/>
        </w:rPr>
        <w:t xml:space="preserve"> </w:t>
      </w:r>
      <w:r w:rsidR="005C1083">
        <w:rPr>
          <w:lang w:val="ru-RU"/>
        </w:rPr>
        <w:t>соответствующее сообщение</w:t>
      </w:r>
      <w:r>
        <w:rPr>
          <w:lang w:val="ru-RU"/>
        </w:rPr>
        <w:t>. Пример сообщения представлен на рисунке 3.2.</w:t>
      </w:r>
    </w:p>
    <w:p w14:paraId="402B4D5A" w14:textId="1F6E7EF0" w:rsidR="00B927DB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94EB25" wp14:editId="061CF1A2">
            <wp:extent cx="3752215" cy="1759585"/>
            <wp:effectExtent l="0" t="0" r="635" b="0"/>
            <wp:docPr id="5" name="Рисунок 5" descr="C:\Users\User\AppData\Local\Temp\vmware-User\VMwareDnD\10c82530\Аннотация 2021-11-11 18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vmware-User\VMwareDnD\10c82530\Аннотация 2021-11-11 1833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77777777"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14:paraId="29A182BC" w14:textId="77777777" w:rsidR="00B927DB" w:rsidRDefault="00770B26" w:rsidP="00770B26">
      <w:pPr>
        <w:pStyle w:val="1"/>
      </w:pPr>
      <w:bookmarkStart w:id="8" w:name="_Toc86356828"/>
      <w:r>
        <w:lastRenderedPageBreak/>
        <w:t>Список литературы</w:t>
      </w:r>
      <w:bookmarkEnd w:id="8"/>
    </w:p>
    <w:p w14:paraId="34212311" w14:textId="77777777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3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</w:p>
    <w:p w14:paraId="764B0290" w14:textId="77777777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4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</w:p>
    <w:p w14:paraId="36AE41C7" w14:textId="0BDFE9C3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5" w:history="1">
        <w:r w:rsidRPr="005655E4">
          <w:rPr>
            <w:rStyle w:val="a6"/>
          </w:rPr>
          <w:t>https</w:t>
        </w:r>
        <w:r w:rsidRPr="005655E4">
          <w:rPr>
            <w:rStyle w:val="a6"/>
            <w:lang w:val="ru-RU"/>
          </w:rPr>
          <w:t>://</w:t>
        </w:r>
        <w:r w:rsidRPr="005655E4">
          <w:rPr>
            <w:rStyle w:val="a6"/>
          </w:rPr>
          <w:t>axoft</w:t>
        </w:r>
        <w:r w:rsidRPr="005655E4">
          <w:rPr>
            <w:rStyle w:val="a6"/>
            <w:lang w:val="ru-RU"/>
          </w:rPr>
          <w:t>.</w:t>
        </w:r>
        <w:r w:rsidRPr="005655E4">
          <w:rPr>
            <w:rStyle w:val="a6"/>
          </w:rPr>
          <w:t>ru</w:t>
        </w:r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vendors</w:t>
        </w:r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CSoft</w:t>
        </w:r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Development</w:t>
        </w:r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CSoft</w:t>
        </w:r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MechaniCS</w:t>
        </w:r>
        <w:r w:rsidRPr="005655E4">
          <w:rPr>
            <w:rStyle w:val="a6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</w:p>
    <w:p w14:paraId="281796A3" w14:textId="491D6EDA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r w:rsidRPr="00A50FB8">
        <w:rPr>
          <w:lang w:val="ru-RU"/>
        </w:rPr>
        <w:t>Фаулер М. UML. Основы. 3-е издание / М.Фаулер. – 3-е изд., пер. с англ. – СПб.: Символ-Плюс, 2019. – 192 с. (дата обращения 09.11.2021)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1B138" w14:textId="77777777" w:rsidR="00A7595B" w:rsidRDefault="00A7595B" w:rsidP="004809FF">
      <w:pPr>
        <w:spacing w:after="0" w:line="240" w:lineRule="auto"/>
      </w:pPr>
      <w:r>
        <w:separator/>
      </w:r>
    </w:p>
  </w:endnote>
  <w:endnote w:type="continuationSeparator" w:id="0">
    <w:p w14:paraId="5D0E95BD" w14:textId="77777777" w:rsidR="00A7595B" w:rsidRDefault="00A7595B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69426" w14:textId="77777777" w:rsidR="00A7595B" w:rsidRDefault="00A7595B" w:rsidP="004809FF">
      <w:pPr>
        <w:spacing w:after="0" w:line="240" w:lineRule="auto"/>
      </w:pPr>
      <w:r>
        <w:separator/>
      </w:r>
    </w:p>
  </w:footnote>
  <w:footnote w:type="continuationSeparator" w:id="0">
    <w:p w14:paraId="72E0007A" w14:textId="77777777" w:rsidR="00A7595B" w:rsidRDefault="00A7595B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3171E865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8D7" w:rsidRPr="00B138D7">
          <w:rPr>
            <w:noProof/>
            <w:lang w:val="ru-RU"/>
          </w:rPr>
          <w:t>4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F4E1C"/>
    <w:rsid w:val="0011399C"/>
    <w:rsid w:val="00127556"/>
    <w:rsid w:val="0018589D"/>
    <w:rsid w:val="001930E5"/>
    <w:rsid w:val="001C41B8"/>
    <w:rsid w:val="00211660"/>
    <w:rsid w:val="00295ED5"/>
    <w:rsid w:val="002D5402"/>
    <w:rsid w:val="00353FA4"/>
    <w:rsid w:val="0037360B"/>
    <w:rsid w:val="003D20FA"/>
    <w:rsid w:val="003D73B1"/>
    <w:rsid w:val="00467136"/>
    <w:rsid w:val="004809FF"/>
    <w:rsid w:val="00496084"/>
    <w:rsid w:val="004B7E58"/>
    <w:rsid w:val="005C1083"/>
    <w:rsid w:val="005E7A5E"/>
    <w:rsid w:val="005F4F15"/>
    <w:rsid w:val="006148D0"/>
    <w:rsid w:val="006A66A0"/>
    <w:rsid w:val="00770B26"/>
    <w:rsid w:val="007A7A1C"/>
    <w:rsid w:val="00890F14"/>
    <w:rsid w:val="008E273C"/>
    <w:rsid w:val="008F0A31"/>
    <w:rsid w:val="00944DF7"/>
    <w:rsid w:val="00984A9B"/>
    <w:rsid w:val="009A47C6"/>
    <w:rsid w:val="00A01CB0"/>
    <w:rsid w:val="00A50FB8"/>
    <w:rsid w:val="00A7595B"/>
    <w:rsid w:val="00AD5E2B"/>
    <w:rsid w:val="00B138D7"/>
    <w:rsid w:val="00B927DB"/>
    <w:rsid w:val="00BC777F"/>
    <w:rsid w:val="00BE29F2"/>
    <w:rsid w:val="00BE685E"/>
    <w:rsid w:val="00C419C2"/>
    <w:rsid w:val="00C647DE"/>
    <w:rsid w:val="00CC554A"/>
    <w:rsid w:val="00D013B1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scon.ru/products/7/re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xoft.ru/vendors/CSoft-Development/CSoft-MechaniCS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it.wikireading.ru/237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5802A-C521-44C0-8E7D-B700C46C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2021-10-27T08:04:00Z</dcterms:created>
  <dcterms:modified xsi:type="dcterms:W3CDTF">2021-11-11T17:10:00Z</dcterms:modified>
</cp:coreProperties>
</file>