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14:paraId="74591690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3339EC9D" w14:textId="77777777"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248AC4A" w14:textId="77777777" w:rsidR="004809FF" w:rsidRDefault="008F0A31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80EC8">
        <w:rPr>
          <w:lang w:val="ru-RU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9A47C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4D97A25" w14:textId="77777777" w:rsidR="009A47C6" w:rsidRDefault="009A47C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D6B" w14:textId="77777777" w:rsidR="009A47C6" w:rsidRDefault="000A7B0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a6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54E3501" w14:textId="77777777" w:rsidR="009A47C6" w:rsidRDefault="000A7B0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a6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45426C1" w14:textId="77777777" w:rsidR="009A47C6" w:rsidRDefault="000A7B0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4B5F8737" w14:textId="77777777" w:rsidR="009A47C6" w:rsidRDefault="000A7B0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a6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AD31F4D" w14:textId="77777777" w:rsidR="009A47C6" w:rsidRDefault="000A7B0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a6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0648A0B" w14:textId="77777777" w:rsidR="009A47C6" w:rsidRDefault="000A7B0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C107CE6" w14:textId="77777777" w:rsidR="009A47C6" w:rsidRDefault="000A7B0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a6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11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F94402D" w14:textId="77777777" w:rsidR="009A47C6" w:rsidRDefault="009A47C6"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415C3E2E" w14:textId="77777777"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E43297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A01CB0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E43297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E43297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A01CB0">
            <w:pPr>
              <w:spacing w:line="360" w:lineRule="auto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E43297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A01CB0">
      <w:pPr>
        <w:contextualSpacing/>
        <w:rPr>
          <w:lang w:val="ru-RU"/>
        </w:rPr>
      </w:pPr>
    </w:p>
    <w:p w14:paraId="2C9C2D85" w14:textId="77777777"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E43297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E43297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E43297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E43297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E43297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E43297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E43297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A01CB0">
      <w:pPr>
        <w:contextualSpacing/>
        <w:rPr>
          <w:lang w:val="ru-RU"/>
        </w:rPr>
      </w:pPr>
    </w:p>
    <w:p w14:paraId="2C67D999" w14:textId="77777777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E43297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E43297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Update()</w:t>
            </w:r>
          </w:p>
        </w:tc>
        <w:tc>
          <w:tcPr>
            <w:tcW w:w="1354" w:type="dxa"/>
          </w:tcPr>
          <w:p w14:paraId="5E4750C4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E43297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E43297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E43297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A01CB0">
            <w:pPr>
              <w:spacing w:line="360" w:lineRule="auto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E43297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A01CB0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77777777" w:rsidR="0037360B" w:rsidRPr="00770B26" w:rsidRDefault="00CC554A" w:rsidP="00A01CB0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</w:rPr>
        <w:t>MechaniCS</w:t>
      </w:r>
    </w:p>
    <w:p w14:paraId="7003DCFB" w14:textId="77777777" w:rsidR="00CC554A" w:rsidRPr="00770B26" w:rsidRDefault="00CC554A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A01CB0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bookmarkStart w:id="5" w:name="_GoBack"/>
      <w:bookmarkEnd w:id="5"/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6" w:name="_Toc86356826"/>
      <w:r>
        <w:lastRenderedPageBreak/>
        <w:t>3. Проект программы</w:t>
      </w:r>
      <w:bookmarkEnd w:id="6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0E39C58F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5ED24E85" w14:textId="3B645FAF" w:rsidR="00984A9B" w:rsidRDefault="00E43297" w:rsidP="00457EC1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76.75pt">
            <v:imagedata r:id="rId10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6145BAE" w:rsidR="00984A9B" w:rsidRPr="00B138D7" w:rsidRDefault="00984A9B" w:rsidP="00B138D7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7" w:name="_Toc86356827"/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7"/>
    </w:p>
    <w:p w14:paraId="61E0AFB0" w14:textId="5EB4718D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 xml:space="preserve">полями для ввода 9 геометрических параметров: «Длина клапана», «Диаметр ножки клапана», </w:t>
      </w:r>
      <w:r w:rsidR="00B927DB">
        <w:rPr>
          <w:lang w:val="ru-RU"/>
        </w:rPr>
        <w:lastRenderedPageBreak/>
        <w:t>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7D8984FB" w:rsidR="003D73B1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778997" wp14:editId="72D01721">
            <wp:extent cx="3771900" cy="2999735"/>
            <wp:effectExtent l="0" t="0" r="0" b="0"/>
            <wp:docPr id="3" name="Рисунок 3" descr="C:\Users\User\AppData\Local\Temp\vmware-User\VMwareDnD\10c02529\Аннотация 2021-11-11 18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vmware-User\VMwareDnD\10c02529\Аннотация 2021-11-11 1833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071FE08" w14:textId="54D84C37" w:rsidR="00B927DB" w:rsidRDefault="00DD547E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сообщения представлен на рисунке 3.2.</w:t>
      </w:r>
    </w:p>
    <w:p w14:paraId="402B4D5A" w14:textId="1F6E7EF0" w:rsidR="00B927DB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94EB25" wp14:editId="324D33CA">
            <wp:extent cx="3619500" cy="1697349"/>
            <wp:effectExtent l="0" t="0" r="0" b="0"/>
            <wp:docPr id="5" name="Рисунок 5" descr="C:\Users\User\AppData\Local\Temp\vmware-User\VMwareDnD\10c82530\Аннотация 2021-11-11 18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vmware-User\VMwareDnD\10c82530\Аннотация 2021-11-11 1833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71" cy="169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77777777" w:rsidR="00770B26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сообщения о некорректности данных.</w:t>
      </w:r>
    </w:p>
    <w:p w14:paraId="7C4735FD" w14:textId="77777777" w:rsidR="009D796C" w:rsidRDefault="009D796C">
      <w:pPr>
        <w:rPr>
          <w:b/>
          <w:lang w:val="ru-RU"/>
        </w:rPr>
      </w:pPr>
      <w:bookmarkStart w:id="8" w:name="_Toc86356828"/>
      <w:r w:rsidRPr="00E43297">
        <w:rPr>
          <w:lang w:val="ru-RU"/>
        </w:rPr>
        <w:br w:type="page"/>
      </w:r>
    </w:p>
    <w:p w14:paraId="29A182BC" w14:textId="00C763AB" w:rsidR="00B927DB" w:rsidRDefault="00770B26" w:rsidP="00770B26">
      <w:pPr>
        <w:pStyle w:val="1"/>
      </w:pPr>
      <w:r>
        <w:lastRenderedPageBreak/>
        <w:t>Список литературы</w:t>
      </w:r>
      <w:bookmarkEnd w:id="8"/>
    </w:p>
    <w:p w14:paraId="34212311" w14:textId="0F148296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r w:rsidR="000A7B0B">
        <w:fldChar w:fldCharType="begin"/>
      </w:r>
      <w:r w:rsidR="000A7B0B" w:rsidRPr="00E43297">
        <w:rPr>
          <w:lang w:val="ru-RU"/>
        </w:rPr>
        <w:instrText xml:space="preserve"> </w:instrText>
      </w:r>
      <w:r w:rsidR="000A7B0B">
        <w:instrText>HYPERLINK</w:instrText>
      </w:r>
      <w:r w:rsidR="000A7B0B" w:rsidRPr="00E43297">
        <w:rPr>
          <w:lang w:val="ru-RU"/>
        </w:rPr>
        <w:instrText xml:space="preserve"> "</w:instrText>
      </w:r>
      <w:r w:rsidR="000A7B0B">
        <w:instrText>https</w:instrText>
      </w:r>
      <w:r w:rsidR="000A7B0B" w:rsidRPr="00E43297">
        <w:rPr>
          <w:lang w:val="ru-RU"/>
        </w:rPr>
        <w:instrText>://</w:instrText>
      </w:r>
      <w:r w:rsidR="000A7B0B">
        <w:instrText>ascon</w:instrText>
      </w:r>
      <w:r w:rsidR="000A7B0B" w:rsidRPr="00E43297">
        <w:rPr>
          <w:lang w:val="ru-RU"/>
        </w:rPr>
        <w:instrText>.</w:instrText>
      </w:r>
      <w:r w:rsidR="000A7B0B">
        <w:instrText>ru</w:instrText>
      </w:r>
      <w:r w:rsidR="000A7B0B" w:rsidRPr="00E43297">
        <w:rPr>
          <w:lang w:val="ru-RU"/>
        </w:rPr>
        <w:instrText>/</w:instrText>
      </w:r>
      <w:r w:rsidR="000A7B0B">
        <w:instrText>products</w:instrText>
      </w:r>
      <w:r w:rsidR="000A7B0B" w:rsidRPr="00E43297">
        <w:rPr>
          <w:lang w:val="ru-RU"/>
        </w:rPr>
        <w:instrText>/7/</w:instrText>
      </w:r>
      <w:r w:rsidR="000A7B0B">
        <w:instrText>review</w:instrText>
      </w:r>
      <w:r w:rsidR="000A7B0B" w:rsidRPr="00E43297">
        <w:rPr>
          <w:lang w:val="ru-RU"/>
        </w:rPr>
        <w:instrText xml:space="preserve">/" </w:instrText>
      </w:r>
      <w:r w:rsidR="000A7B0B">
        <w:fldChar w:fldCharType="separate"/>
      </w:r>
      <w:r w:rsidR="00BE29F2" w:rsidRPr="005655E4">
        <w:rPr>
          <w:rStyle w:val="a6"/>
          <w:lang w:val="ru-RU"/>
        </w:rPr>
        <w:t>https://ascon.ru/products/7/review/</w:t>
      </w:r>
      <w:r w:rsidR="000A7B0B">
        <w:rPr>
          <w:rStyle w:val="a6"/>
          <w:lang w:val="ru-RU"/>
        </w:rPr>
        <w:fldChar w:fldCharType="end"/>
      </w:r>
      <w:r w:rsidR="00BE29F2" w:rsidRPr="00BE29F2">
        <w:rPr>
          <w:lang w:val="ru-RU"/>
        </w:rPr>
        <w:t xml:space="preserve"> (</w:t>
      </w:r>
      <w:r w:rsidR="00BE29F2">
        <w:rPr>
          <w:lang w:val="ru-RU"/>
        </w:rPr>
        <w:t>дата обращения 26.10.2021)</w:t>
      </w:r>
      <w:r w:rsidR="009756AC">
        <w:rPr>
          <w:lang w:val="ru-RU"/>
        </w:rPr>
        <w:t>.</w:t>
      </w:r>
    </w:p>
    <w:p w14:paraId="764B0290" w14:textId="20E27EC0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r w:rsidR="000A7B0B">
        <w:fldChar w:fldCharType="begin"/>
      </w:r>
      <w:r w:rsidR="000A7B0B" w:rsidRPr="00E43297">
        <w:rPr>
          <w:lang w:val="ru-RU"/>
        </w:rPr>
        <w:instrText xml:space="preserve"> </w:instrText>
      </w:r>
      <w:r w:rsidR="000A7B0B">
        <w:instrText>HYPERLINK</w:instrText>
      </w:r>
      <w:r w:rsidR="000A7B0B" w:rsidRPr="00E43297">
        <w:rPr>
          <w:lang w:val="ru-RU"/>
        </w:rPr>
        <w:instrText xml:space="preserve"> "</w:instrText>
      </w:r>
      <w:r w:rsidR="000A7B0B">
        <w:instrText>https</w:instrText>
      </w:r>
      <w:r w:rsidR="000A7B0B" w:rsidRPr="00E43297">
        <w:rPr>
          <w:lang w:val="ru-RU"/>
        </w:rPr>
        <w:instrText>://</w:instrText>
      </w:r>
      <w:r w:rsidR="000A7B0B">
        <w:instrText>it</w:instrText>
      </w:r>
      <w:r w:rsidR="000A7B0B" w:rsidRPr="00E43297">
        <w:rPr>
          <w:lang w:val="ru-RU"/>
        </w:rPr>
        <w:instrText>.</w:instrText>
      </w:r>
      <w:r w:rsidR="000A7B0B">
        <w:instrText>wikireading</w:instrText>
      </w:r>
      <w:r w:rsidR="000A7B0B" w:rsidRPr="00E43297">
        <w:rPr>
          <w:lang w:val="ru-RU"/>
        </w:rPr>
        <w:instrText>.</w:instrText>
      </w:r>
      <w:r w:rsidR="000A7B0B">
        <w:instrText>ru</w:instrText>
      </w:r>
      <w:r w:rsidR="000A7B0B" w:rsidRPr="00E43297">
        <w:rPr>
          <w:lang w:val="ru-RU"/>
        </w:rPr>
        <w:instrText xml:space="preserve">/23741" </w:instrText>
      </w:r>
      <w:r w:rsidR="000A7B0B">
        <w:fldChar w:fldCharType="separate"/>
      </w:r>
      <w:r w:rsidRPr="005655E4">
        <w:rPr>
          <w:rStyle w:val="a6"/>
          <w:lang w:val="ru-RU"/>
        </w:rPr>
        <w:t>https://it.wikireading.ru/23741</w:t>
      </w:r>
      <w:r w:rsidR="000A7B0B">
        <w:rPr>
          <w:rStyle w:val="a6"/>
          <w:lang w:val="ru-RU"/>
        </w:rPr>
        <w:fldChar w:fldCharType="end"/>
      </w:r>
      <w:r w:rsidRPr="00BE29F2">
        <w:rPr>
          <w:lang w:val="ru-RU"/>
        </w:rPr>
        <w:t xml:space="preserve"> (</w:t>
      </w:r>
      <w:r>
        <w:rPr>
          <w:lang w:val="ru-RU"/>
        </w:rPr>
        <w:t>дата обращения 26.10.2021)</w:t>
      </w:r>
      <w:r w:rsidR="009756AC">
        <w:rPr>
          <w:lang w:val="ru-RU"/>
        </w:rPr>
        <w:t>.</w:t>
      </w:r>
    </w:p>
    <w:p w14:paraId="36AE41C7" w14:textId="2C253F74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3. </w:t>
      </w:r>
      <w:r>
        <w:t>MechaniCS</w:t>
      </w:r>
      <w:r w:rsidRPr="00BE29F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 xml:space="preserve">]. – </w:t>
      </w:r>
      <w:r>
        <w:t>URL</w:t>
      </w:r>
      <w:r w:rsidRPr="00BE29F2">
        <w:rPr>
          <w:lang w:val="ru-RU"/>
        </w:rPr>
        <w:t xml:space="preserve">: </w:t>
      </w:r>
      <w:r w:rsidR="000A7B0B">
        <w:fldChar w:fldCharType="begin"/>
      </w:r>
      <w:r w:rsidR="000A7B0B" w:rsidRPr="00E43297">
        <w:rPr>
          <w:lang w:val="ru-RU"/>
        </w:rPr>
        <w:instrText xml:space="preserve"> </w:instrText>
      </w:r>
      <w:r w:rsidR="000A7B0B">
        <w:instrText>HYPERLINK</w:instrText>
      </w:r>
      <w:r w:rsidR="000A7B0B" w:rsidRPr="00E43297">
        <w:rPr>
          <w:lang w:val="ru-RU"/>
        </w:rPr>
        <w:instrText xml:space="preserve"> "</w:instrText>
      </w:r>
      <w:r w:rsidR="000A7B0B">
        <w:instrText>https</w:instrText>
      </w:r>
      <w:r w:rsidR="000A7B0B" w:rsidRPr="00E43297">
        <w:rPr>
          <w:lang w:val="ru-RU"/>
        </w:rPr>
        <w:instrText>://</w:instrText>
      </w:r>
      <w:r w:rsidR="000A7B0B">
        <w:instrText>axoft</w:instrText>
      </w:r>
      <w:r w:rsidR="000A7B0B" w:rsidRPr="00E43297">
        <w:rPr>
          <w:lang w:val="ru-RU"/>
        </w:rPr>
        <w:instrText>.</w:instrText>
      </w:r>
      <w:r w:rsidR="000A7B0B">
        <w:instrText>ru</w:instrText>
      </w:r>
      <w:r w:rsidR="000A7B0B" w:rsidRPr="00E43297">
        <w:rPr>
          <w:lang w:val="ru-RU"/>
        </w:rPr>
        <w:instrText>/</w:instrText>
      </w:r>
      <w:r w:rsidR="000A7B0B">
        <w:instrText>vendors</w:instrText>
      </w:r>
      <w:r w:rsidR="000A7B0B" w:rsidRPr="00E43297">
        <w:rPr>
          <w:lang w:val="ru-RU"/>
        </w:rPr>
        <w:instrText>/</w:instrText>
      </w:r>
      <w:r w:rsidR="000A7B0B">
        <w:instrText>CSoft</w:instrText>
      </w:r>
      <w:r w:rsidR="000A7B0B" w:rsidRPr="00E43297">
        <w:rPr>
          <w:lang w:val="ru-RU"/>
        </w:rPr>
        <w:instrText>-</w:instrText>
      </w:r>
      <w:r w:rsidR="000A7B0B">
        <w:instrText>Development</w:instrText>
      </w:r>
      <w:r w:rsidR="000A7B0B" w:rsidRPr="00E43297">
        <w:rPr>
          <w:lang w:val="ru-RU"/>
        </w:rPr>
        <w:instrText>/</w:instrText>
      </w:r>
      <w:r w:rsidR="000A7B0B">
        <w:instrText>CSoft</w:instrText>
      </w:r>
      <w:r w:rsidR="000A7B0B" w:rsidRPr="00E43297">
        <w:rPr>
          <w:lang w:val="ru-RU"/>
        </w:rPr>
        <w:instrText>-</w:instrText>
      </w:r>
      <w:r w:rsidR="000A7B0B">
        <w:instrText>MechaniCS</w:instrText>
      </w:r>
      <w:r w:rsidR="000A7B0B" w:rsidRPr="00E43297">
        <w:rPr>
          <w:lang w:val="ru-RU"/>
        </w:rPr>
        <w:instrText xml:space="preserve">/" </w:instrText>
      </w:r>
      <w:r w:rsidR="000A7B0B">
        <w:fldChar w:fldCharType="separate"/>
      </w:r>
      <w:r w:rsidRPr="005655E4">
        <w:rPr>
          <w:rStyle w:val="a6"/>
        </w:rPr>
        <w:t>https</w:t>
      </w:r>
      <w:r w:rsidRPr="005655E4">
        <w:rPr>
          <w:rStyle w:val="a6"/>
          <w:lang w:val="ru-RU"/>
        </w:rPr>
        <w:t>://</w:t>
      </w:r>
      <w:proofErr w:type="spellStart"/>
      <w:r w:rsidRPr="005655E4">
        <w:rPr>
          <w:rStyle w:val="a6"/>
        </w:rPr>
        <w:t>axoft</w:t>
      </w:r>
      <w:proofErr w:type="spellEnd"/>
      <w:r w:rsidRPr="005655E4">
        <w:rPr>
          <w:rStyle w:val="a6"/>
          <w:lang w:val="ru-RU"/>
        </w:rPr>
        <w:t>.</w:t>
      </w:r>
      <w:proofErr w:type="spellStart"/>
      <w:r w:rsidRPr="005655E4">
        <w:rPr>
          <w:rStyle w:val="a6"/>
        </w:rPr>
        <w:t>ru</w:t>
      </w:r>
      <w:proofErr w:type="spellEnd"/>
      <w:r w:rsidRPr="005655E4">
        <w:rPr>
          <w:rStyle w:val="a6"/>
          <w:lang w:val="ru-RU"/>
        </w:rPr>
        <w:t>/</w:t>
      </w:r>
      <w:r w:rsidRPr="005655E4">
        <w:rPr>
          <w:rStyle w:val="a6"/>
        </w:rPr>
        <w:t>vendors</w:t>
      </w:r>
      <w:r w:rsidRPr="005655E4">
        <w:rPr>
          <w:rStyle w:val="a6"/>
          <w:lang w:val="ru-RU"/>
        </w:rPr>
        <w:t>/</w:t>
      </w:r>
      <w:proofErr w:type="spellStart"/>
      <w:r w:rsidRPr="005655E4">
        <w:rPr>
          <w:rStyle w:val="a6"/>
        </w:rPr>
        <w:t>CSoft</w:t>
      </w:r>
      <w:proofErr w:type="spellEnd"/>
      <w:r w:rsidRPr="005655E4">
        <w:rPr>
          <w:rStyle w:val="a6"/>
          <w:lang w:val="ru-RU"/>
        </w:rPr>
        <w:t>-</w:t>
      </w:r>
      <w:r w:rsidRPr="005655E4">
        <w:rPr>
          <w:rStyle w:val="a6"/>
        </w:rPr>
        <w:t>Development</w:t>
      </w:r>
      <w:r w:rsidRPr="005655E4">
        <w:rPr>
          <w:rStyle w:val="a6"/>
          <w:lang w:val="ru-RU"/>
        </w:rPr>
        <w:t>/</w:t>
      </w:r>
      <w:proofErr w:type="spellStart"/>
      <w:r w:rsidRPr="005655E4">
        <w:rPr>
          <w:rStyle w:val="a6"/>
        </w:rPr>
        <w:t>CSoft</w:t>
      </w:r>
      <w:proofErr w:type="spellEnd"/>
      <w:r w:rsidRPr="005655E4">
        <w:rPr>
          <w:rStyle w:val="a6"/>
          <w:lang w:val="ru-RU"/>
        </w:rPr>
        <w:t>-</w:t>
      </w:r>
      <w:proofErr w:type="spellStart"/>
      <w:r w:rsidRPr="005655E4">
        <w:rPr>
          <w:rStyle w:val="a6"/>
        </w:rPr>
        <w:t>MechaniCS</w:t>
      </w:r>
      <w:proofErr w:type="spellEnd"/>
      <w:r w:rsidRPr="005655E4">
        <w:rPr>
          <w:rStyle w:val="a6"/>
          <w:lang w:val="ru-RU"/>
        </w:rPr>
        <w:t>/</w:t>
      </w:r>
      <w:r w:rsidR="000A7B0B">
        <w:rPr>
          <w:rStyle w:val="a6"/>
          <w:lang w:val="ru-RU"/>
        </w:rPr>
        <w:fldChar w:fldCharType="end"/>
      </w:r>
      <w:r w:rsidRPr="00BE29F2">
        <w:rPr>
          <w:lang w:val="ru-RU"/>
        </w:rPr>
        <w:t xml:space="preserve"> (</w:t>
      </w:r>
      <w:r>
        <w:rPr>
          <w:lang w:val="ru-RU"/>
        </w:rPr>
        <w:t>дата обращения 27.10.2021)</w:t>
      </w:r>
      <w:r w:rsidR="009756AC">
        <w:rPr>
          <w:lang w:val="ru-RU"/>
        </w:rPr>
        <w:t>.</w:t>
      </w:r>
    </w:p>
    <w:p w14:paraId="281796A3" w14:textId="2C00055B" w:rsidR="00A50FB8" w:rsidRPr="00BE29F2" w:rsidRDefault="00A50FB8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4. </w:t>
      </w:r>
      <w:proofErr w:type="spellStart"/>
      <w:r w:rsidRPr="00A50FB8">
        <w:rPr>
          <w:lang w:val="ru-RU"/>
        </w:rPr>
        <w:t>Фаулер</w:t>
      </w:r>
      <w:proofErr w:type="spellEnd"/>
      <w:r w:rsidRPr="00A50FB8">
        <w:rPr>
          <w:lang w:val="ru-RU"/>
        </w:rPr>
        <w:t xml:space="preserve"> М. UML. Основы. 3-е издание / </w:t>
      </w:r>
      <w:proofErr w:type="spellStart"/>
      <w:r w:rsidRPr="00A50FB8">
        <w:rPr>
          <w:lang w:val="ru-RU"/>
        </w:rPr>
        <w:t>М.Фаулер</w:t>
      </w:r>
      <w:proofErr w:type="spellEnd"/>
      <w:r w:rsidRPr="00A50FB8">
        <w:rPr>
          <w:lang w:val="ru-RU"/>
        </w:rPr>
        <w:t>. – 3-е изд., пер. с англ. – СПб.: Символ-Плюс, 2019. – 192 с. (дата обращения 09.11.2021)</w:t>
      </w:r>
      <w:r w:rsidR="009756AC">
        <w:rPr>
          <w:lang w:val="ru-RU"/>
        </w:rPr>
        <w:t>.</w:t>
      </w:r>
    </w:p>
    <w:sectPr w:rsidR="00A50FB8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5809D" w14:textId="77777777" w:rsidR="000A7B0B" w:rsidRDefault="000A7B0B" w:rsidP="004809FF">
      <w:pPr>
        <w:spacing w:after="0" w:line="240" w:lineRule="auto"/>
      </w:pPr>
      <w:r>
        <w:separator/>
      </w:r>
    </w:p>
  </w:endnote>
  <w:endnote w:type="continuationSeparator" w:id="0">
    <w:p w14:paraId="688288FE" w14:textId="77777777" w:rsidR="000A7B0B" w:rsidRDefault="000A7B0B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9FE55" w14:textId="77777777" w:rsidR="000A7B0B" w:rsidRDefault="000A7B0B" w:rsidP="004809FF">
      <w:pPr>
        <w:spacing w:after="0" w:line="240" w:lineRule="auto"/>
      </w:pPr>
      <w:r>
        <w:separator/>
      </w:r>
    </w:p>
  </w:footnote>
  <w:footnote w:type="continuationSeparator" w:id="0">
    <w:p w14:paraId="12FAABAD" w14:textId="77777777" w:rsidR="000A7B0B" w:rsidRDefault="000A7B0B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583A59F4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297" w:rsidRPr="00E43297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76E50"/>
    <w:rsid w:val="000A7B0B"/>
    <w:rsid w:val="000F4E1C"/>
    <w:rsid w:val="0011399C"/>
    <w:rsid w:val="00127556"/>
    <w:rsid w:val="001602FA"/>
    <w:rsid w:val="0018589D"/>
    <w:rsid w:val="001930E5"/>
    <w:rsid w:val="001C41B8"/>
    <w:rsid w:val="00211660"/>
    <w:rsid w:val="00295ED5"/>
    <w:rsid w:val="002D5402"/>
    <w:rsid w:val="00353FA4"/>
    <w:rsid w:val="00353FAF"/>
    <w:rsid w:val="0037360B"/>
    <w:rsid w:val="003D20FA"/>
    <w:rsid w:val="003D73B1"/>
    <w:rsid w:val="00457EC1"/>
    <w:rsid w:val="00467136"/>
    <w:rsid w:val="004809FF"/>
    <w:rsid w:val="00496084"/>
    <w:rsid w:val="004B7E58"/>
    <w:rsid w:val="00513C0D"/>
    <w:rsid w:val="005C1083"/>
    <w:rsid w:val="005E7A5E"/>
    <w:rsid w:val="005F4F15"/>
    <w:rsid w:val="006148D0"/>
    <w:rsid w:val="00620DC8"/>
    <w:rsid w:val="006A66A0"/>
    <w:rsid w:val="00716C49"/>
    <w:rsid w:val="00770B26"/>
    <w:rsid w:val="007A7A1C"/>
    <w:rsid w:val="00890F14"/>
    <w:rsid w:val="008E273C"/>
    <w:rsid w:val="008F0A31"/>
    <w:rsid w:val="00944DF7"/>
    <w:rsid w:val="009756AC"/>
    <w:rsid w:val="00984A9B"/>
    <w:rsid w:val="009A47C6"/>
    <w:rsid w:val="009D796C"/>
    <w:rsid w:val="00A01CB0"/>
    <w:rsid w:val="00A50FB8"/>
    <w:rsid w:val="00A7595B"/>
    <w:rsid w:val="00AD5E2B"/>
    <w:rsid w:val="00B138D7"/>
    <w:rsid w:val="00B927DB"/>
    <w:rsid w:val="00BC777F"/>
    <w:rsid w:val="00BD2ED0"/>
    <w:rsid w:val="00BE29F2"/>
    <w:rsid w:val="00BE685E"/>
    <w:rsid w:val="00C419C2"/>
    <w:rsid w:val="00C647DE"/>
    <w:rsid w:val="00CC554A"/>
    <w:rsid w:val="00D013B1"/>
    <w:rsid w:val="00D368E6"/>
    <w:rsid w:val="00DD547E"/>
    <w:rsid w:val="00E43297"/>
    <w:rsid w:val="00EB3FA7"/>
    <w:rsid w:val="00ED419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D7036-19BD-431A-BA44-27ADE896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11</Pages>
  <Words>1546</Words>
  <Characters>8815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2021-10-27T08:04:00Z</dcterms:created>
  <dcterms:modified xsi:type="dcterms:W3CDTF">2021-12-10T06:07:00Z</dcterms:modified>
</cp:coreProperties>
</file>