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保留话题拓宽视角"/>
    <w:p>
      <w:pPr>
        <w:pStyle w:val="Title"/>
        <w:keepNext/>
        <w:widowControl/>
        <w:spacing w:before="0" w:after="160"/>
      </w:pPr>
      <w:r>
        <w:t xml:space="preserve">保留话题，拓宽视角</w:t>
      </w:r>
    </w:p>
    <w:p>
      <w:pPr>
        <w:pStyle w:val="FirstParagraph"/>
        <w:keepNext/>
        <w:widowControl/>
        <w:spacing w:after="240"/>
      </w:pPr>
      <w:r>
        <w:rPr>
          <w:b w:val="0"/>
          <w:color w:val="4B4B4B"/>
          <w:sz w:val="24"/>
        </w:rPr>
        <w:t xml:space="preserve">理解短视频信息茧房，支持用户主动调整信息流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886"/>
        <w:gridCol w:w="1886"/>
        <w:gridCol w:w="1886"/>
        <w:gridCol w:w="1886"/>
        <w:gridCol w:w="1886"/>
      </w:tblGrid>
      <w:tr>
        <w:trPr>
          <w:tblHeader w:val="true"/>
        </w:trPr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/>
                <w:sz w:val="20"/>
              </w:rPr>
              <w:t>Fu Yitong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/>
                <w:sz w:val="20"/>
              </w:rPr>
              <w:t>Li Yitong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/>
                <w:sz w:val="20"/>
              </w:rPr>
              <w:t>Wang Junbo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/>
                <w:sz w:val="20"/>
              </w:rPr>
              <w:t>Xu Ruicong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/>
                <w:sz w:val="20"/>
              </w:rPr>
              <w:t>Zhao Dingcheng</w:t>
            </w:r>
          </w:p>
        </w:tc>
      </w:tr>
      <w:tr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 w:val="0"/>
                <w:sz w:val="20"/>
              </w:rPr>
              <w:t xml:space="preserve">3036482371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 w:val="0"/>
                <w:sz w:val="20"/>
              </w:rPr>
              <w:t xml:space="preserve">3036289377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 w:val="0"/>
                <w:sz w:val="20"/>
              </w:rPr>
              <w:t xml:space="preserve">3036482682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 w:val="0"/>
                <w:sz w:val="20"/>
              </w:rPr>
              <w:t xml:space="preserve">3036291100</w:t>
            </w:r>
          </w:p>
        </w:tc>
        <w:tc>
          <w:tcPr>
            <w:tcW w:type="dxa" w:w="1886"/>
          </w:tcPr>
          <w:p>
            <w:pPr>
              <w:pStyle w:val="Compact"/>
              <w:keepNext/>
              <w:spacing w:before="0" w:after="40"/>
              <w:jc w:val="left"/>
            </w:pPr>
            <w:r>
              <w:rPr>
                <w:b w:val="0"/>
                <w:sz w:val="20"/>
              </w:rPr>
              <w:t xml:space="preserve">3036292283</w:t>
            </w:r>
          </w:p>
        </w:tc>
      </w:tr>
    </w:tbl>
    <w:bookmarkStart w:id="20" w:name="问题与方案概念"/>
    <w:p>
      <w:pPr>
        <w:pStyle w:val="Heading1"/>
        <w:widowControl/>
      </w:pPr>
      <w:r>
        <w:t xml:space="preserve">1. 问题与方案概念</w:t>
      </w:r>
    </w:p>
    <w:p>
      <w:pPr>
        <w:pStyle w:val="FirstParagraph"/>
        <w:widowControl/>
      </w:pPr>
      <w:r>
        <w:t xml:space="preserve">一个经常看育儿视频的人，可能反复听到“只有严格管教才能培养出优秀孩子”。他的信息流里仍有美食、音乐和旅行，按内容类别统计，看起来并不单一。但在育儿这个议题内，同一种解释可能长期占据主导。他希望少看武断的概括，同时继续了解管教方法，而“不感兴趣”按钮很难表达这种区别。</w:t>
      </w:r>
    </w:p>
    <w:p>
      <w:pPr>
        <w:pStyle w:val="BodyText"/>
        <w:widowControl/>
      </w:pPr>
      <w:r>
        <w:t xml:space="preserve">本项目的问题是：</w:t>
      </w:r>
      <w:r>
        <w:rPr>
          <w:bCs/>
          <w:b/>
        </w:rPr>
        <w:t xml:space="preserve">短视频用户如何发现日常议题中持续存在的观点与理由的局限，并在保留所需信息的前提下调整自己的曝光？</w:t>
      </w:r>
    </w:p>
    <w:p>
      <w:pPr>
        <w:pStyle w:val="BodyText"/>
        <w:widowControl/>
      </w:pPr>
      <w:r>
        <w:t xml:space="preserve">我们关注中文短视频中的</w:t>
      </w:r>
      <w:r>
        <w:rPr>
          <w:bCs/>
          <w:b/>
        </w:rPr>
        <w:t xml:space="preserve">信息茧房风险</w:t>
      </w:r>
      <w:r>
        <w:t xml:space="preserve">：在育儿、婚恋和职业选择等议题内，推荐与用户反馈可能反复强化有限的观点和理由。英文采用</w:t>
      </w:r>
      <w:r>
        <w:t xml:space="preserve"> </w:t>
      </w:r>
      <w:r>
        <w:rPr>
          <w:bCs/>
          <w:b/>
        </w:rPr>
        <w:t xml:space="preserve">filter bubbles</w:t>
      </w:r>
      <w:r>
        <w:t xml:space="preserve">，突出个性化推荐这一情境；</w:t>
      </w:r>
      <w:r>
        <w:rPr>
          <w:bCs/>
          <w:b/>
        </w:rPr>
        <w:t xml:space="preserve">观点曝光</w:t>
      </w:r>
      <w:r>
        <w:t xml:space="preserve">是具体测量对象，不等于已经证明算法因果或危害。兴趣集中不一定有害，也不应强行平衡正反方。真正值得关注的是用户未察觉、或难以按自身意愿改变的选择性呈现。</w:t>
      </w:r>
    </w:p>
    <w:p>
      <w:pPr>
        <w:pStyle w:val="BodyText"/>
        <w:widowControl/>
      </w:pPr>
      <w:r>
        <w:t xml:space="preserve">方案包括三个部分。首先，用</w:t>
      </w:r>
      <w:r>
        <w:rPr>
          <w:bCs/>
          <w:b/>
        </w:rPr>
        <w:t xml:space="preserve">曝光报告</w:t>
      </w:r>
      <w:r>
        <w:t xml:space="preserve">展示反复出现的主张、理由与来源，并提供可回看的例子。其次，通过</w:t>
      </w:r>
      <w:r>
        <w:rPr>
          <w:bCs/>
          <w:b/>
        </w:rPr>
        <w:t xml:space="preserve">目标确认</w:t>
      </w:r>
      <w:r>
        <w:t xml:space="preserve">明确用户想减少、保留或进一步了解什么。最后，</w:t>
      </w:r>
      <w:r>
        <w:rPr>
          <w:bCs/>
          <w:b/>
        </w:rPr>
        <w:t xml:space="preserve">比较并复查调整办法</w:t>
      </w:r>
      <w:r>
        <w:t xml:space="preserve">，分析它们能否达到目标，以及需要多少持续操作。例如，用户可以要求减少“严格管教是唯一有效办法”的表达，同时保留具体建议和不同做法的解释。</w:t>
      </w:r>
    </w:p>
    <w:p>
      <w:pPr>
        <w:pStyle w:val="BodyText"/>
        <w:widowControl/>
      </w:pPr>
      <w:r>
        <w:t xml:space="preserve">我们将在至少两个议题上共同开发方法，再用一个未参与开发的议题评价适用性。主要成果是带证据的报告设计、干预策略比较和动态仿真；条件允许时用小型工具演示，不要求完成一个 app。研究重点是曝光与控制，不直接测量用户信念或生活质量的改变。</w:t>
      </w:r>
    </w:p>
    <w:bookmarkEnd w:id="20"/>
    <w:bookmarkStart w:id="24" w:name="计算与数据科学方法"/>
    <w:p>
      <w:pPr>
        <w:pStyle w:val="Heading1"/>
        <w:widowControl/>
      </w:pPr>
      <w:r>
        <w:t xml:space="preserve">2. 计算与数据科学方法</w:t>
      </w:r>
    </w:p>
    <w:p>
      <w:pPr>
        <w:pStyle w:val="FirstParagraph"/>
        <w:widowControl/>
      </w:pPr>
      <w:r>
        <w:t xml:space="preserve">本混合型项目用</w:t>
      </w:r>
      <w:r>
        <w:rPr>
          <w:bCs/>
          <w:b/>
        </w:rPr>
        <w:t xml:space="preserve">数据分析</w:t>
      </w:r>
      <w:r>
        <w:t xml:space="preserve">描述用户接触的信息，用</w:t>
      </w:r>
      <w:r>
        <w:rPr>
          <w:bCs/>
          <w:b/>
        </w:rPr>
        <w:t xml:space="preserve">算法设计</w:t>
      </w:r>
      <w:r>
        <w:t xml:space="preserve">在信息保留与操作成本约束下选择行动，再用</w:t>
      </w:r>
      <w:r>
        <w:rPr>
          <w:bCs/>
          <w:b/>
        </w:rPr>
        <w:t xml:space="preserve">仿真建模</w:t>
      </w:r>
      <w:r>
        <w:t xml:space="preserve">检验这些行动如何影响后续推荐。适用时直接复用成熟方法。</w:t>
      </w:r>
    </w:p>
    <w:bookmarkStart w:id="21" w:name="数据分析测量观点曝光"/>
    <w:p>
      <w:pPr>
        <w:pStyle w:val="Heading2"/>
        <w:widowControl/>
      </w:pPr>
      <w:r>
        <w:t xml:space="preserve">数据分析：测量观点曝光</w:t>
      </w:r>
    </w:p>
    <w:p>
      <w:pPr>
        <w:pStyle w:val="FirstParagraph"/>
        <w:widowControl/>
      </w:pPr>
      <w:r>
        <w:t xml:space="preserve">工具只能看到截至步骤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可获得的内容与互动记录</w:t>
      </w:r>
      <w:r>
        <w:t xml:space="preserve"> </w:t>
      </w:r>
      <m:oMath>
        <m:sSub>
          <m:e>
            <m:r>
              <m:t>o</m:t>
            </m:r>
          </m:e>
          <m:sub>
            <m:r>
              <m:rPr>
                <m:sty m:val="p"/>
              </m:rPr>
              <m:t>≤</m:t>
            </m:r>
            <m:r>
              <m:t>t</m:t>
            </m:r>
          </m:sub>
        </m:sSub>
      </m:oMath>
      <w:r>
        <w:t xml:space="preserve">，不能访问平台内部状态。先用关键词和语义检索，再由大语言模型（LLM）或视觉语言模型（VLM）分析提取命题、立场、理由和来源标识，并附依据文本或时间戳。分析流程生成曝光摘要：</w:t>
      </w:r>
    </w:p>
    <w:p>
      <w:pPr>
        <w:pStyle w:val="BodyText"/>
        <w:keepNext/>
        <w:widowControl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o</m:t>
                  </m:r>
                </m:e>
                <m: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其中，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是针对明确命题的可判定曝光立场分布，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表示理由覆盖，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表示来源重复，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是未知标签比例。滑动窗口跟踪集中程度与变化。Shannon 熵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用于衡量集中程度，越低表示曝光越集中在少数立场。Jensen–Shannon 散度</w:t>
      </w:r>
      <w:r>
        <w:t xml:space="preserve"> </w:t>
      </w:r>
      <m:oMath>
        <m:r>
          <m:rPr>
            <m:sty m:val="p"/>
          </m:rPr>
          <m:t>J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衡量与明确参照</w:t>
      </w:r>
      <w:r>
        <w:t xml:space="preserve"> </w:t>
      </w:r>
      <m:oMath>
        <m:r>
          <m:t>q</m:t>
        </m:r>
      </m:oMath>
      <w:r>
        <w:t xml:space="preserve">（如过去曝光）的差异。两者都不直接证明伤害，也不意味着均匀曝光最好。</w:t>
      </w:r>
    </w:p>
    <w:p>
      <w:pPr>
        <w:pStyle w:val="BodyText"/>
        <w:widowControl/>
      </w:pPr>
      <w:r>
        <w:t xml:space="preserve">独立双人标注、precision/recall、模态对照及留出议题用于检验测量质量；稀疏轨迹不评分。标注分歧保留用于错误分析；为未知内容赋予不同的合理标签，检查结论是否改变，而不默认已标注子集代表整个信息流。</w:t>
      </w:r>
    </w:p>
    <w:bookmarkEnd w:id="21"/>
    <w:bookmarkStart w:id="22" w:name="算法设计选择干预策略"/>
    <w:p>
      <w:pPr>
        <w:pStyle w:val="Heading2"/>
        <w:widowControl/>
      </w:pPr>
      <w:r>
        <w:t xml:space="preserve">算法设计：选择干预策略</w:t>
      </w:r>
    </w:p>
    <w:p>
      <w:pPr>
        <w:pStyle w:val="FirstParagraph"/>
        <w:widowControl/>
      </w:pPr>
      <w:r>
        <w:t xml:space="preserve">策略（行动选择规则）根据曝光摘要、已确认的“减少—保留—探索”目标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和剩余预算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，选择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。从已观察的摘要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出发，以后续曝光评价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次行动：</w:t>
      </w:r>
    </w:p>
    <w:p>
      <w:pPr>
        <w:pStyle w:val="BodyText"/>
        <w:keepNext/>
        <w:widowControl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</m:lim>
          </m:limLow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π</m:t>
              </m:r>
            </m:sub>
          </m:sSub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ℓ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</m:e>
          </m:d>
          <m:r>
            <m:t> 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  <m:r>
            <m:rPr>
              <m:sty m:val="p"/>
            </m:rPr>
            <m:t>t</m:t>
          </m:r>
          <m:r>
            <m:rPr>
              <m:sty m:val="p"/>
            </m:rPr>
            <m:t>.</m:t>
          </m:r>
          <m:r>
            <m:t> 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π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π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m:oMath>
        <m:sSub>
          <m:e>
            <m:r>
              <m:t>Π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为允许的策略集合，期望对随机推荐与反应取平均。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影响未来曝光，不能改变已记录的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</m:sub>
        </m:sSub>
      </m:oMath>
      <w:r>
        <w:t xml:space="preserve">。损失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衡量目标偏离；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累计这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次行动的成本，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衡量随后曝光期内相对不干预的信息保留程度。预算</w:t>
      </w:r>
      <w:r>
        <w:t xml:space="preserve"> </w:t>
      </w:r>
      <m:oMath>
        <m:r>
          <m:t>B</m:t>
        </m:r>
      </m:oMath>
      <w:r>
        <w:t xml:space="preserve">、最低保留要求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和测量规则由测试情境预先设定或用户确认。未知内容和空信息流不能被计为成功。以育儿为例，损失可衡量目标概括性说法的曝光，保留程度则跟踪实用建议及不同解释。新增理由依据有出处的来源集合评价，不能用模型生成的断言代替。</w:t>
      </w:r>
    </w:p>
    <w:p>
      <w:pPr>
        <w:pStyle w:val="BodyText"/>
        <w:widowControl/>
      </w:pPr>
      <w:r>
        <w:t xml:space="preserve">枚举不干预、话题过滤、负反馈、选择性过滤与补充、搜索／关注等策略，通过下文的仿真估计结果，再排除违反估计约束的候选；无可行方案时明确报告。结果已估计后，选择成本随候选数线性增长。平台操作与外部工具功能分别处理。这里比较有限候选，不声称求得全局最优策略。</w:t>
      </w:r>
    </w:p>
    <w:bookmarkEnd w:id="22"/>
    <w:bookmarkStart w:id="23" w:name="仿真建模检验推荐反馈循环"/>
    <w:p>
      <w:pPr>
        <w:pStyle w:val="Heading2"/>
        <w:widowControl/>
      </w:pPr>
      <w:r>
        <w:t xml:space="preserve">仿真建模：检验推荐—反馈循环</w:t>
      </w:r>
    </w:p>
    <w:p>
      <w:pPr>
        <w:pStyle w:val="FirstParagraph"/>
        <w:widowControl/>
      </w:pPr>
      <w:r>
        <w:t xml:space="preserve">用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表示推荐历史和用户行为状态。在步骤</w:t>
      </w:r>
      <w:r>
        <w:t xml:space="preserve"> </w:t>
      </w:r>
      <m:oMath>
        <m:r>
          <m:t>t</m:t>
        </m:r>
      </m:oMath>
      <w:r>
        <w:t xml:space="preserve">，推荐器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生成曝光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，用户模型</w:t>
      </w:r>
      <w:r>
        <w:t xml:space="preserve"> </w:t>
      </w:r>
      <m:oMath>
        <m:r>
          <m:rPr>
            <m:sty m:val="p"/>
            <m:scr m:val="script"/>
          </m:rPr>
          <m:t>U</m:t>
        </m:r>
      </m:oMath>
      <w:r>
        <w:t xml:space="preserve"> </w:t>
      </w:r>
      <w:r>
        <w:t xml:space="preserve">生成反馈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，所选操作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进入状态更新规则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：</w:t>
      </w:r>
    </w:p>
    <w:p>
      <w:pPr>
        <w:pStyle w:val="BodyText"/>
        <w:keepNext/>
        <w:widowControl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这是仿真抽象，不是已观测到的平台模型；观看倾向与调整目标分别表示。比较规则、数据驱动、LLM 和混合用户，通过可获得的留出日志检验行为预测，包括概率校准。推荐记忆、探索及反馈强度在实验中分别变化。用户可能仍会观看令自己不快的视频，却希望减少同类推荐，模型需要容纳这种冲突。策略只能读取可观察记录，不能读取隐藏偏好或推荐器参数。</w:t>
      </w:r>
    </w:p>
    <w:p>
      <w:pPr>
        <w:pStyle w:val="BodyText"/>
        <w:widowControl/>
      </w:pPr>
      <w:r>
        <w:t xml:space="preserve">以匹配初始状态和多个随机种子比较目标达到、信息损失、操作成本及复发。分别测试持续干预、停止干预和恢复此前观看行为。均值同时报告跨次运行的波动和约束违反频率，避免平均表现掩盖结果的不可靠性。改变模型参数和标签错误检验稳健性；模拟效果不能直接证明真实平台效果。</w:t>
      </w:r>
    </w:p>
    <w:bookmarkEnd w:id="23"/>
    <w:bookmarkEnd w:id="24"/>
    <w:bookmarkStart w:id="25" w:name="相关研究与本项目的切入点"/>
    <w:p>
      <w:pPr>
        <w:pStyle w:val="Heading1"/>
        <w:widowControl/>
      </w:pPr>
      <w:r>
        <w:t xml:space="preserve">3. 相关研究与本项目的切入点</w:t>
      </w:r>
    </w:p>
    <w:p>
      <w:pPr>
        <w:pStyle w:val="FirstParagraph"/>
        <w:widowControl/>
      </w:pPr>
      <w:r>
        <w:rPr>
          <w:bCs/>
          <w:b/>
        </w:rPr>
        <w:t xml:space="preserve">参与行为与用户意愿可能不一致。</w:t>
      </w:r>
      <w:r>
        <w:t xml:space="preserve"> </w:t>
      </w:r>
      <w:r>
        <w:t xml:space="preserve">Milli 等</w:t>
      </w:r>
      <w:r>
        <w:t xml:space="preserve"> </w:t>
      </w:r>
      <w:hyperlink w:anchor="ref-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在 Twitter 政治内容研究中发现，按参与度排序与用户自述偏好并不一致；按自述偏好排序又可能强化与自身立场一致的内容。这说明需要区分“吸引注意”与“用户想要”，也不能把用户控制当成自动有效的解决办法。Vera 和 Ghosh</w:t>
      </w:r>
      <w:r>
        <w:t xml:space="preserve"> </w:t>
      </w:r>
      <w:hyperlink w:anchor="ref-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通过对 14 位 TikTok 用户的访谈，记录了不想要的推荐及清除这些内容的尝试，为本项目的生活情境提供依据，但不能据此推断中国用户的发生率。</w:t>
      </w:r>
    </w:p>
    <w:p>
      <w:pPr>
        <w:pStyle w:val="BodyText"/>
        <w:widowControl/>
      </w:pPr>
      <w:r>
        <w:rPr>
          <w:bCs/>
          <w:b/>
        </w:rPr>
        <w:t xml:space="preserve">观点分析需要超出类别统计。</w:t>
      </w:r>
      <w:r>
        <w:t xml:space="preserve"> </w:t>
      </w:r>
      <w:r>
        <w:t xml:space="preserve">Pecher 等</w:t>
      </w:r>
      <w:r>
        <w:t xml:space="preserve"> </w:t>
      </w:r>
      <w:hyperlink w:anchor="ref-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的 TikTok 审计区分了话题变化与立场变化，因此“研究同一话题里的观点”本身并不是空白。Draws 等</w:t>
      </w:r>
      <w:r>
        <w:t xml:space="preserve"> </w:t>
      </w:r>
      <w:hyperlink w:anchor="ref-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在搜索结果研究中从立场和背后的论证逻辑理解观点多样性。我们借用这种区分，并面对短视频中的角色、语境缺失和重复故事等判断困难。</w:t>
      </w:r>
    </w:p>
    <w:p>
      <w:pPr>
        <w:pStyle w:val="BodyText"/>
        <w:widowControl/>
      </w:pPr>
      <w:r>
        <w:rPr>
          <w:bCs/>
          <w:b/>
        </w:rPr>
        <w:t xml:space="preserve">用户控制已有成熟方法。</w:t>
      </w:r>
      <w:r>
        <w:t xml:space="preserve"> </w:t>
      </w:r>
      <w:r>
        <w:t xml:space="preserve">Wang 等的 UCRS</w:t>
      </w:r>
      <w:r>
        <w:t xml:space="preserve"> </w:t>
      </w:r>
      <w:hyperlink w:anchor="ref-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允许用户通过特征层面的控制影响推荐。本项目面对的是用户通常无法修改平台模型的情况：如何表达“继续了解这个议题，但调整某类表达或补充某种理由”，再通过手边的操作实现？X 的公开推荐代码</w:t>
      </w:r>
      <w:r>
        <w:t xml:space="preserve"> </w:t>
      </w:r>
      <w:hyperlink w:anchor="ref-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提供了可检查的过滤和评分机制，但不能证明中国短视频平台采用相同规则。</w:t>
      </w:r>
    </w:p>
    <w:p>
      <w:pPr>
        <w:pStyle w:val="BodyText"/>
        <w:widowControl/>
      </w:pPr>
      <w:r>
        <w:rPr>
          <w:bCs/>
          <w:b/>
        </w:rPr>
        <w:t xml:space="preserve">公开数据与仿真支持部分验证。</w:t>
      </w:r>
      <w:r>
        <w:t xml:space="preserve"> </w:t>
      </w:r>
      <w:r>
        <w:t xml:space="preserve">Shang 等发布的 ShortVideo 数据集</w:t>
      </w:r>
      <w:r>
        <w:t xml:space="preserve"> </w:t>
      </w:r>
      <w:hyperlink w:anchor="ref-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将内容与行为联系起来；KuaiRand</w:t>
      </w:r>
      <w:r>
        <w:t xml:space="preserve"> </w:t>
      </w:r>
      <w:hyperlink w:anchor="ref-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提供时序互动和随机曝光视频，可用于内容分析及行为检验，但都没有记录用户经过思考后确认的调整目标。SimTok</w:t>
      </w:r>
      <w:r>
        <w:t xml:space="preserve"> </w:t>
      </w:r>
      <w:hyperlink w:anchor="ref-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展示了由 LLM 用户读取视频文本描述、与推荐器反复互动的模拟方法。Yoon 等</w:t>
      </w:r>
      <w:r>
        <w:t xml:space="preserve"> </w:t>
      </w:r>
      <w:hyperlink w:anchor="ref-1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则说明，模拟偏好和反馈需要独立对照真人数据。因此，我们会把用户模型是否可信与干预是否有效分开评价。</w:t>
      </w:r>
    </w:p>
    <w:p>
      <w:pPr>
        <w:pStyle w:val="BodyText"/>
        <w:widowControl/>
      </w:pPr>
      <w:r>
        <w:t xml:space="preserve">这些研究为我们留下了一个具体问题：</w:t>
      </w:r>
      <w:r>
        <w:rPr>
          <w:bCs/>
          <w:b/>
        </w:rPr>
        <w:t xml:space="preserve">能否从用户侧识别生活议题中反复出现的理由，把具体调整目标转化为可用操作，并比较信息损失和持续维护的代价？</w:t>
      </w:r>
      <w:r>
        <w:t xml:space="preserve"> </w:t>
      </w:r>
      <w:r>
        <w:t xml:space="preserve">本项目将在多个议题、内容判断不完整和平台权限有限的条件下研究这一问题，而不是提出新的推荐算法。</w:t>
      </w:r>
    </w:p>
    <w:bookmarkEnd w:id="25"/>
    <w:bookmarkStart w:id="26" w:name="可行性局限与伦理"/>
    <w:p>
      <w:pPr>
        <w:pStyle w:val="Heading1"/>
        <w:widowControl/>
      </w:pPr>
      <w:r>
        <w:t xml:space="preserve">4. 可行性、局限与伦理</w:t>
      </w:r>
    </w:p>
    <w:p>
      <w:pPr>
        <w:pStyle w:val="FirstParagraph"/>
        <w:widowControl/>
      </w:pPr>
      <w:r>
        <w:t xml:space="preserve">我们已经取得公开短视频内容与互动数据，检查了视频与转录的配对，并完成语义检索和用户响应模型的初步运行检查。这些说明数据入口和基础运行路径可用，不代表内容判断已经准确或仿真已经真实。</w:t>
      </w:r>
    </w:p>
    <w:p>
      <w:pPr>
        <w:pStyle w:val="BodyText"/>
        <w:widowControl/>
      </w:pPr>
      <w:r>
        <w:t xml:space="preserve">试标结果将指导样本选择，以覆盖重要情境并评价错误。我们会复用预训练模型和成熟统计方法。较大模型的推理需要合适算力；若资源不可得或效果不佳，仍可用人工核查的内容分析，并在透明仿真中展示控制逻辑。报告会区分已实现部分与仍停留在设计层面的部分。</w:t>
      </w:r>
    </w:p>
    <w:p>
      <w:pPr>
        <w:pStyle w:val="BodyText"/>
        <w:widowControl/>
      </w:pPr>
      <w:r>
        <w:t xml:space="preserve">主要局限是视频语境不全、个人轨迹稀疏、平台响应未知。负反馈前后的日志变化首先作为关联，不直接解释为因果效果；仿真结论也保留其假设条件。有独立核验标签时，将用它们检查测量错误是否使干预看起来比实际更有效。接触更多观点不证明判断更好，过滤不喜欢的观点还可能进一步缩窄信息流。因此，我们会展示取舍，也不会在证据强弱不同的情况下把相反说法视为同样可信。</w:t>
      </w:r>
    </w:p>
    <w:p>
      <w:pPr>
        <w:pStyle w:val="BodyText"/>
        <w:widowControl/>
      </w:pPr>
      <w:r>
        <w:t xml:space="preserve">核心工作使用公开研究数据与模拟用户。离线实验的调整目标将作为测试情境预先设定，不把它们当作匿名日志中真实用户的意愿。我们将遵守数据使用条款，不识别个人，在共享输出和示例中去除不必要的个人信息。若使用外部 AI 服务，需符合数据允许的用途，并避免发送可识别的个人历史。真人测试属于可选部分；招募前会确认适用的课程或学校要求并取得知情同意。核心研究不需要自动操作真实账号或实施线上平台干预。</w:t>
      </w:r>
    </w:p>
    <w:bookmarkEnd w:id="26"/>
    <w:bookmarkStart w:id="27" w:name="时间安排与成员分工"/>
    <w:p>
      <w:pPr>
        <w:pStyle w:val="Heading1"/>
        <w:widowControl/>
      </w:pPr>
      <w:r>
        <w:t xml:space="preserve">5. 时间安排与成员分工</w:t>
      </w:r>
    </w:p>
    <w:p>
      <w:pPr>
        <w:pStyle w:val="FirstParagraph"/>
        <w:widowControl/>
      </w:pPr>
      <w:r>
        <w:t xml:space="preserve">以下日期依据课程 guideline，最终以 Moodle 公告为准。</w:t>
      </w:r>
    </w:p>
    <w:tbl>
      <w:tblPr>
        <w:tblStyle w:val="SubmissionGrid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728"/>
        <w:gridCol w:w="5976"/>
        <w:gridCol w:w="1757"/>
      </w:tblGrid>
      <w:tr>
        <w:trPr>
          <w:tblHeader w:val="true"/>
          <w:cantSplit/>
          <w:tblHeader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b/>
                <w:sz w:val="20"/>
              </w:rPr>
              <w:t xml:space="preserve">时间（2026 年）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b/>
                <w:sz w:val="20"/>
              </w:rPr>
              <w:t xml:space="preserve">阶段成果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b/>
                <w:sz w:val="20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10 月 4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提交计划，确认问题与职责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Li Yitong；全组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10 月 5–11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选择议题、检查数据、试标并确定评价方法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Fu Yitong、Xu Ruicong、Zhao Dingcheng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10 月 12–18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评价内容理解，形成曝光报告和控制比较初稿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Zhao Dingcheng、Wang Junbo、Li Yitong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10 月 19–24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准备贯通案例和初步仿真，参加期中会议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Xu Ruicong、Li Yitong；全组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10 月 25–31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比较干预及不同假设，在留出议题上评价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Li Yitong、Xu Ruicong、Zhao Dingcheng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11 月 1–8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整理结果和报告初稿；11 月 4 日提交个人进度日志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全组，Wang Junbo 协调整合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11 月 9–15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复核论证与引用，提交报告和个人反思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全组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11 月 16–26 日</w:t>
            </w:r>
          </w:p>
        </w:tc>
        <w:tc>
          <w:tcPr>
            <w:tcW w:type="dxa" w:w="5976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排练，并按课程指定日期展示</w:t>
            </w:r>
          </w:p>
        </w:tc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Wang Junbo；全组</w:t>
            </w:r>
          </w:p>
        </w:tc>
      </w:tr>
    </w:tbl>
    <w:p>
      <w:pPr>
        <w:widowControl/>
      </w:pPr>
    </w:p>
    <w:tbl>
      <w:tblPr>
        <w:tblStyle w:val="SubmissionGrid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757"/>
        <w:gridCol w:w="7704"/>
      </w:tblGrid>
      <w:tr>
        <w:trPr>
          <w:tblHeader w:val="true"/>
          <w:cantSplit/>
          <w:tblHeader/>
        </w:trPr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b/>
                <w:sz w:val="20"/>
              </w:rPr>
              <w:t xml:space="preserve">成员</w:t>
            </w:r>
          </w:p>
        </w:tc>
        <w:tc>
          <w:tcPr>
            <w:tcW w:type="dxa" w:w="7704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b/>
                <w:sz w:val="20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Fu Yitong</w:t>
            </w:r>
          </w:p>
        </w:tc>
        <w:tc>
          <w:tcPr>
            <w:tcW w:type="dxa" w:w="7704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问题定义、文献综合、观点标注与内容判断错误分析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Li Yitong</w:t>
            </w:r>
          </w:p>
        </w:tc>
        <w:tc>
          <w:tcPr>
            <w:tcW w:type="dxa" w:w="7704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技术统筹、约束干预算法、推荐器与用户动态仿真、敏感性实验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Wang Junbo</w:t>
            </w:r>
          </w:p>
        </w:tc>
        <w:tc>
          <w:tcPr>
            <w:tcW w:type="dxa" w:w="7704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用户调整目标、曝光报告与控制流程设计、独立标注和报告编辑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Xu Ruicong</w:t>
            </w:r>
          </w:p>
        </w:tc>
        <w:tc>
          <w:tcPr>
            <w:tcW w:type="dxa" w:w="7704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数据准备、轨迹覆盖、行为建模与模拟用户的统计评价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>Zhao Dingcheng</w:t>
            </w:r>
          </w:p>
        </w:tc>
        <w:tc>
          <w:tcPr>
            <w:tcW w:type="dxa" w:w="7704"/>
          </w:tcPr>
          <w:p>
            <w:pPr>
              <w:pStyle w:val="Compact"/>
              <w:spacing w:after="60" w:before="60" w:line="259" w:lineRule="auto"/>
              <w:jc w:val="left"/>
            </w:pPr>
            <w:r>
              <w:rPr>
                <w:sz w:val="20"/>
              </w:rPr>
              <w:t xml:space="preserve">语义检索、LLM/VLM 内容分析、证据核查与跨议题评价</w:t>
            </w:r>
          </w:p>
        </w:tc>
      </w:tr>
    </w:tbl>
    <w:p>
      <w:pPr>
        <w:pStyle w:val="BodyText"/>
        <w:widowControl/>
      </w:pPr>
      <w:r>
        <w:t xml:space="preserve">Fu Yitong 与 Wang Junbo 将和 Zhao Dingcheng 共同制定标注规范，再独立标注评价样本，并一起复核分歧。每位成员负责撰写自己的实质性章节，并复核另一位成员的工作。每周会议检查已取得的证据、尚缺条件和排期调整。</w:t>
      </w:r>
    </w:p>
    <w:bookmarkEnd w:id="27"/>
    <w:bookmarkStart w:id="48" w:name="参考文献"/>
    <w:p>
      <w:pPr>
        <w:pStyle w:val="Heading1"/>
        <w:widowControl/>
      </w:pPr>
      <w:r>
        <w:t xml:space="preserve">参考文献</w:t>
      </w:r>
    </w:p>
    <w:p>
      <w:pPr>
        <w:pStyle w:val="FirstParagraph"/>
        <w:keepLines/>
        <w:widowControl/>
        <w:spacing w:after="100" w:line="252" w:lineRule="auto"/>
        <w:ind w:left="400" w:hanging="400"/>
      </w:pPr>
      <w:bookmarkStart w:id="28" w:name="ref-1"/>
      <w:r>
        <w:rPr>
          <w:sz w:val="19"/>
        </w:rPr>
        <w:t xml:space="preserve">[1]</w:t>
      </w:r>
      <w:bookmarkEnd w:id="28"/>
      <w:r>
        <w:rPr>
          <w:sz w:val="19"/>
        </w:rPr>
        <w:t xml:space="preserve"> </w:t>
      </w:r>
      <w:r>
        <w:rPr>
          <w:sz w:val="19"/>
        </w:rPr>
        <w:t xml:space="preserve">Milli, S., Carroll, M., Wang, Y., Pandey, S., Zhao, S., &amp; Dragan, A. D. (2024).</w:t>
      </w:r>
      <w:r>
        <w:rPr>
          <w:sz w:val="19"/>
        </w:rPr>
        <w:t xml:space="preserve"> </w:t>
      </w:r>
      <w:hyperlink r:id="rId29">
        <w:r>
          <w:rPr>
            <w:rStyle w:val="Hyperlink"/>
            <w:iCs/>
            <w:i/>
            <w:sz w:val="19"/>
          </w:rPr>
          <w:t xml:space="preserve">Engagement, User Satisfaction, and the Amplification of Divisive Content on Social Media</w:t>
        </w:r>
      </w:hyperlink>
      <w:r>
        <w:rPr>
          <w:sz w:val="19"/>
        </w:rPr>
        <w:t xml:space="preserve">. arXiv:2305.16941, version 6.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30" w:name="ref-2"/>
      <w:r>
        <w:rPr>
          <w:sz w:val="19"/>
        </w:rPr>
        <w:t xml:space="preserve">[2]</w:t>
      </w:r>
      <w:bookmarkEnd w:id="30"/>
      <w:r>
        <w:rPr>
          <w:sz w:val="19"/>
        </w:rPr>
        <w:t xml:space="preserve"> </w:t>
      </w:r>
      <w:r>
        <w:rPr>
          <w:sz w:val="19"/>
        </w:rPr>
        <w:t xml:space="preserve">Vera, J. A., &amp; Ghosh, S. (2025).</w:t>
      </w:r>
      <w:r>
        <w:rPr>
          <w:sz w:val="19"/>
        </w:rPr>
        <w:t xml:space="preserve"> </w:t>
      </w:r>
      <w:hyperlink r:id="rId31">
        <w:r>
          <w:rPr>
            <w:rStyle w:val="Hyperlink"/>
            <w:iCs/>
            <w:i/>
            <w:sz w:val="19"/>
          </w:rPr>
          <w:t xml:space="preserve">“</w:t>
        </w:r>
        <w:r>
          <w:rPr>
            <w:rStyle w:val="Hyperlink"/>
            <w:iCs/>
            <w:i/>
            <w:sz w:val="19"/>
          </w:rPr>
          <w:t xml:space="preserve">They’ve Over-Emphasized That One Search</w:t>
        </w:r>
        <w:r>
          <w:rPr>
            <w:rStyle w:val="Hyperlink"/>
            <w:iCs/>
            <w:i/>
            <w:sz w:val="19"/>
          </w:rPr>
          <w:t xml:space="preserve">”</w:t>
        </w:r>
        <w:r>
          <w:rPr>
            <w:rStyle w:val="Hyperlink"/>
            <w:iCs/>
            <w:i/>
            <w:sz w:val="19"/>
          </w:rPr>
          <w:t xml:space="preserve">: Controlling Unwanted Content on TikTok’s For You Page</w:t>
        </w:r>
      </w:hyperlink>
      <w:r>
        <w:rPr>
          <w:sz w:val="19"/>
        </w:rPr>
        <w:t xml:space="preserve">. arXiv:2504.13895.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32" w:name="ref-3"/>
      <w:r>
        <w:rPr>
          <w:sz w:val="19"/>
        </w:rPr>
        <w:t xml:space="preserve">[3]</w:t>
      </w:r>
      <w:bookmarkEnd w:id="32"/>
      <w:r>
        <w:rPr>
          <w:sz w:val="19"/>
        </w:rPr>
        <w:t xml:space="preserve"> </w:t>
      </w:r>
      <w:r>
        <w:rPr>
          <w:sz w:val="19"/>
        </w:rPr>
        <w:t xml:space="preserve">Pecher, B., et al. (2026).</w:t>
      </w:r>
      <w:r>
        <w:rPr>
          <w:sz w:val="19"/>
        </w:rPr>
        <w:t xml:space="preserve"> </w:t>
      </w:r>
      <w:hyperlink r:id="rId33">
        <w:r>
          <w:rPr>
            <w:rStyle w:val="Hyperlink"/>
            <w:iCs/>
            <w:i/>
            <w:sz w:val="19"/>
          </w:rPr>
          <w:t xml:space="preserve">Algorithmic Audit of Personalisation Drift in Polarising Topics on TikTok</w:t>
        </w:r>
      </w:hyperlink>
      <w:r>
        <w:rPr>
          <w:sz w:val="19"/>
        </w:rPr>
        <w:t xml:space="preserve">. UMAP 2026.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34" w:name="ref-4"/>
      <w:r>
        <w:rPr>
          <w:sz w:val="19"/>
        </w:rPr>
        <w:t xml:space="preserve">[4]</w:t>
      </w:r>
      <w:bookmarkEnd w:id="34"/>
      <w:r>
        <w:rPr>
          <w:sz w:val="19"/>
        </w:rPr>
        <w:t xml:space="preserve"> </w:t>
      </w:r>
      <w:r>
        <w:rPr>
          <w:sz w:val="19"/>
        </w:rPr>
        <w:t xml:space="preserve">Draws, T., et al. (2023).</w:t>
      </w:r>
      <w:r>
        <w:rPr>
          <w:sz w:val="19"/>
        </w:rPr>
        <w:t xml:space="preserve"> </w:t>
      </w:r>
      <w:hyperlink r:id="rId35">
        <w:r>
          <w:rPr>
            <w:rStyle w:val="Hyperlink"/>
            <w:iCs/>
            <w:i/>
            <w:sz w:val="19"/>
          </w:rPr>
          <w:t xml:space="preserve">Viewpoint Diversity in Search Results</w:t>
        </w:r>
      </w:hyperlink>
      <w:r>
        <w:rPr>
          <w:sz w:val="19"/>
        </w:rPr>
        <w:t xml:space="preserve">. ECIR 2023, pp. 279–297.</w:t>
      </w:r>
      <w:r>
        <w:rPr>
          <w:sz w:val="19"/>
        </w:rPr>
        <w:t xml:space="preserve"> </w:t>
      </w:r>
      <w:hyperlink r:id="rId35">
        <w:r>
          <w:rPr>
            <w:rStyle w:val="Hyperlink"/>
            <w:sz w:val="19"/>
          </w:rPr>
          <w:t xml:space="preserve">doi:10.1007/978-3-031-28244-7_18</w:t>
        </w:r>
      </w:hyperlink>
      <w:r>
        <w:rPr>
          <w:sz w:val="19"/>
        </w:rPr>
        <w:t xml:space="preserve">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36" w:name="ref-5"/>
      <w:r>
        <w:rPr>
          <w:sz w:val="19"/>
        </w:rPr>
        <w:t xml:space="preserve">[5]</w:t>
      </w:r>
      <w:bookmarkEnd w:id="36"/>
      <w:r>
        <w:rPr>
          <w:sz w:val="19"/>
        </w:rPr>
        <w:t xml:space="preserve"> </w:t>
      </w:r>
      <w:r>
        <w:rPr>
          <w:sz w:val="19"/>
        </w:rPr>
        <w:t xml:space="preserve">Wang, W., Feng, F., Nie, L., &amp; Chua, T.-S. (2022).</w:t>
      </w:r>
      <w:r>
        <w:rPr>
          <w:sz w:val="19"/>
        </w:rPr>
        <w:t xml:space="preserve"> </w:t>
      </w:r>
      <w:hyperlink r:id="rId37">
        <w:r>
          <w:rPr>
            <w:rStyle w:val="Hyperlink"/>
            <w:iCs/>
            <w:i/>
            <w:sz w:val="19"/>
          </w:rPr>
          <w:t xml:space="preserve">User-Controllable Recommendation Against Filter Bubbles</w:t>
        </w:r>
      </w:hyperlink>
      <w:r>
        <w:rPr>
          <w:sz w:val="19"/>
        </w:rPr>
        <w:t xml:space="preserve">. SIGIR 2022, pp. 1251–1261.</w:t>
      </w:r>
      <w:r>
        <w:rPr>
          <w:sz w:val="19"/>
        </w:rPr>
        <w:t xml:space="preserve"> </w:t>
      </w:r>
      <w:hyperlink r:id="rId37">
        <w:r>
          <w:rPr>
            <w:rStyle w:val="Hyperlink"/>
            <w:sz w:val="19"/>
          </w:rPr>
          <w:t xml:space="preserve">doi:10.1145/3477495.3532075</w:t>
        </w:r>
      </w:hyperlink>
      <w:r>
        <w:rPr>
          <w:sz w:val="19"/>
        </w:rPr>
        <w:t xml:space="preserve">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38" w:name="ref-6"/>
      <w:r>
        <w:rPr>
          <w:sz w:val="19"/>
        </w:rPr>
        <w:t xml:space="preserve">[6]</w:t>
      </w:r>
      <w:bookmarkEnd w:id="38"/>
      <w:r>
        <w:rPr>
          <w:sz w:val="19"/>
        </w:rPr>
        <w:t xml:space="preserve"> </w:t>
      </w:r>
      <w:r>
        <w:rPr>
          <w:sz w:val="19"/>
        </w:rPr>
        <w:t xml:space="preserve">xAI. (2026).</w:t>
      </w:r>
      <w:r>
        <w:rPr>
          <w:sz w:val="19"/>
        </w:rPr>
        <w:t xml:space="preserve"> </w:t>
      </w:r>
      <w:hyperlink r:id="rId39">
        <w:r>
          <w:rPr>
            <w:rStyle w:val="Hyperlink"/>
            <w:iCs/>
            <w:i/>
            <w:sz w:val="19"/>
          </w:rPr>
          <w:t xml:space="preserve">x-algorithm</w:t>
        </w:r>
      </w:hyperlink>
      <w:r>
        <w:rPr>
          <w:sz w:val="19"/>
        </w:rPr>
        <w:t xml:space="preserve"> </w:t>
      </w:r>
      <w:r>
        <w:rPr>
          <w:sz w:val="19"/>
        </w:rPr>
        <w:t xml:space="preserve">[Source code, commit b79b947].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40" w:name="ref-7"/>
      <w:r>
        <w:rPr>
          <w:sz w:val="19"/>
        </w:rPr>
        <w:t xml:space="preserve">[7]</w:t>
      </w:r>
      <w:bookmarkEnd w:id="40"/>
      <w:r>
        <w:rPr>
          <w:sz w:val="19"/>
        </w:rPr>
        <w:t xml:space="preserve"> </w:t>
      </w:r>
      <w:r>
        <w:rPr>
          <w:sz w:val="19"/>
        </w:rPr>
        <w:t xml:space="preserve">Shang, Y., Gao, C., Li, N., &amp; Li, Y. (2025).</w:t>
      </w:r>
      <w:r>
        <w:rPr>
          <w:sz w:val="19"/>
        </w:rPr>
        <w:t xml:space="preserve"> </w:t>
      </w:r>
      <w:hyperlink r:id="rId41">
        <w:r>
          <w:rPr>
            <w:rStyle w:val="Hyperlink"/>
            <w:iCs/>
            <w:i/>
            <w:sz w:val="19"/>
          </w:rPr>
          <w:t xml:space="preserve">A Large-scale Dataset with Behavior, Attributes, and Content of Mobile Short-video Platform</w:t>
        </w:r>
      </w:hyperlink>
      <w:r>
        <w:rPr>
          <w:sz w:val="19"/>
        </w:rPr>
        <w:t xml:space="preserve">. WWW Companion 2025, pp. 793–796.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42" w:name="ref-8"/>
      <w:r>
        <w:rPr>
          <w:sz w:val="19"/>
        </w:rPr>
        <w:t xml:space="preserve">[8]</w:t>
      </w:r>
      <w:bookmarkEnd w:id="42"/>
      <w:r>
        <w:rPr>
          <w:sz w:val="19"/>
        </w:rPr>
        <w:t xml:space="preserve"> </w:t>
      </w:r>
      <w:r>
        <w:rPr>
          <w:sz w:val="19"/>
        </w:rPr>
        <w:t xml:space="preserve">Gao, C., et al. (2022).</w:t>
      </w:r>
      <w:r>
        <w:rPr>
          <w:sz w:val="19"/>
        </w:rPr>
        <w:t xml:space="preserve"> </w:t>
      </w:r>
      <w:hyperlink r:id="rId43">
        <w:r>
          <w:rPr>
            <w:rStyle w:val="Hyperlink"/>
            <w:iCs/>
            <w:i/>
            <w:sz w:val="19"/>
          </w:rPr>
          <w:t xml:space="preserve">KuaiRand: An Unbiased Sequential Recommendation Dataset with Randomly Exposed Videos</w:t>
        </w:r>
      </w:hyperlink>
      <w:r>
        <w:rPr>
          <w:sz w:val="19"/>
        </w:rPr>
        <w:t xml:space="preserve">. CIKM 2022, pp. 3953–3957.</w:t>
      </w:r>
      <w:r>
        <w:rPr>
          <w:sz w:val="19"/>
        </w:rPr>
        <w:t xml:space="preserve"> </w:t>
      </w:r>
      <w:hyperlink r:id="rId43">
        <w:r>
          <w:rPr>
            <w:rStyle w:val="Hyperlink"/>
            <w:sz w:val="19"/>
          </w:rPr>
          <w:t xml:space="preserve">doi:10.1145/3511808.3557624</w:t>
        </w:r>
      </w:hyperlink>
      <w:r>
        <w:rPr>
          <w:sz w:val="19"/>
        </w:rPr>
        <w:t xml:space="preserve">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44" w:name="ref-9"/>
      <w:r>
        <w:rPr>
          <w:sz w:val="19"/>
        </w:rPr>
        <w:t xml:space="preserve">[9]</w:t>
      </w:r>
      <w:bookmarkEnd w:id="44"/>
      <w:r>
        <w:rPr>
          <w:sz w:val="19"/>
        </w:rPr>
        <w:t xml:space="preserve"> </w:t>
      </w:r>
      <w:r>
        <w:rPr>
          <w:sz w:val="19"/>
        </w:rPr>
        <w:t xml:space="preserve">Sukiennik, N., Wang, H., Zeng, Z., Gao, C., &amp; Li, Y. (2025).</w:t>
      </w:r>
      <w:r>
        <w:rPr>
          <w:sz w:val="19"/>
        </w:rPr>
        <w:t xml:space="preserve"> </w:t>
      </w:r>
      <w:hyperlink r:id="rId45">
        <w:r>
          <w:rPr>
            <w:rStyle w:val="Hyperlink"/>
            <w:iCs/>
            <w:i/>
            <w:sz w:val="19"/>
          </w:rPr>
          <w:t xml:space="preserve">SimTok: Simulating Filter Bubble on Short-video Recommender System with Large Language Model Agents</w:t>
        </w:r>
      </w:hyperlink>
      <w:r>
        <w:rPr>
          <w:sz w:val="19"/>
        </w:rPr>
        <w:t xml:space="preserve">. arXiv:2504.08742.</w:t>
      </w:r>
    </w:p>
    <w:p>
      <w:pPr>
        <w:pStyle w:val="BodyText"/>
        <w:keepLines/>
        <w:widowControl/>
        <w:spacing w:after="100" w:line="252" w:lineRule="auto"/>
        <w:ind w:left="400" w:hanging="400"/>
      </w:pPr>
      <w:bookmarkStart w:id="46" w:name="ref-10"/>
      <w:r>
        <w:rPr>
          <w:sz w:val="19"/>
        </w:rPr>
        <w:t xml:space="preserve">[10]</w:t>
      </w:r>
      <w:bookmarkEnd w:id="46"/>
      <w:r>
        <w:rPr>
          <w:sz w:val="19"/>
        </w:rPr>
        <w:t xml:space="preserve"> </w:t>
      </w:r>
      <w:r>
        <w:rPr>
          <w:sz w:val="19"/>
        </w:rPr>
        <w:t xml:space="preserve">Yoon, S., He, Z., Echterhoff, J. M., &amp; McAuley, J. (2024).</w:t>
      </w:r>
      <w:r>
        <w:rPr>
          <w:sz w:val="19"/>
        </w:rPr>
        <w:t xml:space="preserve"> </w:t>
      </w:r>
      <w:hyperlink r:id="rId47">
        <w:r>
          <w:rPr>
            <w:rStyle w:val="Hyperlink"/>
            <w:iCs/>
            <w:i/>
            <w:sz w:val="19"/>
          </w:rPr>
          <w:t xml:space="preserve">Evaluating Large Language Models as Generative User Simulators for Conversational Recommendation</w:t>
        </w:r>
      </w:hyperlink>
      <w:r>
        <w:rPr>
          <w:sz w:val="19"/>
        </w:rPr>
        <w:t xml:space="preserve">. NAACL 2024, pp. 1490–1504.</w:t>
      </w:r>
    </w:p>
    <w:bookmarkEnd w:id="48"/>
    <w:bookmarkEnd w:id="49"/>
    <w:sectPr>
      <w:headerReference w:type="default" r:id="rId9"/>
      <w:footerReference w:type="default" r:id="rId10"/>
      <w:pgSz w:w="11905" w:h="16838"/>
      <w:pgMar w:top="1123" w:bottom="1123" w:left="1224" w:right="1224" w:header="461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F5F5F"/>
        <w:sz w:val="18"/>
      </w:rPr>
      <w:t>COMP1110 | 项目计划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 w:after="120"/>
    </w:pPr>
    <w:rPr>
      <w:rFonts w:ascii="Liberation Serif" w:hAnsi="Liberation Serif" w:eastAsia="Droid Sans Fallback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 w:line="288" w:lineRule="auto"/>
    </w:pPr>
    <w:qFormat/>
    <w:rPr>
      <w:rFonts w:ascii="Liberation Serif" w:hAnsi="Liberation Serif" w:eastAsia="Droid Sans Fallback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 w:after="120"/>
    </w:pPr>
    <w:rPr>
      <w:rFonts w:ascii="Liberation Serif" w:hAnsi="Liberation Serif" w:eastAsia="Droid Sans Fallback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 w:line="288" w:lineRule="auto"/>
    </w:pPr>
    <w:rPr>
      <w:rFonts w:ascii="Liberation Serif" w:hAnsi="Liberation Serif" w:eastAsia="Droid Sans Fallback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erif" w:hAnsi="Liberation Serif" w:eastAsia="Droid Sans Fallback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Theme="majorHAnsi" w:cstheme="majorBidi" w:eastAsiaTheme="majorEastAsia" w:hAnsiTheme="majorHAnsi" w:ascii="Liberation Serif" w:hAnsi="Liberation Serif" w:eastAsia="Droid Sans Fallback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Liberation Serif" w:hAnsi="Liberation Serif" w:eastAsia="Droid Sans Fallback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Liberation Serif" w:hAnsi="Liberation Serif" w:eastAsia="Droid Sans Fallback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4558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table" w:customStyle="1" w:styleId="SubmissionGrid">
    <w:name w:val="Submission Grid"/>
    <w:tblPr>
      <w:tblBorders>
        <w:top w:val="single" w:sz="4" w:color="BBBBBB"/>
        <w:left w:val="single" w:sz="4" w:color="BBBBBB"/>
        <w:bottom w:val="single" w:sz="4" w:color="BBBBBB"/>
        <w:right w:val="single" w:sz="4" w:color="BBBBBB"/>
        <w:insideH w:val="single" w:sz="4" w:color="BBBBBB"/>
        <w:insideV w:val="single" w:sz="4" w:color="BBBBBB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7" Type="http://schemas.openxmlformats.org/officeDocument/2006/relationships/hyperlink" Target="https://aclanthology.org/2024.naacl-long.83/" TargetMode="External"/><Relationship Id="rId29" Type="http://schemas.openxmlformats.org/officeDocument/2006/relationships/hyperlink" Target="https://arxiv.org/abs/2305.16941v6" TargetMode="External"/><Relationship Id="rId41" Type="http://schemas.openxmlformats.org/officeDocument/2006/relationships/hyperlink" Target="https://arxiv.org/abs/2502.05922" TargetMode="External"/><Relationship Id="rId45" Type="http://schemas.openxmlformats.org/officeDocument/2006/relationships/hyperlink" Target="https://arxiv.org/abs/2504.08742" TargetMode="External"/><Relationship Id="rId31" Type="http://schemas.openxmlformats.org/officeDocument/2006/relationships/hyperlink" Target="https://arxiv.org/abs/2504.13895" TargetMode="External"/><Relationship Id="rId33" Type="http://schemas.openxmlformats.org/officeDocument/2006/relationships/hyperlink" Target="https://arxiv.org/abs/2603.20723" TargetMode="External"/><Relationship Id="rId35" Type="http://schemas.openxmlformats.org/officeDocument/2006/relationships/hyperlink" Target="https://doi.org/10.1007/978-3-031-28244-7_18" TargetMode="External"/><Relationship Id="rId37" Type="http://schemas.openxmlformats.org/officeDocument/2006/relationships/hyperlink" Target="https://doi.org/10.1145/3477495.3532075" TargetMode="External"/><Relationship Id="rId43" Type="http://schemas.openxmlformats.org/officeDocument/2006/relationships/hyperlink" Target="https://doi.org/10.1145/3511808.3557624" TargetMode="External"/><Relationship Id="rId39" Type="http://schemas.openxmlformats.org/officeDocument/2006/relationships/hyperlink" Target="https://github.com/xai-org/x-algorithm/tree/b79b947ce9283c786822274ef8fe208c33c585b2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aclanthology.org/2024.naacl-long.83/" TargetMode="External"/><Relationship Id="rId29" Type="http://schemas.openxmlformats.org/officeDocument/2006/relationships/hyperlink" Target="https://arxiv.org/abs/2305.16941v6" TargetMode="External"/><Relationship Id="rId41" Type="http://schemas.openxmlformats.org/officeDocument/2006/relationships/hyperlink" Target="https://arxiv.org/abs/2502.05922" TargetMode="External"/><Relationship Id="rId45" Type="http://schemas.openxmlformats.org/officeDocument/2006/relationships/hyperlink" Target="https://arxiv.org/abs/2504.08742" TargetMode="External"/><Relationship Id="rId31" Type="http://schemas.openxmlformats.org/officeDocument/2006/relationships/hyperlink" Target="https://arxiv.org/abs/2504.13895" TargetMode="External"/><Relationship Id="rId33" Type="http://schemas.openxmlformats.org/officeDocument/2006/relationships/hyperlink" Target="https://arxiv.org/abs/2603.20723" TargetMode="External"/><Relationship Id="rId35" Type="http://schemas.openxmlformats.org/officeDocument/2006/relationships/hyperlink" Target="https://doi.org/10.1007/978-3-031-28244-7_18" TargetMode="External"/><Relationship Id="rId37" Type="http://schemas.openxmlformats.org/officeDocument/2006/relationships/hyperlink" Target="https://doi.org/10.1145/3477495.3532075" TargetMode="External"/><Relationship Id="rId43" Type="http://schemas.openxmlformats.org/officeDocument/2006/relationships/hyperlink" Target="https://doi.org/10.1145/3511808.3557624" TargetMode="External"/><Relationship Id="rId39" Type="http://schemas.openxmlformats.org/officeDocument/2006/relationships/hyperlink" Target="https://github.com/xai-org/x-algorithm/tree/b79b947ce9283c786822274ef8fe208c33c585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保留话题，拓宽视角</dc:title>
  <dc:creator>COMP1110 Project Team</dc:creator>
  <cp:keywords/>
  <dcterms:created xsi:type="dcterms:W3CDTF">2026-10-04T03:54:59Z</dcterms:created>
  <dcterms:modified xsi:type="dcterms:W3CDTF">2026-10-04T03:54:59Z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