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保留话题拓宽视角"/>
    <w:p>
      <w:pPr>
        <w:pStyle w:val="Title"/>
        <w:keepNext/>
        <w:widowControl/>
        <w:spacing w:before="0" w:after="160"/>
      </w:pPr>
      <w:r>
        <w:t xml:space="preserve">保留话题，拓宽视角</w:t>
      </w:r>
    </w:p>
    <w:p>
      <w:pPr>
        <w:pStyle w:val="FirstParagraph"/>
        <w:keepNext/>
        <w:widowControl/>
        <w:spacing w:after="240"/>
      </w:pPr>
      <w:r>
        <w:rPr>
          <w:b w:val="0"/>
          <w:color w:val="4B4B4B"/>
          <w:sz w:val="24"/>
        </w:rPr>
        <w:t xml:space="preserve">理解短视频信息茧房，支持用户主动调整信息流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</w:tblPr>
      <w:tblGrid>
        <w:gridCol w:w="1886"/>
        <w:gridCol w:w="1886"/>
        <w:gridCol w:w="1886"/>
        <w:gridCol w:w="1886"/>
        <w:gridCol w:w="1886"/>
      </w:tblGrid>
      <w:tr>
        <w:trPr>
          <w:tblHeader w:val="true"/>
        </w:trPr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Fu Yitong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Li Yitong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Wang Junbo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Xu Ruicong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Zhao Dingcheng</w:t>
            </w:r>
          </w:p>
        </w:tc>
      </w:tr>
      <w:tr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3036482371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3036289377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3036482682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3036291100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3036292283</w:t>
            </w:r>
          </w:p>
        </w:tc>
      </w:tr>
    </w:tbl>
    <w:bookmarkStart w:id="20" w:name="问题与方案概念"/>
    <w:p>
      <w:pPr>
        <w:pStyle w:val="Heading1"/>
        <w:widowControl/>
      </w:pPr>
      <w:r>
        <w:t xml:space="preserve">1. 问题与方案概念</w:t>
      </w:r>
    </w:p>
    <w:p>
      <w:pPr>
        <w:pStyle w:val="FirstParagraph"/>
        <w:widowControl/>
      </w:pPr>
      <w:r>
        <w:t xml:space="preserve">一个经常看育儿视频的人，可能反复听到“只有严格管教才能培养出优秀孩子”。他的信息流里仍有美食、音乐和旅行，按内容类别统计，看起来并不单一。但在育儿这个议题内，同一种解释可能长期占据主导。他希望少看武断的概括，同时继续了解管教方法，而“不感兴趣”按钮很难表达这种区别。</w:t>
      </w:r>
    </w:p>
    <w:p>
      <w:pPr>
        <w:pStyle w:val="BodyText"/>
        <w:widowControl/>
      </w:pPr>
      <w:r>
        <w:t xml:space="preserve">本项目的问题是：</w:t>
      </w:r>
      <w:r>
        <w:rPr>
          <w:bCs/>
          <w:b/>
        </w:rPr>
        <w:t xml:space="preserve">短视频用户如何发现日常议题中持续存在的观点与理由的局限，并在保留所需信息的前提下调整自己的曝光？</w:t>
      </w:r>
    </w:p>
    <w:p>
      <w:pPr>
        <w:pStyle w:val="BodyText"/>
        <w:widowControl/>
      </w:pPr>
      <w:r>
        <w:t xml:space="preserve">我们关注中文短视频中的</w:t>
      </w:r>
      <w:r>
        <w:rPr>
          <w:bCs/>
          <w:b/>
        </w:rPr>
        <w:t xml:space="preserve">信息茧房风险</w:t>
      </w:r>
      <w:r>
        <w:t xml:space="preserve">：在育儿、婚恋和职业选择等议题内，推荐与用户反馈可能反复强化有限的观点和理由。英文采用</w:t>
      </w:r>
      <w:r>
        <w:t xml:space="preserve"> </w:t>
      </w:r>
      <w:r>
        <w:rPr>
          <w:bCs/>
          <w:b/>
        </w:rPr>
        <w:t xml:space="preserve">filter bubbles</w:t>
      </w:r>
      <w:r>
        <w:t xml:space="preserve">，突出个性化推荐这一情境；</w:t>
      </w:r>
      <w:r>
        <w:rPr>
          <w:bCs/>
          <w:b/>
        </w:rPr>
        <w:t xml:space="preserve">观点曝光</w:t>
      </w:r>
      <w:r>
        <w:t xml:space="preserve">是具体测量对象，不等于已经证明算法因果或危害。兴趣集中不一定有害，也不应强行平衡正反方。真正值得关注的是用户未察觉、或难以按自身意愿改变的选择性呈现。</w:t>
      </w:r>
    </w:p>
    <w:p>
      <w:pPr>
        <w:pStyle w:val="BodyText"/>
        <w:widowControl/>
      </w:pPr>
      <w:r>
        <w:t xml:space="preserve">方案包括三个部分。首先，用</w:t>
      </w:r>
      <w:r>
        <w:rPr>
          <w:bCs/>
          <w:b/>
        </w:rPr>
        <w:t xml:space="preserve">曝光报告</w:t>
      </w:r>
      <w:r>
        <w:t xml:space="preserve">展示反复出现的主张、理由与来源，并提供可回看的例子。其次，通过</w:t>
      </w:r>
      <w:r>
        <w:rPr>
          <w:bCs/>
          <w:b/>
        </w:rPr>
        <w:t xml:space="preserve">目标确认</w:t>
      </w:r>
      <w:r>
        <w:t xml:space="preserve">明确用户想减少、保留或进一步了解什么。最后，</w:t>
      </w:r>
      <w:r>
        <w:rPr>
          <w:bCs/>
          <w:b/>
        </w:rPr>
        <w:t xml:space="preserve">比较并复查调整办法</w:t>
      </w:r>
      <w:r>
        <w:t xml:space="preserve">，分析它们能否达到目标，以及需要多少持续操作。例如，用户可以要求减少“严格管教是唯一有效办法”的表达，同时保留具体建议和不同做法的解释。</w:t>
      </w:r>
    </w:p>
    <w:p>
      <w:pPr>
        <w:pStyle w:val="BodyText"/>
        <w:widowControl/>
      </w:pPr>
      <w:r>
        <w:t xml:space="preserve">我们将在至少两个议题上共同开发方法，再用一个未参与开发的议题评价适用性。主要成果是带证据的报告设计、干预策略比较和动态仿真；条件允许时用小型工具演示，不要求完成一个 app。研究重点是曝光与控制，不直接测量用户信念或生活质量的改变。</w:t>
      </w:r>
    </w:p>
    <w:bookmarkEnd w:id="20"/>
    <w:bookmarkStart w:id="25" w:name="computing-与-data-science-方法"/>
    <w:p>
      <w:pPr>
        <w:pStyle w:val="Heading1"/>
        <w:widowControl/>
      </w:pPr>
      <w:r>
        <w:t xml:space="preserve">2. Computing 与 data science 方法</w:t>
      </w:r>
    </w:p>
    <w:p>
      <w:pPr>
        <w:pStyle w:val="FirstParagraph"/>
        <w:widowControl/>
      </w:pPr>
      <w:r>
        <w:t xml:space="preserve">本项目属于</w:t>
      </w:r>
      <w:r>
        <w:rPr>
          <w:bCs/>
          <w:b/>
        </w:rPr>
        <w:t xml:space="preserve">数据分析、算法设计与仿真建模相结合的 hybrid project</w:t>
      </w:r>
      <w:r>
        <w:t xml:space="preserve">。技术重点是：在保留有用信息的约束下选择调整办法，再分析它们在“推荐—反馈”循环中的效果。已有方法适用时直接采用，不要求发明新算法。</w:t>
      </w:r>
    </w:p>
    <w:bookmarkStart w:id="21" w:name="理解内容"/>
    <w:p>
      <w:pPr>
        <w:pStyle w:val="Heading2"/>
        <w:widowControl/>
      </w:pPr>
      <w:r>
        <w:t xml:space="preserve">理解内容</w:t>
      </w:r>
    </w:p>
    <w:p>
      <w:pPr>
        <w:pStyle w:val="FirstParagraph"/>
        <w:widowControl/>
      </w:pPr>
      <w:r>
        <w:t xml:space="preserve">先用关键词和语义检索寻找相关视频，再识别具体命题、发言者立场、理由和视频中可见的依据。大语言模型（LLM）可分析标题与转录；涉及对话、字幕或画面语境时，视觉语言模型（VLM）可结合片段与画面进行判断。剧情角色的一句台词不能直接算作作者的观点。</w:t>
      </w:r>
    </w:p>
    <w:p>
      <w:pPr>
        <w:pStyle w:val="BodyText"/>
        <w:widowControl/>
      </w:pPr>
      <w:r>
        <w:t xml:space="preserve">模型输出须附依据片段，并允许回答“无法判断”。两名成员将独立标注评价样本，处理或保留分歧，再检查模型错误。通过比较标题、加入转录和加入音画三种输入，判断额外语境何时有帮助。检索也需要评价，包括初次搜索遗漏的相关内容。</w:t>
      </w:r>
    </w:p>
    <w:bookmarkEnd w:id="21"/>
    <w:bookmarkStart w:id="22" w:name="描述曝光"/>
    <w:p>
      <w:pPr>
        <w:pStyle w:val="Heading2"/>
        <w:widowControl/>
      </w:pPr>
      <w:r>
        <w:t xml:space="preserve">描述曝光</w:t>
      </w:r>
    </w:p>
    <w:p>
      <w:pPr>
        <w:pStyle w:val="FirstParagraph"/>
        <w:widowControl/>
      </w:pPr>
      <w:r>
        <w:t xml:space="preserve">针对具体议题，统计立场分布、重复理由、同一来源材料的反复出现及时间变化。参照可以是用户过去的信息流，也可以是有出处的相关论据集合，但两者都不自动代表“正确分布”。报告会展示缺失材料和不确定标签，不把所有现象压成一个信息茧房分数。</w:t>
      </w:r>
    </w:p>
    <w:p>
      <w:pPr>
        <w:pStyle w:val="BodyText"/>
        <w:widowControl/>
      </w:pPr>
      <w:r>
        <w:t xml:space="preserve">这里必须区分内容集合与个人曝光记录。只有日志中存在足够相关观察时，才生成个人时序报告；否则说明覆盖不足，并用明确标注的构造序列检验报告方法。</w:t>
      </w:r>
    </w:p>
    <w:bookmarkEnd w:id="22"/>
    <w:bookmarkStart w:id="23" w:name="比较调整办法"/>
    <w:p>
      <w:pPr>
        <w:pStyle w:val="Heading2"/>
        <w:widowControl/>
      </w:pPr>
      <w:r>
        <w:t xml:space="preserve">比较调整办法</w:t>
      </w:r>
    </w:p>
    <w:p>
      <w:pPr>
        <w:pStyle w:val="FirstParagraph"/>
        <w:widowControl/>
      </w:pPr>
      <w:r>
        <w:t xml:space="preserve">控制环节的输入是用户确认的“减少什么、保留什么、补充什么”及允许采取的操作。我们将比较不干预、整话题过滤、针对性负反馈、选择性过滤与有来源的信息补充，以及主动搜索或关注。比较时会区分平台自带操作与拟议外部工具提供的过滤、信息补充功能。</w:t>
      </w:r>
    </w:p>
    <w:p>
      <w:pPr>
        <w:pStyle w:val="BodyText"/>
        <w:widowControl/>
      </w:pPr>
      <w:r>
        <w:t xml:space="preserve">采用简单的约束选择方法：先排除会删去过多所需信息的策略，再比较剩余方案中的不希望看到的曝光量、信息保留、新增理由和操作负担。语义相似度可以帮助检索，但不能单独判断材料是否提供了新的理由。LLM 助手可澄清需求、调用搜索和分析工具，具体统计与约束判断仍由可复查的程序完成。</w:t>
      </w:r>
    </w:p>
    <w:bookmarkEnd w:id="23"/>
    <w:bookmarkStart w:id="24" w:name="检验动态反馈"/>
    <w:p>
      <w:pPr>
        <w:pStyle w:val="Heading2"/>
        <w:widowControl/>
      </w:pPr>
      <w:r>
        <w:t xml:space="preserve">检验动态反馈</w:t>
      </w:r>
    </w:p>
    <w:p>
      <w:pPr>
        <w:pStyle w:val="FirstParagraph"/>
        <w:widowControl/>
      </w:pPr>
      <w:r>
        <w:t xml:space="preserve">仿真分别表示内容池、推荐器、用户和干预策略。每一步中，推荐器选择内容，用户作出反应，平台更新行为历史，再产生下一轮推荐。用户容易停留观看的内容，与他希望调整后的信息流，分别建模。</w:t>
      </w:r>
    </w:p>
    <w:p>
      <w:pPr>
        <w:pStyle w:val="BodyText"/>
        <w:widowControl/>
      </w:pPr>
      <w:r>
        <w:t xml:space="preserve">我们将比较透明的规则用户、数据驱动用户和 LLM 用户。一个值得检验的方案是：用模型理解内容含义，再结合统计模型预测可观察行为。有配对内容与日志时，先用留出的真实记录检验行为预测；能说出合理理由，不等于行为真实。如果更复杂的用户模型缺乏依据，仍保留简单仿真来分析机制。</w:t>
      </w:r>
    </w:p>
    <w:p>
      <w:pPr>
        <w:pStyle w:val="BodyText"/>
        <w:widowControl/>
      </w:pPr>
      <w:r>
        <w:t xml:space="preserve">实验将比较持续干预与停止干预，并改变推荐记忆、探索和负反馈响应等假设。记录目标是否达到、所需曝光步数、有用信息损失、操作次数，以及不希望看到的模式是否再次出现。通过重复运行检验结论对模型假设的敏感性；仿真不代表真实平台的完整复刻。</w:t>
      </w:r>
    </w:p>
    <w:bookmarkEnd w:id="24"/>
    <w:bookmarkEnd w:id="25"/>
    <w:bookmarkStart w:id="26" w:name="相关研究与本项目的切入点"/>
    <w:p>
      <w:pPr>
        <w:pStyle w:val="Heading1"/>
        <w:widowControl/>
      </w:pPr>
      <w:r>
        <w:t xml:space="preserve">3. 相关研究与本项目的切入点</w:t>
      </w:r>
    </w:p>
    <w:p>
      <w:pPr>
        <w:pStyle w:val="FirstParagraph"/>
        <w:widowControl/>
      </w:pPr>
      <w:r>
        <w:rPr>
          <w:bCs/>
          <w:b/>
        </w:rPr>
        <w:t xml:space="preserve">参与行为与用户意愿可能不一致。</w:t>
      </w:r>
      <w:r>
        <w:t xml:space="preserve"> </w:t>
      </w:r>
      <w:r>
        <w:t xml:space="preserve">Milli 等</w:t>
      </w:r>
      <w:r>
        <w:t xml:space="preserve"> </w:t>
      </w:r>
      <w:hyperlink w:anchor="ref-1">
        <w:r>
          <w:rPr>
            <w:rStyle w:val="Hyperlink"/>
          </w:rPr>
          <w:t xml:space="preserve">[1]</w:t>
        </w:r>
      </w:hyperlink>
      <w:r>
        <w:t xml:space="preserve"> </w:t>
      </w:r>
      <w:r>
        <w:t xml:space="preserve">在 Twitter 政治内容研究中发现，按参与度排序与用户自述偏好并不一致；按自述偏好排序又可能强化与自身立场一致的内容。这说明需要区分“吸引注意”与“用户想要”，也不能把用户控制当成自动有效的解决办法。Vera 和 Ghosh</w:t>
      </w:r>
      <w:r>
        <w:t xml:space="preserve"> </w:t>
      </w:r>
      <w:hyperlink w:anchor="ref-2">
        <w:r>
          <w:rPr>
            <w:rStyle w:val="Hyperlink"/>
          </w:rPr>
          <w:t xml:space="preserve">[2]</w:t>
        </w:r>
      </w:hyperlink>
      <w:r>
        <w:t xml:space="preserve"> </w:t>
      </w:r>
      <w:r>
        <w:t xml:space="preserve">通过对 14 位 TikTok 用户的访谈，记录了不想要的推荐及清除这些内容的尝试，为本项目的生活情境提供依据，但不能据此推断中国用户的发生率。</w:t>
      </w:r>
    </w:p>
    <w:p>
      <w:pPr>
        <w:pStyle w:val="BodyText"/>
        <w:widowControl/>
      </w:pPr>
      <w:r>
        <w:rPr>
          <w:bCs/>
          <w:b/>
        </w:rPr>
        <w:t xml:space="preserve">观点分析需要超出类别统计。</w:t>
      </w:r>
      <w:r>
        <w:t xml:space="preserve"> </w:t>
      </w:r>
      <w:r>
        <w:t xml:space="preserve">Pecher 等</w:t>
      </w:r>
      <w:r>
        <w:t xml:space="preserve"> </w:t>
      </w:r>
      <w:hyperlink w:anchor="ref-3">
        <w:r>
          <w:rPr>
            <w:rStyle w:val="Hyperlink"/>
          </w:rPr>
          <w:t xml:space="preserve">[3]</w:t>
        </w:r>
      </w:hyperlink>
      <w:r>
        <w:t xml:space="preserve"> </w:t>
      </w:r>
      <w:r>
        <w:t xml:space="preserve">的 TikTok 审计区分了话题变化与立场变化，因此“研究同一话题里的观点”本身并不是空白。Draws 等</w:t>
      </w:r>
      <w:r>
        <w:t xml:space="preserve"> </w:t>
      </w:r>
      <w:hyperlink w:anchor="ref-4">
        <w:r>
          <w:rPr>
            <w:rStyle w:val="Hyperlink"/>
          </w:rPr>
          <w:t xml:space="preserve">[4]</w:t>
        </w:r>
      </w:hyperlink>
      <w:r>
        <w:t xml:space="preserve"> </w:t>
      </w:r>
      <w:r>
        <w:t xml:space="preserve">在搜索结果研究中从立场和背后的论证逻辑理解观点多样性。我们借用这种区分，并面对短视频中的角色、语境缺失和重复故事等判断困难。</w:t>
      </w:r>
    </w:p>
    <w:p>
      <w:pPr>
        <w:pStyle w:val="BodyText"/>
        <w:widowControl/>
      </w:pPr>
      <w:r>
        <w:rPr>
          <w:bCs/>
          <w:b/>
        </w:rPr>
        <w:t xml:space="preserve">用户控制已有成熟方法。</w:t>
      </w:r>
      <w:r>
        <w:t xml:space="preserve"> </w:t>
      </w:r>
      <w:r>
        <w:t xml:space="preserve">Wang 等的 UCRS</w:t>
      </w:r>
      <w:r>
        <w:t xml:space="preserve"> </w:t>
      </w:r>
      <w:hyperlink w:anchor="ref-5">
        <w:r>
          <w:rPr>
            <w:rStyle w:val="Hyperlink"/>
          </w:rPr>
          <w:t xml:space="preserve">[5]</w:t>
        </w:r>
      </w:hyperlink>
      <w:r>
        <w:t xml:space="preserve"> </w:t>
      </w:r>
      <w:r>
        <w:t xml:space="preserve">允许用户通过特征层面的控制影响推荐。本项目面对的是用户通常无法修改平台模型的情况：如何表达“继续了解这个议题，但调整某类表达或补充某种理由”，再通过手边的操作实现？X 的公开推荐代码</w:t>
      </w:r>
      <w:r>
        <w:t xml:space="preserve"> </w:t>
      </w:r>
      <w:hyperlink w:anchor="ref-6">
        <w:r>
          <w:rPr>
            <w:rStyle w:val="Hyperlink"/>
          </w:rPr>
          <w:t xml:space="preserve">[6]</w:t>
        </w:r>
      </w:hyperlink>
      <w:r>
        <w:t xml:space="preserve"> </w:t>
      </w:r>
      <w:r>
        <w:t xml:space="preserve">提供了可检查的过滤和评分机制，但不能证明中国短视频平台采用相同规则。</w:t>
      </w:r>
    </w:p>
    <w:p>
      <w:pPr>
        <w:pStyle w:val="BodyText"/>
        <w:widowControl/>
      </w:pPr>
      <w:r>
        <w:rPr>
          <w:bCs/>
          <w:b/>
        </w:rPr>
        <w:t xml:space="preserve">公开数据与仿真支持部分验证。</w:t>
      </w:r>
      <w:r>
        <w:t xml:space="preserve"> </w:t>
      </w:r>
      <w:r>
        <w:t xml:space="preserve">Shang 等发布的 ShortVideo 数据集</w:t>
      </w:r>
      <w:r>
        <w:t xml:space="preserve"> </w:t>
      </w:r>
      <w:hyperlink w:anchor="ref-7">
        <w:r>
          <w:rPr>
            <w:rStyle w:val="Hyperlink"/>
          </w:rPr>
          <w:t xml:space="preserve">[7]</w:t>
        </w:r>
      </w:hyperlink>
      <w:r>
        <w:t xml:space="preserve"> </w:t>
      </w:r>
      <w:r>
        <w:t xml:space="preserve">将内容与行为联系起来；KuaiRand</w:t>
      </w:r>
      <w:r>
        <w:t xml:space="preserve"> </w:t>
      </w:r>
      <w:hyperlink w:anchor="ref-8">
        <w:r>
          <w:rPr>
            <w:rStyle w:val="Hyperlink"/>
          </w:rPr>
          <w:t xml:space="preserve">[8]</w:t>
        </w:r>
      </w:hyperlink>
      <w:r>
        <w:t xml:space="preserve"> </w:t>
      </w:r>
      <w:r>
        <w:t xml:space="preserve">提供时序互动和随机曝光视频，可用于内容分析及行为检验，但都没有记录用户经过思考后确认的调整目标。SimTok</w:t>
      </w:r>
      <w:r>
        <w:t xml:space="preserve"> </w:t>
      </w:r>
      <w:hyperlink w:anchor="ref-9">
        <w:r>
          <w:rPr>
            <w:rStyle w:val="Hyperlink"/>
          </w:rPr>
          <w:t xml:space="preserve">[9]</w:t>
        </w:r>
      </w:hyperlink>
      <w:r>
        <w:t xml:space="preserve"> </w:t>
      </w:r>
      <w:r>
        <w:t xml:space="preserve">展示了由 LLM 用户读取视频文本描述、与推荐器反复互动的模拟方法。Yoon 等</w:t>
      </w:r>
      <w:r>
        <w:t xml:space="preserve"> </w:t>
      </w:r>
      <w:hyperlink w:anchor="ref-10">
        <w:r>
          <w:rPr>
            <w:rStyle w:val="Hyperlink"/>
          </w:rPr>
          <w:t xml:space="preserve">[10]</w:t>
        </w:r>
      </w:hyperlink>
      <w:r>
        <w:t xml:space="preserve"> </w:t>
      </w:r>
      <w:r>
        <w:t xml:space="preserve">则说明，模拟偏好和反馈需要独立对照真人数据。因此，我们会把用户模型是否可信与干预是否有效分开评价。</w:t>
      </w:r>
    </w:p>
    <w:p>
      <w:pPr>
        <w:pStyle w:val="BodyText"/>
        <w:widowControl/>
      </w:pPr>
      <w:r>
        <w:t xml:space="preserve">这些研究为我们留下了一个具体问题：</w:t>
      </w:r>
      <w:r>
        <w:rPr>
          <w:bCs/>
          <w:b/>
        </w:rPr>
        <w:t xml:space="preserve">能否从用户侧识别生活议题中反复出现的理由，把具体调整目标转化为可用操作，并比较信息损失和持续维护的代价？</w:t>
      </w:r>
      <w:r>
        <w:t xml:space="preserve"> </w:t>
      </w:r>
      <w:r>
        <w:t xml:space="preserve">本项目将在多个议题、内容判断不完整和平台权限有限的条件下研究这一问题，而不是提出新的推荐算法。</w:t>
      </w:r>
    </w:p>
    <w:bookmarkEnd w:id="26"/>
    <w:bookmarkStart w:id="27" w:name="可行性局限与伦理"/>
    <w:p>
      <w:pPr>
        <w:pStyle w:val="Heading1"/>
        <w:widowControl/>
      </w:pPr>
      <w:r>
        <w:t xml:space="preserve">4. 可行性、局限与伦理</w:t>
      </w:r>
    </w:p>
    <w:p>
      <w:pPr>
        <w:pStyle w:val="FirstParagraph"/>
        <w:widowControl/>
      </w:pPr>
      <w:r>
        <w:t xml:space="preserve">我们已经取得公开短视频内容与互动数据，检查了视频与转录的配对，并完成语义检索和用户响应模型的初步运行检查。这些说明数据入口和基础运行路径可用，不代表内容判断已经准确或仿真已经真实。</w:t>
      </w:r>
    </w:p>
    <w:p>
      <w:pPr>
        <w:pStyle w:val="BodyText"/>
        <w:widowControl/>
      </w:pPr>
      <w:r>
        <w:t xml:space="preserve">试标结果将指导样本选择，以覆盖重要情境并评价错误。我们会复用预训练模型和成熟统计方法。较大模型的推理需要合适算力；若资源不可得或效果不佳，仍可用人工核查的内容分析，并在透明仿真中展示控制逻辑。报告会区分已实现部分与仍停留在设计层面的部分。</w:t>
      </w:r>
    </w:p>
    <w:p>
      <w:pPr>
        <w:pStyle w:val="BodyText"/>
        <w:widowControl/>
      </w:pPr>
      <w:r>
        <w:t xml:space="preserve">主要局限是视频语境不全、个人轨迹稀疏、平台响应未知。负反馈前后的日志变化首先作为关联，不直接解释为因果效果；仿真结论也保留其假设条件。接触更多观点不证明判断更好，过滤不喜欢的观点还可能进一步缩窄信息流。因此，我们会展示取舍，也不会在证据强弱不同的情况下把相反说法视为同样可信。</w:t>
      </w:r>
    </w:p>
    <w:p>
      <w:pPr>
        <w:pStyle w:val="BodyText"/>
        <w:widowControl/>
      </w:pPr>
      <w:r>
        <w:t xml:space="preserve">核心工作使用公开研究数据与模拟用户。离线实验的调整目标将作为测试情境预先设定，不把它们当作匿名日志中真实用户的意愿。我们将遵守数据使用条款，不识别个人，在共享输出和示例中去除不必要的个人信息。若使用外部 AI 服务，需符合数据允许的用途，并避免发送可识别的个人历史。真人测试属于可选部分；招募前会确认适用的课程或学校要求并取得知情同意。核心研究不需要自动操作真实账号或实施线上平台干预。</w:t>
      </w:r>
    </w:p>
    <w:bookmarkEnd w:id="27"/>
    <w:bookmarkStart w:id="28" w:name="时间安排与成员分工"/>
    <w:p>
      <w:pPr>
        <w:pStyle w:val="Heading1"/>
        <w:widowControl/>
      </w:pPr>
      <w:r>
        <w:t xml:space="preserve">5. 时间安排与成员分工</w:t>
      </w:r>
    </w:p>
    <w:p>
      <w:pPr>
        <w:pStyle w:val="FirstParagraph"/>
        <w:widowControl/>
      </w:pPr>
      <w:r>
        <w:t xml:space="preserve">以下日期依据课程 guideline，最终以 Moodle 公告为准。</w:t>
      </w:r>
    </w:p>
    <w:tbl>
      <w:tblPr>
        <w:tblStyle w:val="SubmissionGrid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728"/>
        <w:gridCol w:w="5976"/>
        <w:gridCol w:w="1757"/>
      </w:tblGrid>
      <w:tr>
        <w:trPr>
          <w:tblHeader w:val="true"/>
          <w:cantSplit/>
          <w:tblHeader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时间（2026 年）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阶段成果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负责人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4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提交计划，确认问题与职责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Li Yitong；全组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5–11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选择议题、检查数据、试标并确定评价方法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Fu Yitong、Xu Ruicong、Zhao Dingcheng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12–18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评价内容理解，形成曝光报告和控制比较初稿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Zhao Dingcheng、Wang Junbo、Li Yitong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19–24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准备贯通案例和初步仿真，参加期中会议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Xu Ruicong、Li Yitong；全组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10 月 25–31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比较干预及不同假设，在留出议题上评价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Li Yitong、Xu Ruicong、Zhao Dingcheng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11 月 1–8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整理结果和报告初稿；11 月 4 日提交个人进度日志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全组，Wang Junbo 协调整合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11 月 9–15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复核论证与引用，提交报告和个人反思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全组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11 月 16–26 日</w:t>
            </w:r>
          </w:p>
        </w:tc>
        <w:tc>
          <w:tcPr>
            <w:tcW w:type="dxa" w:w="5976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排练，并按课程指定日期展示</w:t>
            </w:r>
          </w:p>
        </w:tc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Wang Junbo；全组</w:t>
            </w:r>
          </w:p>
        </w:tc>
      </w:tr>
    </w:tbl>
    <w:p>
      <w:pPr>
        <w:widowControl/>
      </w:pPr>
    </w:p>
    <w:tbl>
      <w:tblPr>
        <w:tblStyle w:val="SubmissionGrid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757"/>
        <w:gridCol w:w="7704"/>
      </w:tblGrid>
      <w:tr>
        <w:trPr>
          <w:tblHeader w:val="true"/>
          <w:cantSplit/>
          <w:tblHeader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成员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b/>
                <w:sz w:val="20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Fu Yitong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问题定义、文献综合、观点标注与内容判断错误分析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Li Yitong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技术统筹、约束干预算法、推荐器与用户动态仿真、敏感性实验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Wang Junbo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用户调整目标、曝光报告与控制流程设计、独立标注和报告编辑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Xu Ruicong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数据准备、轨迹覆盖、行为建模与模拟用户的统计评价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>Zhao Dingcheng</w:t>
            </w:r>
          </w:p>
        </w:tc>
        <w:tc>
          <w:tcPr>
            <w:tcW w:type="dxa" w:w="7704"/>
          </w:tcPr>
          <w:p>
            <w:pPr>
              <w:pStyle w:val="Compact"/>
              <w:spacing w:after="60" w:before="60" w:line="259" w:lineRule="auto"/>
              <w:jc w:val="left"/>
            </w:pPr>
            <w:r>
              <w:rPr>
                <w:sz w:val="20"/>
              </w:rPr>
              <w:t xml:space="preserve">语义检索、LLM/VLM 内容分析、证据核查与跨议题评价</w:t>
            </w:r>
          </w:p>
        </w:tc>
      </w:tr>
    </w:tbl>
    <w:p>
      <w:pPr>
        <w:pStyle w:val="BodyText"/>
        <w:widowControl/>
      </w:pPr>
      <w:r>
        <w:t xml:space="preserve">Fu Yitong 与 Wang Junbo 将和 Zhao Dingcheng 共同制定标注规范，再独立标注评价样本，并一起复核分歧。每位成员负责撰写自己的实质性章节，并复核另一位成员的工作。每周会议检查已取得的证据、尚缺条件和排期调整。</w:t>
      </w:r>
    </w:p>
    <w:bookmarkEnd w:id="28"/>
    <w:bookmarkStart w:id="49" w:name="参考文献"/>
    <w:p>
      <w:pPr>
        <w:pStyle w:val="Heading1"/>
        <w:widowControl/>
      </w:pPr>
      <w:r>
        <w:t xml:space="preserve">参考文献</w:t>
      </w:r>
    </w:p>
    <w:p>
      <w:pPr>
        <w:pStyle w:val="FirstParagraph"/>
        <w:keepLines/>
        <w:widowControl/>
        <w:spacing w:after="100" w:line="252" w:lineRule="auto"/>
        <w:ind w:left="400" w:hanging="400"/>
      </w:pPr>
      <w:bookmarkStart w:id="29" w:name="ref-1"/>
      <w:r>
        <w:rPr>
          <w:sz w:val="19"/>
        </w:rPr>
        <w:t xml:space="preserve">[1]</w:t>
      </w:r>
      <w:bookmarkEnd w:id="29"/>
      <w:r>
        <w:rPr>
          <w:sz w:val="19"/>
        </w:rPr>
        <w:t xml:space="preserve"> </w:t>
      </w:r>
      <w:r>
        <w:rPr>
          <w:sz w:val="19"/>
        </w:rPr>
        <w:t xml:space="preserve">Milli, S., Carroll, M., Wang, Y., Pandey, S., Zhao, S., &amp; Dragan, A. D. (2024).</w:t>
      </w:r>
      <w:r>
        <w:rPr>
          <w:sz w:val="19"/>
        </w:rPr>
        <w:t xml:space="preserve"> </w:t>
      </w:r>
      <w:hyperlink r:id="rId30">
        <w:r>
          <w:rPr>
            <w:rStyle w:val="Hyperlink"/>
            <w:iCs/>
            <w:i/>
            <w:sz w:val="19"/>
          </w:rPr>
          <w:t xml:space="preserve">Engagement, User Satisfaction, and the Amplification of Divisive Content on Social Media</w:t>
        </w:r>
      </w:hyperlink>
      <w:r>
        <w:rPr>
          <w:sz w:val="19"/>
        </w:rPr>
        <w:t xml:space="preserve">. arXiv:2305.16941, version 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1" w:name="ref-2"/>
      <w:r>
        <w:rPr>
          <w:sz w:val="19"/>
        </w:rPr>
        <w:t xml:space="preserve">[2]</w:t>
      </w:r>
      <w:bookmarkEnd w:id="31"/>
      <w:r>
        <w:rPr>
          <w:sz w:val="19"/>
        </w:rPr>
        <w:t xml:space="preserve"> </w:t>
      </w:r>
      <w:r>
        <w:rPr>
          <w:sz w:val="19"/>
        </w:rPr>
        <w:t xml:space="preserve">Vera, J. A., &amp; Ghosh, S. (2025).</w:t>
      </w:r>
      <w:r>
        <w:rPr>
          <w:sz w:val="19"/>
        </w:rPr>
        <w:t xml:space="preserve"> </w:t>
      </w:r>
      <w:hyperlink r:id="rId32">
        <w:r>
          <w:rPr>
            <w:rStyle w:val="Hyperlink"/>
            <w:iCs/>
            <w:i/>
            <w:sz w:val="19"/>
          </w:rPr>
          <w:t xml:space="preserve">“</w:t>
        </w:r>
        <w:r>
          <w:rPr>
            <w:rStyle w:val="Hyperlink"/>
            <w:iCs/>
            <w:i/>
            <w:sz w:val="19"/>
          </w:rPr>
          <w:t xml:space="preserve">They’ve Over-Emphasized That One Search</w:t>
        </w:r>
        <w:r>
          <w:rPr>
            <w:rStyle w:val="Hyperlink"/>
            <w:iCs/>
            <w:i/>
            <w:sz w:val="19"/>
          </w:rPr>
          <w:t xml:space="preserve">”</w:t>
        </w:r>
        <w:r>
          <w:rPr>
            <w:rStyle w:val="Hyperlink"/>
            <w:iCs/>
            <w:i/>
            <w:sz w:val="19"/>
          </w:rPr>
          <w:t xml:space="preserve">: Controlling Unwanted Content on TikTok’s For You Page</w:t>
        </w:r>
      </w:hyperlink>
      <w:r>
        <w:rPr>
          <w:sz w:val="19"/>
        </w:rPr>
        <w:t xml:space="preserve">. arXiv:2504.13895.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3" w:name="ref-3"/>
      <w:r>
        <w:rPr>
          <w:sz w:val="19"/>
        </w:rPr>
        <w:t xml:space="preserve">[3]</w:t>
      </w:r>
      <w:bookmarkEnd w:id="33"/>
      <w:r>
        <w:rPr>
          <w:sz w:val="19"/>
        </w:rPr>
        <w:t xml:space="preserve"> </w:t>
      </w:r>
      <w:r>
        <w:rPr>
          <w:sz w:val="19"/>
        </w:rPr>
        <w:t xml:space="preserve">Pecher, B., et al. (2026).</w:t>
      </w:r>
      <w:r>
        <w:rPr>
          <w:sz w:val="19"/>
        </w:rPr>
        <w:t xml:space="preserve"> </w:t>
      </w:r>
      <w:hyperlink r:id="rId34">
        <w:r>
          <w:rPr>
            <w:rStyle w:val="Hyperlink"/>
            <w:iCs/>
            <w:i/>
            <w:sz w:val="19"/>
          </w:rPr>
          <w:t xml:space="preserve">Algorithmic Audit of Personalisation Drift in Polarising Topics on TikTok</w:t>
        </w:r>
      </w:hyperlink>
      <w:r>
        <w:rPr>
          <w:sz w:val="19"/>
        </w:rPr>
        <w:t xml:space="preserve">. UMAP 2026.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5" w:name="ref-4"/>
      <w:r>
        <w:rPr>
          <w:sz w:val="19"/>
        </w:rPr>
        <w:t xml:space="preserve">[4]</w:t>
      </w:r>
      <w:bookmarkEnd w:id="35"/>
      <w:r>
        <w:rPr>
          <w:sz w:val="19"/>
        </w:rPr>
        <w:t xml:space="preserve"> </w:t>
      </w:r>
      <w:r>
        <w:rPr>
          <w:sz w:val="19"/>
        </w:rPr>
        <w:t xml:space="preserve">Draws, T., et al. (2023).</w:t>
      </w:r>
      <w:r>
        <w:rPr>
          <w:sz w:val="19"/>
        </w:rPr>
        <w:t xml:space="preserve"> </w:t>
      </w:r>
      <w:hyperlink r:id="rId36">
        <w:r>
          <w:rPr>
            <w:rStyle w:val="Hyperlink"/>
            <w:iCs/>
            <w:i/>
            <w:sz w:val="19"/>
          </w:rPr>
          <w:t xml:space="preserve">Viewpoint Diversity in Search Results</w:t>
        </w:r>
      </w:hyperlink>
      <w:r>
        <w:rPr>
          <w:sz w:val="19"/>
        </w:rPr>
        <w:t xml:space="preserve">. ECIR 2023, pp. 279–297.</w:t>
      </w:r>
      <w:r>
        <w:rPr>
          <w:sz w:val="19"/>
        </w:rPr>
        <w:t xml:space="preserve"> </w:t>
      </w:r>
      <w:hyperlink r:id="rId36">
        <w:r>
          <w:rPr>
            <w:rStyle w:val="Hyperlink"/>
            <w:sz w:val="19"/>
          </w:rPr>
          <w:t xml:space="preserve">doi:10.1007/978-3-031-28244-7_18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7" w:name="ref-5"/>
      <w:r>
        <w:rPr>
          <w:sz w:val="19"/>
        </w:rPr>
        <w:t xml:space="preserve">[5]</w:t>
      </w:r>
      <w:bookmarkEnd w:id="37"/>
      <w:r>
        <w:rPr>
          <w:sz w:val="19"/>
        </w:rPr>
        <w:t xml:space="preserve"> </w:t>
      </w:r>
      <w:r>
        <w:rPr>
          <w:sz w:val="19"/>
        </w:rPr>
        <w:t xml:space="preserve">Wang, W., Feng, F., Nie, L., &amp; Chua, T.-S. (2022).</w:t>
      </w:r>
      <w:r>
        <w:rPr>
          <w:sz w:val="19"/>
        </w:rPr>
        <w:t xml:space="preserve"> </w:t>
      </w:r>
      <w:hyperlink r:id="rId38">
        <w:r>
          <w:rPr>
            <w:rStyle w:val="Hyperlink"/>
            <w:iCs/>
            <w:i/>
            <w:sz w:val="19"/>
          </w:rPr>
          <w:t xml:space="preserve">User-Controllable Recommendation Against Filter Bubbles</w:t>
        </w:r>
      </w:hyperlink>
      <w:r>
        <w:rPr>
          <w:sz w:val="19"/>
        </w:rPr>
        <w:t xml:space="preserve">. SIGIR 2022, pp. 1251–1261.</w:t>
      </w:r>
      <w:r>
        <w:rPr>
          <w:sz w:val="19"/>
        </w:rPr>
        <w:t xml:space="preserve"> </w:t>
      </w:r>
      <w:hyperlink r:id="rId38">
        <w:r>
          <w:rPr>
            <w:rStyle w:val="Hyperlink"/>
            <w:sz w:val="19"/>
          </w:rPr>
          <w:t xml:space="preserve">doi:10.1145/3477495.3532075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9" w:name="ref-6"/>
      <w:r>
        <w:rPr>
          <w:sz w:val="19"/>
        </w:rPr>
        <w:t xml:space="preserve">[6]</w:t>
      </w:r>
      <w:bookmarkEnd w:id="39"/>
      <w:r>
        <w:rPr>
          <w:sz w:val="19"/>
        </w:rPr>
        <w:t xml:space="preserve"> </w:t>
      </w:r>
      <w:r>
        <w:rPr>
          <w:sz w:val="19"/>
        </w:rPr>
        <w:t xml:space="preserve">xAI. (2026).</w:t>
      </w:r>
      <w:r>
        <w:rPr>
          <w:sz w:val="19"/>
        </w:rPr>
        <w:t xml:space="preserve"> </w:t>
      </w:r>
      <w:hyperlink r:id="rId40">
        <w:r>
          <w:rPr>
            <w:rStyle w:val="Hyperlink"/>
            <w:iCs/>
            <w:i/>
            <w:sz w:val="19"/>
          </w:rPr>
          <w:t xml:space="preserve">x-algorithm</w:t>
        </w:r>
      </w:hyperlink>
      <w:r>
        <w:rPr>
          <w:sz w:val="19"/>
        </w:rPr>
        <w:t xml:space="preserve"> </w:t>
      </w:r>
      <w:r>
        <w:rPr>
          <w:sz w:val="19"/>
        </w:rPr>
        <w:t xml:space="preserve">[Source code, commit b79b947].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1" w:name="ref-7"/>
      <w:r>
        <w:rPr>
          <w:sz w:val="19"/>
        </w:rPr>
        <w:t xml:space="preserve">[7]</w:t>
      </w:r>
      <w:bookmarkEnd w:id="41"/>
      <w:r>
        <w:rPr>
          <w:sz w:val="19"/>
        </w:rPr>
        <w:t xml:space="preserve"> </w:t>
      </w:r>
      <w:r>
        <w:rPr>
          <w:sz w:val="19"/>
        </w:rPr>
        <w:t xml:space="preserve">Shang, Y., Gao, C., Li, N., &amp; Li, Y. (2025).</w:t>
      </w:r>
      <w:r>
        <w:rPr>
          <w:sz w:val="19"/>
        </w:rPr>
        <w:t xml:space="preserve"> </w:t>
      </w:r>
      <w:hyperlink r:id="rId42">
        <w:r>
          <w:rPr>
            <w:rStyle w:val="Hyperlink"/>
            <w:iCs/>
            <w:i/>
            <w:sz w:val="19"/>
          </w:rPr>
          <w:t xml:space="preserve">A Large-scale Dataset with Behavior, Attributes, and Content of Mobile Short-video Platform</w:t>
        </w:r>
      </w:hyperlink>
      <w:r>
        <w:rPr>
          <w:sz w:val="19"/>
        </w:rPr>
        <w:t xml:space="preserve">. WWW Companion 2025, pp. 793–796.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3" w:name="ref-8"/>
      <w:r>
        <w:rPr>
          <w:sz w:val="19"/>
        </w:rPr>
        <w:t xml:space="preserve">[8]</w:t>
      </w:r>
      <w:bookmarkEnd w:id="43"/>
      <w:r>
        <w:rPr>
          <w:sz w:val="19"/>
        </w:rPr>
        <w:t xml:space="preserve"> </w:t>
      </w:r>
      <w:r>
        <w:rPr>
          <w:sz w:val="19"/>
        </w:rPr>
        <w:t xml:space="preserve">Gao, C., et al. (2022).</w:t>
      </w:r>
      <w:r>
        <w:rPr>
          <w:sz w:val="19"/>
        </w:rPr>
        <w:t xml:space="preserve"> </w:t>
      </w:r>
      <w:hyperlink r:id="rId44">
        <w:r>
          <w:rPr>
            <w:rStyle w:val="Hyperlink"/>
            <w:iCs/>
            <w:i/>
            <w:sz w:val="19"/>
          </w:rPr>
          <w:t xml:space="preserve">KuaiRand: An Unbiased Sequential Recommendation Dataset with Randomly Exposed Videos</w:t>
        </w:r>
      </w:hyperlink>
      <w:r>
        <w:rPr>
          <w:sz w:val="19"/>
        </w:rPr>
        <w:t xml:space="preserve">. CIKM 2022, pp. 3953–3957.</w:t>
      </w:r>
      <w:r>
        <w:rPr>
          <w:sz w:val="19"/>
        </w:rPr>
        <w:t xml:space="preserve"> </w:t>
      </w:r>
      <w:hyperlink r:id="rId44">
        <w:r>
          <w:rPr>
            <w:rStyle w:val="Hyperlink"/>
            <w:sz w:val="19"/>
          </w:rPr>
          <w:t xml:space="preserve">doi:10.1145/3511808.3557624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5" w:name="ref-9"/>
      <w:r>
        <w:rPr>
          <w:sz w:val="19"/>
        </w:rPr>
        <w:t xml:space="preserve">[9]</w:t>
      </w:r>
      <w:bookmarkEnd w:id="45"/>
      <w:r>
        <w:rPr>
          <w:sz w:val="19"/>
        </w:rPr>
        <w:t xml:space="preserve"> </w:t>
      </w:r>
      <w:r>
        <w:rPr>
          <w:sz w:val="19"/>
        </w:rPr>
        <w:t xml:space="preserve">Sukiennik, N., Wang, H., Zeng, Z., Gao, C., &amp; Li, Y. (2025).</w:t>
      </w:r>
      <w:r>
        <w:rPr>
          <w:sz w:val="19"/>
        </w:rPr>
        <w:t xml:space="preserve"> </w:t>
      </w:r>
      <w:hyperlink r:id="rId46">
        <w:r>
          <w:rPr>
            <w:rStyle w:val="Hyperlink"/>
            <w:iCs/>
            <w:i/>
            <w:sz w:val="19"/>
          </w:rPr>
          <w:t xml:space="preserve">SimTok: Simulating Filter Bubble on Short-video Recommender System with Large Language Model Agents</w:t>
        </w:r>
      </w:hyperlink>
      <w:r>
        <w:rPr>
          <w:sz w:val="19"/>
        </w:rPr>
        <w:t xml:space="preserve">. arXiv:2504.08742.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7" w:name="ref-10"/>
      <w:r>
        <w:rPr>
          <w:sz w:val="19"/>
        </w:rPr>
        <w:t xml:space="preserve">[10]</w:t>
      </w:r>
      <w:bookmarkEnd w:id="47"/>
      <w:r>
        <w:rPr>
          <w:sz w:val="19"/>
        </w:rPr>
        <w:t xml:space="preserve"> </w:t>
      </w:r>
      <w:r>
        <w:rPr>
          <w:sz w:val="19"/>
        </w:rPr>
        <w:t xml:space="preserve">Yoon, S., He, Z., Echterhoff, J. M., &amp; McAuley, J. (2024).</w:t>
      </w:r>
      <w:r>
        <w:rPr>
          <w:sz w:val="19"/>
        </w:rPr>
        <w:t xml:space="preserve"> </w:t>
      </w:r>
      <w:hyperlink r:id="rId48">
        <w:r>
          <w:rPr>
            <w:rStyle w:val="Hyperlink"/>
            <w:iCs/>
            <w:i/>
            <w:sz w:val="19"/>
          </w:rPr>
          <w:t xml:space="preserve">Evaluating Large Language Models as Generative User Simulators for Conversational Recommendation</w:t>
        </w:r>
      </w:hyperlink>
      <w:r>
        <w:rPr>
          <w:sz w:val="19"/>
        </w:rPr>
        <w:t xml:space="preserve">. NAACL 2024, pp. 1490–1504.</w:t>
      </w:r>
    </w:p>
    <w:bookmarkEnd w:id="49"/>
    <w:bookmarkEnd w:id="50"/>
    <w:sectPr>
      <w:headerReference w:type="default" r:id="rId9"/>
      <w:footerReference w:type="default" r:id="rId10"/>
      <w:pgSz w:w="11905" w:h="16838"/>
      <w:pgMar w:top="1123" w:bottom="1123" w:left="1224" w:right="1224" w:header="461" w:footer="4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F5F5F"/>
        <w:sz w:val="18"/>
      </w:rPr>
      <w:t>COMP1110 | 项目计划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 w:after="120"/>
    </w:pPr>
    <w:rPr>
      <w:rFonts w:ascii="Liberation Serif" w:hAnsi="Liberation Serif" w:eastAsia="Droid Sans Fallback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 w:line="288" w:lineRule="auto"/>
    </w:pPr>
    <w:qFormat/>
    <w:rPr>
      <w:rFonts w:ascii="Liberation Serif" w:hAnsi="Liberation Serif" w:eastAsia="Droid Sans Fallback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 w:after="120"/>
    </w:pPr>
    <w:rPr>
      <w:rFonts w:ascii="Liberation Serif" w:hAnsi="Liberation Serif" w:eastAsia="Droid Sans Fallback"/>
      <w:color w:val="000000"/>
      <w:sz w:val="22"/>
    </w:rPr>
  </w:style>
  <w:style w:customStyle="1" w:styleId="Compact" w:type="paragraph">
    <w:name w:val="Compact"/>
    <w:basedOn w:val="BodyText"/>
    <w:qFormat/>
    <w:pPr>
      <w:spacing w:after="120" w:before="36" w:line="288" w:lineRule="auto"/>
    </w:pPr>
    <w:rPr>
      <w:rFonts w:ascii="Liberation Serif" w:hAnsi="Liberation Serif" w:eastAsia="Droid Sans Fallback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200"/>
      <w:outlineLvl w:val="0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00"/>
      <w:outlineLvl w:val="1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4558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table" w:customStyle="1" w:styleId="SubmissionGrid">
    <w:name w:val="Submission Grid"/>
    <w:tblPr>
      <w:tblBorders>
        <w:top w:val="single" w:sz="4" w:color="BBBBBB"/>
        <w:left w:val="single" w:sz="4" w:color="BBBBBB"/>
        <w:bottom w:val="single" w:sz="4" w:color="BBBBBB"/>
        <w:right w:val="single" w:sz="4" w:color="BBBBBB"/>
        <w:insideH w:val="single" w:sz="4" w:color="BBBBBB"/>
        <w:insideV w:val="single" w:sz="4" w:color="BBBBBB"/>
      </w:tblBorders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8" Type="http://schemas.openxmlformats.org/officeDocument/2006/relationships/hyperlink" Target="https://aclanthology.org/2024.naacl-long.83/" TargetMode="External"/><Relationship Id="rId30" Type="http://schemas.openxmlformats.org/officeDocument/2006/relationships/hyperlink" Target="https://arxiv.org/abs/2305.16941v6" TargetMode="External"/><Relationship Id="rId42" Type="http://schemas.openxmlformats.org/officeDocument/2006/relationships/hyperlink" Target="https://arxiv.org/abs/2502.05922" TargetMode="External"/><Relationship Id="rId46" Type="http://schemas.openxmlformats.org/officeDocument/2006/relationships/hyperlink" Target="https://arxiv.org/abs/2504.08742" TargetMode="External"/><Relationship Id="rId32" Type="http://schemas.openxmlformats.org/officeDocument/2006/relationships/hyperlink" Target="https://arxiv.org/abs/2504.13895" TargetMode="External"/><Relationship Id="rId34" Type="http://schemas.openxmlformats.org/officeDocument/2006/relationships/hyperlink" Target="https://arxiv.org/abs/2603.20723" TargetMode="External"/><Relationship Id="rId36" Type="http://schemas.openxmlformats.org/officeDocument/2006/relationships/hyperlink" Target="https://doi.org/10.1007/978-3-031-28244-7_18" TargetMode="External"/><Relationship Id="rId38" Type="http://schemas.openxmlformats.org/officeDocument/2006/relationships/hyperlink" Target="https://doi.org/10.1145/3477495.3532075" TargetMode="External"/><Relationship Id="rId44" Type="http://schemas.openxmlformats.org/officeDocument/2006/relationships/hyperlink" Target="https://doi.org/10.1145/3511808.3557624" TargetMode="External"/><Relationship Id="rId40" Type="http://schemas.openxmlformats.org/officeDocument/2006/relationships/hyperlink" Target="https://github.com/xai-org/x-algorithm/tree/b79b947ce9283c786822274ef8fe208c33c585b2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aclanthology.org/2024.naacl-long.83/" TargetMode="External"/><Relationship Id="rId30" Type="http://schemas.openxmlformats.org/officeDocument/2006/relationships/hyperlink" Target="https://arxiv.org/abs/2305.16941v6" TargetMode="External"/><Relationship Id="rId42" Type="http://schemas.openxmlformats.org/officeDocument/2006/relationships/hyperlink" Target="https://arxiv.org/abs/2502.05922" TargetMode="External"/><Relationship Id="rId46" Type="http://schemas.openxmlformats.org/officeDocument/2006/relationships/hyperlink" Target="https://arxiv.org/abs/2504.08742" TargetMode="External"/><Relationship Id="rId32" Type="http://schemas.openxmlformats.org/officeDocument/2006/relationships/hyperlink" Target="https://arxiv.org/abs/2504.13895" TargetMode="External"/><Relationship Id="rId34" Type="http://schemas.openxmlformats.org/officeDocument/2006/relationships/hyperlink" Target="https://arxiv.org/abs/2603.20723" TargetMode="External"/><Relationship Id="rId36" Type="http://schemas.openxmlformats.org/officeDocument/2006/relationships/hyperlink" Target="https://doi.org/10.1007/978-3-031-28244-7_18" TargetMode="External"/><Relationship Id="rId38" Type="http://schemas.openxmlformats.org/officeDocument/2006/relationships/hyperlink" Target="https://doi.org/10.1145/3477495.3532075" TargetMode="External"/><Relationship Id="rId44" Type="http://schemas.openxmlformats.org/officeDocument/2006/relationships/hyperlink" Target="https://doi.org/10.1145/3511808.3557624" TargetMode="External"/><Relationship Id="rId40" Type="http://schemas.openxmlformats.org/officeDocument/2006/relationships/hyperlink" Target="https://github.com/xai-org/x-algorithm/tree/b79b947ce9283c786822274ef8fe208c33c585b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保留话题，拓宽视角</dc:title>
  <dc:creator>COMP1110 Project Team</dc:creator>
  <cp:keywords/>
  <dcterms:created xsi:type="dcterms:W3CDTF">2026-10-03T11:48:52Z</dcterms:created>
  <dcterms:modified xsi:type="dcterms:W3CDTF">2026-10-03T11:48:52Z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