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theme/themeOverride2.xml" ContentType="application/vnd.openxmlformats-officedocument.themeOverride+xml"/>
  <Override PartName="/word/charts/chart7.xml" ContentType="application/vnd.openxmlformats-officedocument.drawingml.chart+xml"/>
  <Override PartName="/word/theme/themeOverride3.xml" ContentType="application/vnd.openxmlformats-officedocument.themeOverride+xml"/>
  <Override PartName="/word/charts/chart8.xml" ContentType="application/vnd.openxmlformats-officedocument.drawingml.chart+xml"/>
  <Override PartName="/word/theme/themeOverride4.xml" ContentType="application/vnd.openxmlformats-officedocument.themeOverride+xml"/>
  <Override PartName="/word/charts/chart9.xml" ContentType="application/vnd.openxmlformats-officedocument.drawingml.chart+xml"/>
  <Override PartName="/word/theme/themeOverride5.xml" ContentType="application/vnd.openxmlformats-officedocument.themeOverride+xml"/>
  <Override PartName="/word/charts/chart10.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theme/themeOverride7.xml" ContentType="application/vnd.openxmlformats-officedocument.themeOverride+xml"/>
  <Override PartName="/word/charts/chart12.xml" ContentType="application/vnd.openxmlformats-officedocument.drawingml.chart+xml"/>
  <Override PartName="/word/theme/themeOverride8.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B0F" w:rsidRPr="00DF7224" w:rsidRDefault="00845C8D"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sz w:val="28"/>
          <w:szCs w:val="28"/>
        </w:rPr>
        <w:t>МИНИСТЕРСТВО ОБРАЗОВАНИЯ И НАУКИ РОССИЙСКОЙ ФЕДЕРАЦИИ ФЕДЕРАЛЬНОЕ ГОСУДАРСТВЕННОЕ БЮДЖЕТНОЕ ОБРАЗОВАТЕЛЬНОЕ УЧРЕЖДЕНИЕ ВЫСШЕГО ОБРАЗОВАНИЯ «РОССИЙСКИЙ ЭКОНОМИЧЕСКИЙ УНИВЕРСИТЕТ ИМЕНИ Г.В. ПЛЕХАНОВА»</w:t>
      </w:r>
    </w:p>
    <w:p w:rsidR="00845C8D" w:rsidRPr="00DF7224" w:rsidRDefault="00845C8D" w:rsidP="007E0CA0">
      <w:pPr>
        <w:spacing w:after="0" w:line="240" w:lineRule="auto"/>
        <w:jc w:val="center"/>
        <w:rPr>
          <w:rFonts w:ascii="Times New Roman" w:hAnsi="Times New Roman" w:cs="Times New Roman"/>
          <w:sz w:val="28"/>
          <w:szCs w:val="28"/>
        </w:rPr>
      </w:pPr>
    </w:p>
    <w:p w:rsidR="00845C8D" w:rsidRPr="00DF7224" w:rsidRDefault="00845C8D"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sz w:val="28"/>
          <w:szCs w:val="28"/>
        </w:rPr>
        <w:t>Факультет: Международная школа бизнеса и мировая экономика</w:t>
      </w:r>
    </w:p>
    <w:p w:rsidR="00845C8D" w:rsidRPr="00DF7224" w:rsidRDefault="00845C8D"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sz w:val="28"/>
          <w:szCs w:val="28"/>
        </w:rPr>
        <w:t>Кафедра: Мировая экономика</w:t>
      </w:r>
    </w:p>
    <w:p w:rsidR="00845C8D" w:rsidRPr="00DF7224" w:rsidRDefault="00845C8D" w:rsidP="007E0CA0">
      <w:pPr>
        <w:spacing w:after="0" w:line="240" w:lineRule="auto"/>
        <w:jc w:val="center"/>
        <w:rPr>
          <w:rFonts w:ascii="Times New Roman" w:hAnsi="Times New Roman" w:cs="Times New Roman"/>
          <w:sz w:val="28"/>
          <w:szCs w:val="28"/>
        </w:rPr>
      </w:pPr>
    </w:p>
    <w:p w:rsidR="00845C8D" w:rsidRPr="00DF7224" w:rsidRDefault="00845C8D" w:rsidP="007E0CA0">
      <w:pPr>
        <w:spacing w:after="0" w:line="240" w:lineRule="auto"/>
        <w:jc w:val="center"/>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«Допустить к защите»</w:t>
      </w: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Заведующий кафедрой</w:t>
      </w: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Мировой экономики</w:t>
      </w: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 xml:space="preserve">Хасбулатов Р.И. </w:t>
      </w: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«___» ________ 2019 г.</w:t>
      </w:r>
    </w:p>
    <w:p w:rsidR="00845C8D" w:rsidRPr="00DF7224" w:rsidRDefault="00845C8D" w:rsidP="007E0CA0">
      <w:pPr>
        <w:spacing w:after="0" w:line="240" w:lineRule="auto"/>
        <w:jc w:val="right"/>
        <w:rPr>
          <w:rFonts w:ascii="Times New Roman" w:hAnsi="Times New Roman" w:cs="Times New Roman"/>
          <w:sz w:val="28"/>
          <w:szCs w:val="28"/>
        </w:rPr>
      </w:pPr>
    </w:p>
    <w:p w:rsidR="00845C8D" w:rsidRPr="00DF7224" w:rsidRDefault="00845C8D" w:rsidP="007E0CA0">
      <w:pPr>
        <w:spacing w:after="0" w:line="240" w:lineRule="auto"/>
        <w:jc w:val="center"/>
        <w:rPr>
          <w:rFonts w:ascii="Times New Roman" w:hAnsi="Times New Roman" w:cs="Times New Roman"/>
          <w:b/>
          <w:sz w:val="28"/>
          <w:szCs w:val="28"/>
        </w:rPr>
      </w:pPr>
      <w:r w:rsidRPr="00DF7224">
        <w:rPr>
          <w:rFonts w:ascii="Times New Roman" w:hAnsi="Times New Roman" w:cs="Times New Roman"/>
          <w:b/>
          <w:sz w:val="28"/>
          <w:szCs w:val="28"/>
        </w:rPr>
        <w:t>Выпускная квалификационная работа</w:t>
      </w:r>
    </w:p>
    <w:p w:rsidR="00845C8D" w:rsidRPr="00DF7224" w:rsidRDefault="00845C8D"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sz w:val="28"/>
          <w:szCs w:val="28"/>
        </w:rPr>
        <w:t>Направление 38.03.01 «Экономика»</w:t>
      </w:r>
    </w:p>
    <w:p w:rsidR="00845C8D" w:rsidRPr="00DF7224" w:rsidRDefault="00845C8D"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sz w:val="28"/>
          <w:szCs w:val="28"/>
        </w:rPr>
        <w:t>Профиль «Мировая экономика (бакалавр)»</w:t>
      </w:r>
    </w:p>
    <w:p w:rsidR="00845C8D" w:rsidRPr="00DF7224" w:rsidRDefault="00845C8D" w:rsidP="007E0CA0">
      <w:pPr>
        <w:spacing w:after="0" w:line="240" w:lineRule="auto"/>
        <w:jc w:val="center"/>
        <w:rPr>
          <w:rFonts w:ascii="Times New Roman" w:hAnsi="Times New Roman" w:cs="Times New Roman"/>
          <w:sz w:val="28"/>
          <w:szCs w:val="28"/>
        </w:rPr>
      </w:pPr>
    </w:p>
    <w:p w:rsidR="00845C8D" w:rsidRPr="00DF7224" w:rsidRDefault="00845C8D" w:rsidP="007E0CA0">
      <w:pPr>
        <w:spacing w:after="0" w:line="240" w:lineRule="auto"/>
        <w:jc w:val="center"/>
        <w:rPr>
          <w:rFonts w:ascii="Times New Roman" w:hAnsi="Times New Roman" w:cs="Times New Roman"/>
          <w:sz w:val="28"/>
          <w:szCs w:val="28"/>
        </w:rPr>
      </w:pPr>
    </w:p>
    <w:p w:rsidR="00845C8D" w:rsidRPr="00DF7224" w:rsidRDefault="00845C8D"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sz w:val="28"/>
          <w:szCs w:val="28"/>
        </w:rPr>
        <w:t>ТЕМА «</w:t>
      </w:r>
      <w:r w:rsidR="00620E0F" w:rsidRPr="00DF7224">
        <w:rPr>
          <w:rFonts w:ascii="Times New Roman" w:hAnsi="Times New Roman" w:cs="Times New Roman"/>
          <w:sz w:val="28"/>
          <w:szCs w:val="28"/>
        </w:rPr>
        <w:t>ВНЕШНЕЭКОНОМИЧСЕКАЯ ДЕЯТЕЛЬНОСТЬ</w:t>
      </w:r>
      <w:r w:rsidRPr="00DF7224">
        <w:rPr>
          <w:rFonts w:ascii="Times New Roman" w:hAnsi="Times New Roman" w:cs="Times New Roman"/>
          <w:sz w:val="28"/>
          <w:szCs w:val="28"/>
        </w:rPr>
        <w:t xml:space="preserve"> ИСПАНИИ»</w:t>
      </w:r>
    </w:p>
    <w:p w:rsidR="00930FE1" w:rsidRPr="00DF7224" w:rsidRDefault="00930FE1" w:rsidP="007E0CA0">
      <w:pPr>
        <w:spacing w:after="0" w:line="240" w:lineRule="auto"/>
        <w:jc w:val="center"/>
        <w:rPr>
          <w:rFonts w:ascii="Times New Roman" w:hAnsi="Times New Roman" w:cs="Times New Roman"/>
          <w:sz w:val="28"/>
          <w:szCs w:val="28"/>
        </w:rPr>
      </w:pPr>
    </w:p>
    <w:p w:rsidR="00930FE1" w:rsidRPr="00DF7224" w:rsidRDefault="00930FE1" w:rsidP="007E0CA0">
      <w:pPr>
        <w:spacing w:after="0" w:line="240" w:lineRule="auto"/>
        <w:jc w:val="center"/>
        <w:rPr>
          <w:rFonts w:ascii="Times New Roman" w:hAnsi="Times New Roman" w:cs="Times New Roman"/>
          <w:sz w:val="28"/>
          <w:szCs w:val="28"/>
        </w:rPr>
      </w:pPr>
    </w:p>
    <w:p w:rsidR="00930FE1" w:rsidRPr="00DF7224" w:rsidRDefault="00930FE1" w:rsidP="007E0CA0">
      <w:pPr>
        <w:spacing w:after="0" w:line="240" w:lineRule="auto"/>
        <w:jc w:val="center"/>
        <w:rPr>
          <w:rFonts w:ascii="Times New Roman" w:hAnsi="Times New Roman" w:cs="Times New Roman"/>
          <w:sz w:val="28"/>
          <w:szCs w:val="28"/>
        </w:rPr>
      </w:pPr>
    </w:p>
    <w:p w:rsidR="00930FE1" w:rsidRPr="00DF7224" w:rsidRDefault="00930FE1" w:rsidP="007E0CA0">
      <w:pPr>
        <w:spacing w:after="0" w:line="240" w:lineRule="auto"/>
        <w:jc w:val="center"/>
        <w:rPr>
          <w:rFonts w:ascii="Times New Roman" w:hAnsi="Times New Roman" w:cs="Times New Roman"/>
          <w:sz w:val="28"/>
          <w:szCs w:val="28"/>
        </w:rPr>
      </w:pPr>
    </w:p>
    <w:p w:rsidR="00845C8D" w:rsidRPr="00DF7224" w:rsidRDefault="00845C8D" w:rsidP="007E0CA0">
      <w:pPr>
        <w:spacing w:after="0" w:line="240" w:lineRule="auto"/>
        <w:rPr>
          <w:rFonts w:ascii="Times New Roman" w:hAnsi="Times New Roman" w:cs="Times New Roman"/>
          <w:sz w:val="28"/>
          <w:szCs w:val="28"/>
        </w:rPr>
      </w:pPr>
      <w:r w:rsidRPr="00DF7224">
        <w:rPr>
          <w:rFonts w:ascii="Times New Roman" w:hAnsi="Times New Roman" w:cs="Times New Roman"/>
          <w:sz w:val="28"/>
          <w:szCs w:val="28"/>
        </w:rPr>
        <w:t xml:space="preserve">Выполнила студентка </w:t>
      </w:r>
      <w:r w:rsidR="00930FE1" w:rsidRPr="00DF7224">
        <w:rPr>
          <w:rFonts w:ascii="Times New Roman" w:hAnsi="Times New Roman" w:cs="Times New Roman"/>
          <w:sz w:val="28"/>
          <w:szCs w:val="28"/>
        </w:rPr>
        <w:t xml:space="preserve"> </w:t>
      </w:r>
      <w:r w:rsidRPr="00DF7224">
        <w:rPr>
          <w:rFonts w:ascii="Times New Roman" w:hAnsi="Times New Roman" w:cs="Times New Roman"/>
          <w:sz w:val="28"/>
          <w:szCs w:val="28"/>
        </w:rPr>
        <w:t>Любимова Евгения Михайловна</w:t>
      </w:r>
    </w:p>
    <w:p w:rsidR="00845C8D" w:rsidRPr="00DF7224" w:rsidRDefault="00845C8D" w:rsidP="007E0CA0">
      <w:pPr>
        <w:spacing w:after="0" w:line="240" w:lineRule="auto"/>
        <w:rPr>
          <w:rFonts w:ascii="Times New Roman" w:hAnsi="Times New Roman" w:cs="Times New Roman"/>
          <w:sz w:val="28"/>
          <w:szCs w:val="28"/>
        </w:rPr>
      </w:pPr>
      <w:r w:rsidRPr="00DF7224">
        <w:rPr>
          <w:rFonts w:ascii="Times New Roman" w:hAnsi="Times New Roman" w:cs="Times New Roman"/>
          <w:sz w:val="28"/>
          <w:szCs w:val="28"/>
        </w:rPr>
        <w:t>Группа 32Д843МЭ/15</w:t>
      </w:r>
    </w:p>
    <w:p w:rsidR="00845C8D" w:rsidRPr="00DF7224" w:rsidRDefault="00845C8D" w:rsidP="007E0CA0">
      <w:pPr>
        <w:spacing w:after="0" w:line="240" w:lineRule="auto"/>
        <w:rPr>
          <w:rFonts w:ascii="Times New Roman" w:hAnsi="Times New Roman" w:cs="Times New Roman"/>
          <w:sz w:val="28"/>
          <w:szCs w:val="28"/>
        </w:rPr>
      </w:pPr>
    </w:p>
    <w:p w:rsidR="00930FE1" w:rsidRPr="00DF7224" w:rsidRDefault="00930FE1" w:rsidP="007E0CA0">
      <w:pPr>
        <w:spacing w:after="0" w:line="240" w:lineRule="auto"/>
        <w:rPr>
          <w:rFonts w:ascii="Times New Roman" w:hAnsi="Times New Roman" w:cs="Times New Roman"/>
          <w:sz w:val="28"/>
          <w:szCs w:val="28"/>
        </w:rPr>
      </w:pPr>
    </w:p>
    <w:p w:rsidR="00930FE1" w:rsidRPr="00DF7224" w:rsidRDefault="00930FE1" w:rsidP="007E0CA0">
      <w:pPr>
        <w:spacing w:after="0" w:line="240" w:lineRule="auto"/>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Научный руководитель выпускной</w:t>
      </w:r>
    </w:p>
    <w:p w:rsidR="00845C8D" w:rsidRPr="00DF7224" w:rsidRDefault="00845C8D" w:rsidP="007E0CA0">
      <w:pPr>
        <w:spacing w:after="0" w:line="240" w:lineRule="auto"/>
        <w:jc w:val="right"/>
        <w:rPr>
          <w:rFonts w:ascii="Times New Roman" w:hAnsi="Times New Roman" w:cs="Times New Roman"/>
        </w:rPr>
      </w:pPr>
      <w:r w:rsidRPr="00DF7224">
        <w:rPr>
          <w:rFonts w:ascii="Times New Roman" w:hAnsi="Times New Roman" w:cs="Times New Roman"/>
          <w:sz w:val="28"/>
          <w:szCs w:val="28"/>
        </w:rPr>
        <w:t>квалификационной работы</w:t>
      </w:r>
      <w:r w:rsidRPr="00DF7224">
        <w:rPr>
          <w:rFonts w:ascii="Times New Roman" w:hAnsi="Times New Roman" w:cs="Times New Roman"/>
        </w:rPr>
        <w:t xml:space="preserve"> </w:t>
      </w:r>
    </w:p>
    <w:p w:rsidR="00845C8D" w:rsidRPr="00DF7224" w:rsidRDefault="00523200"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д.э.н</w:t>
      </w:r>
      <w:r w:rsidR="00C167C2" w:rsidRPr="00DF7224">
        <w:rPr>
          <w:rFonts w:ascii="Times New Roman" w:hAnsi="Times New Roman" w:cs="Times New Roman"/>
          <w:sz w:val="28"/>
          <w:szCs w:val="28"/>
        </w:rPr>
        <w:t>.</w:t>
      </w:r>
      <w:r w:rsidR="00930FE1" w:rsidRPr="00DF7224">
        <w:rPr>
          <w:rFonts w:ascii="Times New Roman" w:hAnsi="Times New Roman" w:cs="Times New Roman"/>
          <w:sz w:val="28"/>
          <w:szCs w:val="28"/>
        </w:rPr>
        <w:t>,</w:t>
      </w:r>
      <w:r w:rsidRPr="00DF7224">
        <w:rPr>
          <w:rFonts w:ascii="Times New Roman" w:hAnsi="Times New Roman" w:cs="Times New Roman"/>
          <w:sz w:val="28"/>
          <w:szCs w:val="28"/>
        </w:rPr>
        <w:t xml:space="preserve"> п</w:t>
      </w:r>
      <w:r w:rsidR="00C167C2" w:rsidRPr="00DF7224">
        <w:rPr>
          <w:rFonts w:ascii="Times New Roman" w:hAnsi="Times New Roman" w:cs="Times New Roman"/>
          <w:sz w:val="28"/>
          <w:szCs w:val="28"/>
        </w:rPr>
        <w:t>рофессор,</w:t>
      </w: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Кузьмина Татьяна Ивановна</w:t>
      </w:r>
    </w:p>
    <w:p w:rsidR="00845C8D" w:rsidRPr="00DF7224" w:rsidRDefault="00845C8D" w:rsidP="007E0CA0">
      <w:pPr>
        <w:spacing w:after="0" w:line="240" w:lineRule="auto"/>
        <w:jc w:val="right"/>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______________</w:t>
      </w:r>
    </w:p>
    <w:p w:rsidR="00845C8D" w:rsidRPr="00DF7224" w:rsidRDefault="00845C8D" w:rsidP="007E0CA0">
      <w:pPr>
        <w:spacing w:after="0" w:line="240" w:lineRule="auto"/>
        <w:jc w:val="right"/>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r w:rsidRPr="00DF7224">
        <w:rPr>
          <w:rFonts w:ascii="Times New Roman" w:hAnsi="Times New Roman" w:cs="Times New Roman"/>
          <w:sz w:val="28"/>
          <w:szCs w:val="28"/>
        </w:rPr>
        <w:t>Автор</w:t>
      </w:r>
      <w:r w:rsidR="009022C6" w:rsidRPr="00DF7224">
        <w:rPr>
          <w:rFonts w:ascii="Times New Roman" w:hAnsi="Times New Roman" w:cs="Times New Roman"/>
          <w:sz w:val="28"/>
          <w:szCs w:val="28"/>
        </w:rPr>
        <w:t xml:space="preserve"> ВКР  </w:t>
      </w:r>
      <w:r w:rsidRPr="00DF7224">
        <w:rPr>
          <w:rFonts w:ascii="Times New Roman" w:hAnsi="Times New Roman" w:cs="Times New Roman"/>
          <w:sz w:val="28"/>
          <w:szCs w:val="28"/>
        </w:rPr>
        <w:t>______________</w:t>
      </w:r>
    </w:p>
    <w:p w:rsidR="00845C8D" w:rsidRPr="00DF7224" w:rsidRDefault="00845C8D" w:rsidP="007E0CA0">
      <w:pPr>
        <w:spacing w:after="0" w:line="240" w:lineRule="auto"/>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p>
    <w:p w:rsidR="00845C8D" w:rsidRPr="00DF7224" w:rsidRDefault="00845C8D" w:rsidP="007E0CA0">
      <w:pPr>
        <w:spacing w:after="0" w:line="240" w:lineRule="auto"/>
        <w:jc w:val="right"/>
        <w:rPr>
          <w:rFonts w:ascii="Times New Roman" w:hAnsi="Times New Roman" w:cs="Times New Roman"/>
          <w:sz w:val="28"/>
          <w:szCs w:val="28"/>
        </w:rPr>
      </w:pPr>
    </w:p>
    <w:p w:rsidR="00257C39" w:rsidRPr="00DF7224" w:rsidRDefault="00845C8D"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sz w:val="28"/>
          <w:szCs w:val="28"/>
        </w:rPr>
        <w:t>Москва – 2019</w:t>
      </w:r>
      <w:r w:rsidR="00257C39" w:rsidRPr="00DF7224">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1728912910"/>
        <w:docPartObj>
          <w:docPartGallery w:val="Table of Contents"/>
          <w:docPartUnique/>
        </w:docPartObj>
      </w:sdtPr>
      <w:sdtEndPr/>
      <w:sdtContent>
        <w:p w:rsidR="00F8793A" w:rsidRPr="00DF7224" w:rsidRDefault="00F8793A" w:rsidP="00E31A1D">
          <w:pPr>
            <w:pStyle w:val="a3"/>
            <w:spacing w:line="360" w:lineRule="auto"/>
            <w:jc w:val="center"/>
            <w:rPr>
              <w:rFonts w:ascii="Times New Roman" w:hAnsi="Times New Roman" w:cs="Times New Roman"/>
              <w:b w:val="0"/>
              <w:color w:val="auto"/>
            </w:rPr>
          </w:pPr>
          <w:r w:rsidRPr="00DF7224">
            <w:rPr>
              <w:rFonts w:ascii="Times New Roman" w:hAnsi="Times New Roman" w:cs="Times New Roman"/>
              <w:b w:val="0"/>
              <w:color w:val="auto"/>
            </w:rPr>
            <w:t>СОДЕРЖАНИЕ</w:t>
          </w:r>
        </w:p>
        <w:p w:rsidR="00E31A1D" w:rsidRPr="00DF7224" w:rsidRDefault="00F8793A">
          <w:pPr>
            <w:pStyle w:val="11"/>
            <w:rPr>
              <w:rFonts w:ascii="Times New Roman" w:eastAsiaTheme="minorEastAsia" w:hAnsi="Times New Roman" w:cs="Times New Roman"/>
              <w:noProof/>
              <w:sz w:val="28"/>
              <w:szCs w:val="28"/>
              <w:lang w:eastAsia="ru-RU"/>
            </w:rPr>
          </w:pPr>
          <w:r w:rsidRPr="00DF7224">
            <w:rPr>
              <w:rFonts w:ascii="Times New Roman" w:hAnsi="Times New Roman" w:cs="Times New Roman"/>
              <w:sz w:val="28"/>
              <w:szCs w:val="28"/>
            </w:rPr>
            <w:fldChar w:fldCharType="begin"/>
          </w:r>
          <w:r w:rsidRPr="00DF7224">
            <w:rPr>
              <w:rFonts w:ascii="Times New Roman" w:hAnsi="Times New Roman" w:cs="Times New Roman"/>
              <w:sz w:val="28"/>
              <w:szCs w:val="28"/>
            </w:rPr>
            <w:instrText xml:space="preserve"> TOC \o "1-3" \h \z \u </w:instrText>
          </w:r>
          <w:r w:rsidRPr="00DF7224">
            <w:rPr>
              <w:rFonts w:ascii="Times New Roman" w:hAnsi="Times New Roman" w:cs="Times New Roman"/>
              <w:sz w:val="28"/>
              <w:szCs w:val="28"/>
            </w:rPr>
            <w:fldChar w:fldCharType="separate"/>
          </w:r>
          <w:hyperlink w:anchor="_Toc10992389" w:history="1">
            <w:r w:rsidR="00E31A1D" w:rsidRPr="00DF7224">
              <w:rPr>
                <w:rStyle w:val="a4"/>
                <w:rFonts w:ascii="Times New Roman" w:eastAsia="Calibri" w:hAnsi="Times New Roman" w:cs="Times New Roman"/>
                <w:noProof/>
                <w:sz w:val="28"/>
                <w:szCs w:val="28"/>
              </w:rPr>
              <w:t>ВВЕДЕНИЕ</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_Toc10992389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3</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0" w:history="1">
            <w:r w:rsidR="00E31A1D" w:rsidRPr="00DF7224">
              <w:rPr>
                <w:rStyle w:val="a4"/>
                <w:rFonts w:ascii="Times New Roman" w:eastAsia="Calibri" w:hAnsi="Times New Roman" w:cs="Times New Roman"/>
                <w:noProof/>
                <w:sz w:val="28"/>
                <w:szCs w:val="28"/>
              </w:rPr>
              <w:t>ГЛАВА 1. ОБЩАЯ ХАРАКТЕРИСТИКА СОВРЕМЕННОГО СОСТОЯНИЯ ЭКОНОМИКИ ИСПАНИИ</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_Toc10992390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5</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1" w:history="1">
            <w:r w:rsidR="00E31A1D" w:rsidRPr="00DF7224">
              <w:rPr>
                <w:rStyle w:val="a4"/>
                <w:rFonts w:ascii="Times New Roman" w:eastAsia="Calibri" w:hAnsi="Times New Roman" w:cs="Times New Roman"/>
                <w:noProof/>
                <w:sz w:val="28"/>
                <w:szCs w:val="28"/>
              </w:rPr>
              <w:t xml:space="preserve">1.1 Факторы, определяющие хозяйственную деятельность </w:t>
            </w:r>
            <w:r w:rsidR="00E31A1D" w:rsidRPr="00DF7224">
              <w:rPr>
                <w:rStyle w:val="a4"/>
                <w:rFonts w:ascii="Times New Roman" w:hAnsi="Times New Roman" w:cs="Times New Roman"/>
                <w:noProof/>
                <w:sz w:val="28"/>
                <w:szCs w:val="28"/>
              </w:rPr>
              <w:t>Испании</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_Toc10992391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6</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2" w:history="1">
            <w:r w:rsidR="00E31A1D" w:rsidRPr="00DF7224">
              <w:rPr>
                <w:rStyle w:val="a4"/>
                <w:rFonts w:ascii="Times New Roman" w:eastAsia="Calibri" w:hAnsi="Times New Roman" w:cs="Times New Roman"/>
                <w:noProof/>
                <w:sz w:val="28"/>
                <w:szCs w:val="28"/>
              </w:rPr>
              <w:t>1.2 Анализ демографической ситуации в Испании</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_Toc10992392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13</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3" w:history="1">
            <w:r w:rsidR="00E31A1D" w:rsidRPr="00DF7224">
              <w:rPr>
                <w:rStyle w:val="a4"/>
                <w:rFonts w:ascii="Times New Roman" w:eastAsia="Calibri" w:hAnsi="Times New Roman" w:cs="Times New Roman"/>
                <w:noProof/>
                <w:sz w:val="28"/>
                <w:szCs w:val="28"/>
              </w:rPr>
              <w:t xml:space="preserve">1.3 Характеристика современного состояния экономики </w:t>
            </w:r>
            <w:r w:rsidR="00E31A1D" w:rsidRPr="00DF7224">
              <w:rPr>
                <w:rStyle w:val="a4"/>
                <w:rFonts w:ascii="Times New Roman" w:hAnsi="Times New Roman" w:cs="Times New Roman"/>
                <w:noProof/>
                <w:sz w:val="28"/>
                <w:szCs w:val="28"/>
              </w:rPr>
              <w:t>Испании</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_Toc10992393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20</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4" w:history="1">
            <w:r w:rsidR="00E31A1D" w:rsidRPr="00DF7224">
              <w:rPr>
                <w:rStyle w:val="a4"/>
                <w:rFonts w:ascii="Times New Roman" w:eastAsia="Calibri" w:hAnsi="Times New Roman" w:cs="Times New Roman"/>
                <w:noProof/>
                <w:sz w:val="28"/>
                <w:szCs w:val="28"/>
              </w:rPr>
              <w:t xml:space="preserve">ГЛАВА 2. АНАЛИЗ УЧАСТИЯ </w:t>
            </w:r>
            <w:r w:rsidR="00E31A1D" w:rsidRPr="00DF7224">
              <w:rPr>
                <w:rStyle w:val="a4"/>
                <w:rFonts w:ascii="Times New Roman" w:hAnsi="Times New Roman" w:cs="Times New Roman"/>
                <w:noProof/>
                <w:sz w:val="28"/>
                <w:szCs w:val="28"/>
              </w:rPr>
              <w:t>ИСПАНИИ</w:t>
            </w:r>
            <w:r w:rsidR="00E31A1D" w:rsidRPr="00DF7224">
              <w:rPr>
                <w:rStyle w:val="a4"/>
                <w:rFonts w:ascii="Times New Roman" w:eastAsia="Calibri" w:hAnsi="Times New Roman" w:cs="Times New Roman"/>
                <w:noProof/>
                <w:sz w:val="28"/>
                <w:szCs w:val="28"/>
              </w:rPr>
              <w:t xml:space="preserve"> В СИСТЕМЕ МИРОХОЗЯЙСТВЕННЫХ СВЯЗЕЙ</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_Toc10992394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30</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5" w:history="1">
            <w:r w:rsidR="00E31A1D" w:rsidRPr="00DF7224">
              <w:rPr>
                <w:rStyle w:val="a4"/>
                <w:rFonts w:ascii="Times New Roman" w:eastAsia="Calibri" w:hAnsi="Times New Roman" w:cs="Times New Roman"/>
                <w:noProof/>
                <w:sz w:val="28"/>
                <w:szCs w:val="28"/>
              </w:rPr>
              <w:t xml:space="preserve">2.1 Анализ международной торговли </w:t>
            </w:r>
            <w:r w:rsidR="00E31A1D" w:rsidRPr="00DF7224">
              <w:rPr>
                <w:rStyle w:val="a4"/>
                <w:rFonts w:ascii="Times New Roman" w:hAnsi="Times New Roman" w:cs="Times New Roman"/>
                <w:noProof/>
                <w:sz w:val="28"/>
                <w:szCs w:val="28"/>
              </w:rPr>
              <w:t>Испании</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_Toc10992395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30</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6" w:history="1">
            <w:r w:rsidR="00E31A1D" w:rsidRPr="00DF7224">
              <w:rPr>
                <w:rStyle w:val="a4"/>
                <w:rFonts w:ascii="Times New Roman" w:hAnsi="Times New Roman" w:cs="Times New Roman"/>
                <w:noProof/>
                <w:sz w:val="28"/>
                <w:szCs w:val="28"/>
              </w:rPr>
              <w:t>2.2 Внешнеэкономическая политика Испании</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_Toc10992396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35</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7" w:history="1">
            <w:r w:rsidR="00E31A1D" w:rsidRPr="00DF7224">
              <w:rPr>
                <w:rStyle w:val="a4"/>
                <w:rFonts w:ascii="Times New Roman" w:hAnsi="Times New Roman" w:cs="Times New Roman"/>
                <w:noProof/>
                <w:sz w:val="28"/>
                <w:szCs w:val="28"/>
              </w:rPr>
              <w:t>2.3 Участие Испании в интеграционном союзе – Европейский союз</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_Toc10992397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40</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8" w:history="1">
            <w:r w:rsidR="00E31A1D" w:rsidRPr="00DF7224">
              <w:rPr>
                <w:rStyle w:val="a4"/>
                <w:rFonts w:ascii="Times New Roman" w:eastAsiaTheme="majorEastAsia" w:hAnsi="Times New Roman" w:cs="Times New Roman"/>
                <w:bCs/>
                <w:noProof/>
                <w:sz w:val="28"/>
                <w:szCs w:val="28"/>
              </w:rPr>
              <w:t>ГЛАВА 3. ВНЕШНЕТОРГОВЫЕ ОТНОШЕНИЯ ИСПАНИИ С РОССИЙСКОЙ ФЕДЕРАЦИЕЙ</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_Toc10992398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48</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399" w:history="1">
            <w:r w:rsidR="00E31A1D" w:rsidRPr="00DF7224">
              <w:rPr>
                <w:rStyle w:val="a4"/>
                <w:rFonts w:ascii="Times New Roman" w:eastAsiaTheme="majorEastAsia" w:hAnsi="Times New Roman" w:cs="Times New Roman"/>
                <w:bCs/>
                <w:noProof/>
                <w:sz w:val="28"/>
                <w:szCs w:val="28"/>
              </w:rPr>
              <w:t>3.1 История развития отношений Испании с РФ</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_Toc10992399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48</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400" w:history="1">
            <w:r w:rsidR="00E31A1D" w:rsidRPr="00DF7224">
              <w:rPr>
                <w:rStyle w:val="a4"/>
                <w:rFonts w:ascii="Times New Roman" w:eastAsiaTheme="majorEastAsia" w:hAnsi="Times New Roman" w:cs="Times New Roman"/>
                <w:bCs/>
                <w:noProof/>
                <w:sz w:val="28"/>
                <w:szCs w:val="28"/>
              </w:rPr>
              <w:t>3.2 Современные экономические отношения Испании и РФ</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_Toc10992400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51</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401" w:history="1">
            <w:r w:rsidR="00E31A1D" w:rsidRPr="00DF7224">
              <w:rPr>
                <w:rStyle w:val="a4"/>
                <w:rFonts w:ascii="Times New Roman" w:eastAsiaTheme="majorEastAsia" w:hAnsi="Times New Roman" w:cs="Times New Roman"/>
                <w:bCs/>
                <w:noProof/>
                <w:sz w:val="28"/>
                <w:szCs w:val="28"/>
              </w:rPr>
              <w:t>3.3 Перспективы развития испанско-российских экономических отношений</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_Toc10992401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62</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402" w:history="1">
            <w:r w:rsidR="00E31A1D" w:rsidRPr="00DF7224">
              <w:rPr>
                <w:rStyle w:val="a4"/>
                <w:rFonts w:ascii="Times New Roman" w:eastAsia="Calibri" w:hAnsi="Times New Roman" w:cs="Times New Roman"/>
                <w:noProof/>
                <w:sz w:val="28"/>
                <w:szCs w:val="28"/>
              </w:rPr>
              <w:t>ЗАКЛЮЧЕНИЕ</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_Toc10992402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65</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403" w:history="1">
            <w:r w:rsidR="00E31A1D" w:rsidRPr="00DF7224">
              <w:rPr>
                <w:rStyle w:val="a4"/>
                <w:rFonts w:ascii="Times New Roman" w:eastAsia="Calibri" w:hAnsi="Times New Roman" w:cs="Times New Roman"/>
                <w:bCs/>
                <w:noProof/>
                <w:sz w:val="28"/>
                <w:szCs w:val="28"/>
              </w:rPr>
              <w:t>СПИСОК ИСПОЛЬЗОВАННОЙ ЛИТЕРАТУРЫ</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_Toc10992403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68</w:t>
            </w:r>
            <w:r w:rsidR="00E31A1D" w:rsidRPr="00DF7224">
              <w:rPr>
                <w:rFonts w:ascii="Times New Roman" w:hAnsi="Times New Roman" w:cs="Times New Roman"/>
                <w:noProof/>
                <w:webHidden/>
                <w:sz w:val="28"/>
                <w:szCs w:val="28"/>
              </w:rPr>
              <w:fldChar w:fldCharType="end"/>
            </w:r>
          </w:hyperlink>
        </w:p>
        <w:p w:rsidR="00E31A1D" w:rsidRPr="00DF7224" w:rsidRDefault="00940A07">
          <w:pPr>
            <w:pStyle w:val="11"/>
            <w:rPr>
              <w:rFonts w:ascii="Times New Roman" w:eastAsiaTheme="minorEastAsia" w:hAnsi="Times New Roman" w:cs="Times New Roman"/>
              <w:noProof/>
              <w:sz w:val="28"/>
              <w:szCs w:val="28"/>
              <w:lang w:eastAsia="ru-RU"/>
            </w:rPr>
          </w:pPr>
          <w:hyperlink w:anchor="_Toc10992404" w:history="1">
            <w:r w:rsidR="00E31A1D" w:rsidRPr="00DF7224">
              <w:rPr>
                <w:rStyle w:val="a4"/>
                <w:rFonts w:ascii="Times New Roman" w:hAnsi="Times New Roman" w:cs="Times New Roman"/>
                <w:noProof/>
                <w:sz w:val="28"/>
                <w:szCs w:val="28"/>
              </w:rPr>
              <w:t>ПРИЛОЖЕНИЯ</w:t>
            </w:r>
            <w:r w:rsidR="00E31A1D" w:rsidRPr="00DF7224">
              <w:rPr>
                <w:rFonts w:ascii="Times New Roman" w:hAnsi="Times New Roman" w:cs="Times New Roman"/>
                <w:noProof/>
                <w:webHidden/>
                <w:sz w:val="28"/>
                <w:szCs w:val="28"/>
              </w:rPr>
              <w:tab/>
            </w:r>
            <w:r w:rsidR="00E31A1D" w:rsidRPr="00DF7224">
              <w:rPr>
                <w:rFonts w:ascii="Times New Roman" w:hAnsi="Times New Roman" w:cs="Times New Roman"/>
                <w:noProof/>
                <w:webHidden/>
                <w:sz w:val="28"/>
                <w:szCs w:val="28"/>
              </w:rPr>
              <w:fldChar w:fldCharType="begin"/>
            </w:r>
            <w:r w:rsidR="00E31A1D" w:rsidRPr="00DF7224">
              <w:rPr>
                <w:rFonts w:ascii="Times New Roman" w:hAnsi="Times New Roman" w:cs="Times New Roman"/>
                <w:noProof/>
                <w:webHidden/>
                <w:sz w:val="28"/>
                <w:szCs w:val="28"/>
              </w:rPr>
              <w:instrText xml:space="preserve"> PAGEREF _Toc10992404 \h </w:instrText>
            </w:r>
            <w:r w:rsidR="00E31A1D" w:rsidRPr="00DF7224">
              <w:rPr>
                <w:rFonts w:ascii="Times New Roman" w:hAnsi="Times New Roman" w:cs="Times New Roman"/>
                <w:noProof/>
                <w:webHidden/>
                <w:sz w:val="28"/>
                <w:szCs w:val="28"/>
              </w:rPr>
            </w:r>
            <w:r w:rsidR="00E31A1D" w:rsidRPr="00DF7224">
              <w:rPr>
                <w:rFonts w:ascii="Times New Roman" w:hAnsi="Times New Roman" w:cs="Times New Roman"/>
                <w:noProof/>
                <w:webHidden/>
                <w:sz w:val="28"/>
                <w:szCs w:val="28"/>
              </w:rPr>
              <w:fldChar w:fldCharType="separate"/>
            </w:r>
            <w:r w:rsidR="007E636D" w:rsidRPr="00DF7224">
              <w:rPr>
                <w:rFonts w:ascii="Times New Roman" w:hAnsi="Times New Roman" w:cs="Times New Roman"/>
                <w:noProof/>
                <w:webHidden/>
                <w:sz w:val="28"/>
                <w:szCs w:val="28"/>
              </w:rPr>
              <w:t>72</w:t>
            </w:r>
            <w:r w:rsidR="00E31A1D" w:rsidRPr="00DF7224">
              <w:rPr>
                <w:rFonts w:ascii="Times New Roman" w:hAnsi="Times New Roman" w:cs="Times New Roman"/>
                <w:noProof/>
                <w:webHidden/>
                <w:sz w:val="28"/>
                <w:szCs w:val="28"/>
              </w:rPr>
              <w:fldChar w:fldCharType="end"/>
            </w:r>
          </w:hyperlink>
        </w:p>
        <w:p w:rsidR="00F8793A" w:rsidRPr="00DF7224" w:rsidRDefault="00F8793A" w:rsidP="00E31A1D">
          <w:pPr>
            <w:spacing w:after="0" w:line="360" w:lineRule="auto"/>
            <w:rPr>
              <w:rFonts w:ascii="Times New Roman" w:hAnsi="Times New Roman" w:cs="Times New Roman"/>
            </w:rPr>
          </w:pPr>
          <w:r w:rsidRPr="00DF7224">
            <w:rPr>
              <w:rFonts w:ascii="Times New Roman" w:hAnsi="Times New Roman" w:cs="Times New Roman"/>
              <w:b/>
              <w:bCs/>
              <w:sz w:val="28"/>
              <w:szCs w:val="28"/>
            </w:rPr>
            <w:fldChar w:fldCharType="end"/>
          </w:r>
        </w:p>
      </w:sdtContent>
    </w:sdt>
    <w:p w:rsidR="00F8793A" w:rsidRPr="00DF7224" w:rsidRDefault="00FC346F" w:rsidP="007E0CA0">
      <w:pPr>
        <w:spacing w:after="0"/>
        <w:rPr>
          <w:rFonts w:ascii="Times New Roman" w:eastAsia="Calibri" w:hAnsi="Times New Roman" w:cs="Times New Roman"/>
          <w:color w:val="000000"/>
          <w:sz w:val="24"/>
          <w:szCs w:val="24"/>
        </w:rPr>
      </w:pPr>
      <w:r w:rsidRPr="00DF7224">
        <w:rPr>
          <w:rFonts w:ascii="Times New Roman" w:eastAsia="Calibri" w:hAnsi="Times New Roman" w:cs="Times New Roman"/>
          <w:color w:val="000000"/>
          <w:sz w:val="24"/>
          <w:szCs w:val="24"/>
        </w:rPr>
        <w:br w:type="page"/>
      </w:r>
      <w:bookmarkStart w:id="0" w:name="_GoBack"/>
      <w:bookmarkEnd w:id="0"/>
    </w:p>
    <w:p w:rsidR="001A6747" w:rsidRPr="00DF7224" w:rsidRDefault="00F8793A" w:rsidP="00D41C2B">
      <w:pPr>
        <w:pStyle w:val="1"/>
        <w:spacing w:before="0" w:after="200" w:line="360" w:lineRule="auto"/>
        <w:ind w:firstLine="357"/>
        <w:jc w:val="center"/>
        <w:rPr>
          <w:rFonts w:ascii="Times New Roman" w:eastAsia="Calibri" w:hAnsi="Times New Roman" w:cs="Times New Roman"/>
          <w:b w:val="0"/>
          <w:color w:val="auto"/>
        </w:rPr>
      </w:pPr>
      <w:bookmarkStart w:id="1" w:name="_Toc10992389"/>
      <w:r w:rsidRPr="00DF7224">
        <w:rPr>
          <w:rFonts w:ascii="Times New Roman" w:eastAsia="Calibri" w:hAnsi="Times New Roman" w:cs="Times New Roman"/>
          <w:b w:val="0"/>
          <w:color w:val="auto"/>
        </w:rPr>
        <w:lastRenderedPageBreak/>
        <w:t>ВВЕДЕНИЕ</w:t>
      </w:r>
      <w:bookmarkEnd w:id="1"/>
      <w:r w:rsidR="00920AE0" w:rsidRPr="00DF7224">
        <w:rPr>
          <w:rFonts w:ascii="Times New Roman" w:eastAsia="Calibri" w:hAnsi="Times New Roman" w:cs="Times New Roman"/>
          <w:b w:val="0"/>
          <w:color w:val="auto"/>
        </w:rPr>
        <w:t xml:space="preserve"> </w:t>
      </w:r>
    </w:p>
    <w:p w:rsidR="000164C3" w:rsidRPr="00DF7224" w:rsidRDefault="000164C3" w:rsidP="007E0CA0">
      <w:pPr>
        <w:spacing w:after="0" w:line="360" w:lineRule="auto"/>
        <w:ind w:firstLine="709"/>
        <w:jc w:val="both"/>
        <w:rPr>
          <w:rFonts w:ascii="Times New Roman" w:eastAsiaTheme="minorEastAsia" w:hAnsi="Times New Roman" w:cs="Times New Roman"/>
          <w:sz w:val="28"/>
          <w:szCs w:val="24"/>
          <w:lang w:eastAsia="ru-RU"/>
        </w:rPr>
      </w:pPr>
      <w:r w:rsidRPr="00DF7224">
        <w:rPr>
          <w:rFonts w:ascii="Times New Roman" w:eastAsiaTheme="minorEastAsia" w:hAnsi="Times New Roman" w:cs="Times New Roman"/>
          <w:sz w:val="28"/>
          <w:szCs w:val="24"/>
          <w:lang w:eastAsia="ru-RU"/>
        </w:rPr>
        <w:t>Международные экономические отношения (МЭО) представляют собой систему хозяйственно-производственных, торгово-экономических, финансовых, научно-информационных и человеческих отношений между странами, обеспечивающую их международное сотрудничество и регулирование</w:t>
      </w:r>
      <w:r w:rsidR="00930FE1" w:rsidRPr="00DF7224">
        <w:rPr>
          <w:rFonts w:ascii="Times New Roman" w:eastAsiaTheme="minorEastAsia" w:hAnsi="Times New Roman" w:cs="Times New Roman"/>
          <w:sz w:val="28"/>
          <w:szCs w:val="24"/>
          <w:lang w:eastAsia="ru-RU"/>
        </w:rPr>
        <w:t xml:space="preserve"> </w:t>
      </w:r>
      <w:r w:rsidR="006212CE" w:rsidRPr="00DF7224">
        <w:rPr>
          <w:rFonts w:ascii="Times New Roman" w:eastAsiaTheme="minorEastAsia" w:hAnsi="Times New Roman" w:cs="Times New Roman"/>
          <w:sz w:val="28"/>
          <w:szCs w:val="24"/>
          <w:lang w:eastAsia="ru-RU"/>
        </w:rPr>
        <w:t>[26</w:t>
      </w:r>
      <w:r w:rsidRPr="00DF7224">
        <w:rPr>
          <w:rFonts w:ascii="Times New Roman" w:eastAsiaTheme="minorEastAsia" w:hAnsi="Times New Roman" w:cs="Times New Roman"/>
          <w:sz w:val="28"/>
          <w:szCs w:val="24"/>
          <w:lang w:eastAsia="ru-RU"/>
        </w:rPr>
        <w:t>]</w:t>
      </w:r>
      <w:r w:rsidR="004239D5" w:rsidRPr="00DF7224">
        <w:rPr>
          <w:rFonts w:ascii="Times New Roman" w:eastAsiaTheme="minorEastAsia" w:hAnsi="Times New Roman" w:cs="Times New Roman"/>
          <w:sz w:val="28"/>
          <w:szCs w:val="24"/>
          <w:lang w:eastAsia="ru-RU"/>
        </w:rPr>
        <w:t>.</w:t>
      </w:r>
    </w:p>
    <w:p w:rsidR="000164C3" w:rsidRPr="00DF7224" w:rsidRDefault="000164C3" w:rsidP="007E0CA0">
      <w:pPr>
        <w:spacing w:after="0" w:line="360" w:lineRule="auto"/>
        <w:ind w:firstLine="709"/>
        <w:jc w:val="both"/>
        <w:rPr>
          <w:rFonts w:ascii="Times New Roman" w:eastAsiaTheme="minorEastAsia" w:hAnsi="Times New Roman" w:cs="Times New Roman"/>
          <w:sz w:val="28"/>
          <w:szCs w:val="24"/>
          <w:lang w:eastAsia="ru-RU"/>
        </w:rPr>
      </w:pPr>
      <w:r w:rsidRPr="00DF7224">
        <w:rPr>
          <w:rFonts w:ascii="Times New Roman" w:eastAsiaTheme="minorEastAsia" w:hAnsi="Times New Roman" w:cs="Times New Roman"/>
          <w:sz w:val="28"/>
          <w:szCs w:val="24"/>
          <w:lang w:eastAsia="ru-RU"/>
        </w:rPr>
        <w:t xml:space="preserve">Ни одна современная страна не может обойтись без развития внешнеэкономических связей. Чтобы достаточно полно удовлетворять общественные потребности, необходимо целесообразно опираться на международное разделение труда и активно осуществлять обмен товарами и различного рода услугами между странами. </w:t>
      </w:r>
    </w:p>
    <w:p w:rsidR="007D31E1" w:rsidRPr="00DF7224" w:rsidRDefault="00404A90" w:rsidP="007E0CA0">
      <w:pPr>
        <w:spacing w:after="0" w:line="360" w:lineRule="auto"/>
        <w:ind w:firstLine="709"/>
        <w:jc w:val="both"/>
        <w:rPr>
          <w:rFonts w:ascii="Times New Roman" w:eastAsiaTheme="minorEastAsia" w:hAnsi="Times New Roman" w:cs="Times New Roman"/>
          <w:sz w:val="28"/>
          <w:szCs w:val="24"/>
          <w:lang w:eastAsia="ru-RU"/>
        </w:rPr>
      </w:pPr>
      <w:r w:rsidRPr="00DF7224">
        <w:rPr>
          <w:rFonts w:ascii="Times New Roman" w:eastAsiaTheme="minorEastAsia" w:hAnsi="Times New Roman" w:cs="Times New Roman"/>
          <w:sz w:val="28"/>
          <w:szCs w:val="24"/>
          <w:lang w:eastAsia="ru-RU"/>
        </w:rPr>
        <w:t>Внешнеэкономическая деятельность страны играет большую роль в становлении и развитии национальной экономики</w:t>
      </w:r>
      <w:r w:rsidR="007D31E1" w:rsidRPr="00DF7224">
        <w:rPr>
          <w:rFonts w:ascii="Times New Roman" w:eastAsiaTheme="minorEastAsia" w:hAnsi="Times New Roman" w:cs="Times New Roman"/>
          <w:sz w:val="28"/>
          <w:szCs w:val="24"/>
          <w:lang w:eastAsia="ru-RU"/>
        </w:rPr>
        <w:t xml:space="preserve">. Она является одной из главных тенденций на сегодняшний день к развитию и представляет собой  экономическую, политическую и культурную интеграцию всего мира, т.е. взаимодействие между странами посредством международных экономических отношений. </w:t>
      </w:r>
      <w:r w:rsidRPr="00DF7224">
        <w:rPr>
          <w:rFonts w:ascii="Times New Roman" w:eastAsiaTheme="minorEastAsia" w:hAnsi="Times New Roman" w:cs="Times New Roman"/>
          <w:sz w:val="28"/>
          <w:szCs w:val="24"/>
          <w:lang w:eastAsia="ru-RU"/>
        </w:rPr>
        <w:t>У</w:t>
      </w:r>
      <w:r w:rsidR="00930FE1" w:rsidRPr="00DF7224">
        <w:rPr>
          <w:rFonts w:ascii="Times New Roman" w:eastAsiaTheme="minorEastAsia" w:hAnsi="Times New Roman" w:cs="Times New Roman"/>
          <w:sz w:val="28"/>
          <w:szCs w:val="24"/>
          <w:lang w:eastAsia="ru-RU"/>
        </w:rPr>
        <w:t xml:space="preserve">частия страны в международных экономических отношениях </w:t>
      </w:r>
      <w:r w:rsidRPr="00DF7224">
        <w:rPr>
          <w:rFonts w:ascii="Times New Roman" w:eastAsiaTheme="minorEastAsia" w:hAnsi="Times New Roman" w:cs="Times New Roman"/>
          <w:sz w:val="28"/>
          <w:szCs w:val="24"/>
          <w:lang w:eastAsia="ru-RU"/>
        </w:rPr>
        <w:t>стало неотъемлемой частью экономики страны.</w:t>
      </w:r>
      <w:r w:rsidR="00930FE1" w:rsidRPr="00DF7224">
        <w:rPr>
          <w:rFonts w:ascii="Times New Roman" w:eastAsiaTheme="minorEastAsia" w:hAnsi="Times New Roman" w:cs="Times New Roman"/>
          <w:sz w:val="28"/>
          <w:szCs w:val="24"/>
          <w:lang w:eastAsia="ru-RU"/>
        </w:rPr>
        <w:t xml:space="preserve"> </w:t>
      </w:r>
      <w:r w:rsidR="007D31E1" w:rsidRPr="00DF7224">
        <w:rPr>
          <w:rFonts w:ascii="Times New Roman" w:eastAsiaTheme="minorEastAsia" w:hAnsi="Times New Roman" w:cs="Times New Roman"/>
          <w:sz w:val="28"/>
          <w:szCs w:val="24"/>
          <w:lang w:eastAsia="ru-RU"/>
        </w:rPr>
        <w:t xml:space="preserve">В этом и состоит актуальность темы данной работы, </w:t>
      </w:r>
      <w:r w:rsidRPr="00DF7224">
        <w:rPr>
          <w:rFonts w:ascii="Times New Roman" w:eastAsiaTheme="minorEastAsia" w:hAnsi="Times New Roman" w:cs="Times New Roman"/>
          <w:sz w:val="28"/>
          <w:szCs w:val="24"/>
          <w:lang w:eastAsia="ru-RU"/>
        </w:rPr>
        <w:t>внешнеэкономическая деятельность</w:t>
      </w:r>
      <w:r w:rsidR="007D31E1" w:rsidRPr="00DF7224">
        <w:rPr>
          <w:rFonts w:ascii="Times New Roman" w:eastAsiaTheme="minorEastAsia" w:hAnsi="Times New Roman" w:cs="Times New Roman"/>
          <w:sz w:val="28"/>
          <w:szCs w:val="24"/>
          <w:lang w:eastAsia="ru-RU"/>
        </w:rPr>
        <w:t xml:space="preserve"> – это неотъемлемая часть экономической политики всех стран мира. Кроме того, хорошо налаженные экономические </w:t>
      </w:r>
      <w:r w:rsidRPr="00DF7224">
        <w:rPr>
          <w:rFonts w:ascii="Times New Roman" w:eastAsiaTheme="minorEastAsia" w:hAnsi="Times New Roman" w:cs="Times New Roman"/>
          <w:sz w:val="28"/>
          <w:szCs w:val="24"/>
          <w:lang w:eastAsia="ru-RU"/>
        </w:rPr>
        <w:t xml:space="preserve">и торговые </w:t>
      </w:r>
      <w:r w:rsidR="007D31E1" w:rsidRPr="00DF7224">
        <w:rPr>
          <w:rFonts w:ascii="Times New Roman" w:eastAsiaTheme="minorEastAsia" w:hAnsi="Times New Roman" w:cs="Times New Roman"/>
          <w:sz w:val="28"/>
          <w:szCs w:val="24"/>
          <w:lang w:eastAsia="ru-RU"/>
        </w:rPr>
        <w:t>взаимоотношения со странами-партнерами могут значительно улучшить экономическое положение страны за счет взаимовыгодной торговли. Данный аспект международных экономических отношений особенно актуален в наши дни.</w:t>
      </w:r>
    </w:p>
    <w:p w:rsidR="000164C3" w:rsidRPr="00DF7224" w:rsidRDefault="000164C3" w:rsidP="007E0CA0">
      <w:pPr>
        <w:spacing w:after="0" w:line="360" w:lineRule="auto"/>
        <w:ind w:firstLine="709"/>
        <w:jc w:val="both"/>
        <w:rPr>
          <w:rFonts w:ascii="Times New Roman" w:eastAsiaTheme="minorEastAsia" w:hAnsi="Times New Roman" w:cs="Times New Roman"/>
          <w:sz w:val="28"/>
          <w:szCs w:val="24"/>
          <w:lang w:eastAsia="ru-RU"/>
        </w:rPr>
      </w:pPr>
      <w:r w:rsidRPr="00DF7224">
        <w:rPr>
          <w:rFonts w:ascii="Times New Roman" w:eastAsiaTheme="minorEastAsia" w:hAnsi="Times New Roman" w:cs="Times New Roman"/>
          <w:sz w:val="28"/>
          <w:szCs w:val="24"/>
          <w:lang w:eastAsia="ru-RU"/>
        </w:rPr>
        <w:t>В настоящей работе рассматриваются показатели эк</w:t>
      </w:r>
      <w:r w:rsidR="001E1195" w:rsidRPr="00DF7224">
        <w:rPr>
          <w:rFonts w:ascii="Times New Roman" w:eastAsiaTheme="minorEastAsia" w:hAnsi="Times New Roman" w:cs="Times New Roman"/>
          <w:sz w:val="28"/>
          <w:szCs w:val="24"/>
          <w:lang w:eastAsia="ru-RU"/>
        </w:rPr>
        <w:t xml:space="preserve">ономического развития Испании, </w:t>
      </w:r>
      <w:r w:rsidRPr="00DF7224">
        <w:rPr>
          <w:rFonts w:ascii="Times New Roman" w:eastAsiaTheme="minorEastAsia" w:hAnsi="Times New Roman" w:cs="Times New Roman"/>
          <w:sz w:val="28"/>
          <w:szCs w:val="24"/>
          <w:lang w:eastAsia="ru-RU"/>
        </w:rPr>
        <w:t>а также потенциал Испании в участии в международных экономических отношениях</w:t>
      </w:r>
      <w:r w:rsidR="00AD7A0D" w:rsidRPr="00DF7224">
        <w:rPr>
          <w:rFonts w:ascii="Times New Roman" w:eastAsiaTheme="minorEastAsia" w:hAnsi="Times New Roman" w:cs="Times New Roman"/>
          <w:sz w:val="28"/>
          <w:szCs w:val="24"/>
          <w:lang w:eastAsia="ru-RU"/>
        </w:rPr>
        <w:t xml:space="preserve"> и в мировой торговле</w:t>
      </w:r>
      <w:r w:rsidRPr="00DF7224">
        <w:rPr>
          <w:rFonts w:ascii="Times New Roman" w:eastAsiaTheme="minorEastAsia" w:hAnsi="Times New Roman" w:cs="Times New Roman"/>
          <w:sz w:val="28"/>
          <w:szCs w:val="24"/>
          <w:lang w:eastAsia="ru-RU"/>
        </w:rPr>
        <w:t>.</w:t>
      </w:r>
    </w:p>
    <w:p w:rsidR="000164C3" w:rsidRPr="00DF7224" w:rsidRDefault="000164C3" w:rsidP="007E0CA0">
      <w:pPr>
        <w:spacing w:after="0" w:line="360" w:lineRule="auto"/>
        <w:ind w:firstLine="709"/>
        <w:jc w:val="both"/>
        <w:rPr>
          <w:rFonts w:ascii="Times New Roman" w:eastAsiaTheme="minorEastAsia" w:hAnsi="Times New Roman" w:cs="Times New Roman"/>
          <w:sz w:val="28"/>
          <w:szCs w:val="24"/>
          <w:lang w:eastAsia="ru-RU"/>
        </w:rPr>
      </w:pPr>
      <w:r w:rsidRPr="00DF7224">
        <w:rPr>
          <w:rFonts w:ascii="Times New Roman" w:eastAsiaTheme="minorEastAsia" w:hAnsi="Times New Roman" w:cs="Times New Roman"/>
          <w:sz w:val="28"/>
          <w:szCs w:val="24"/>
          <w:lang w:eastAsia="ru-RU"/>
        </w:rPr>
        <w:lastRenderedPageBreak/>
        <w:t xml:space="preserve">Целью работы является изучение возможностей и пределов участия Испании в </w:t>
      </w:r>
      <w:r w:rsidR="001E1195" w:rsidRPr="00DF7224">
        <w:rPr>
          <w:rFonts w:ascii="Times New Roman" w:eastAsiaTheme="minorEastAsia" w:hAnsi="Times New Roman" w:cs="Times New Roman"/>
          <w:sz w:val="28"/>
          <w:szCs w:val="24"/>
          <w:lang w:eastAsia="ru-RU"/>
        </w:rPr>
        <w:t>международных экономических отношениях</w:t>
      </w:r>
      <w:r w:rsidRPr="00DF7224">
        <w:rPr>
          <w:rFonts w:ascii="Times New Roman" w:eastAsiaTheme="minorEastAsia" w:hAnsi="Times New Roman" w:cs="Times New Roman"/>
          <w:sz w:val="28"/>
          <w:szCs w:val="24"/>
          <w:lang w:eastAsia="ru-RU"/>
        </w:rPr>
        <w:t>.</w:t>
      </w:r>
    </w:p>
    <w:p w:rsidR="007D31E1" w:rsidRPr="00DF7224" w:rsidRDefault="000164C3" w:rsidP="007E0CA0">
      <w:pPr>
        <w:spacing w:after="0" w:line="360" w:lineRule="auto"/>
        <w:ind w:firstLine="709"/>
        <w:jc w:val="both"/>
        <w:rPr>
          <w:rFonts w:ascii="Times New Roman" w:eastAsiaTheme="minorEastAsia" w:hAnsi="Times New Roman" w:cs="Times New Roman"/>
          <w:sz w:val="28"/>
          <w:szCs w:val="24"/>
          <w:lang w:eastAsia="ru-RU"/>
        </w:rPr>
      </w:pPr>
      <w:r w:rsidRPr="00DF7224">
        <w:rPr>
          <w:rFonts w:ascii="Times New Roman" w:eastAsiaTheme="minorEastAsia" w:hAnsi="Times New Roman" w:cs="Times New Roman"/>
          <w:sz w:val="28"/>
          <w:szCs w:val="24"/>
          <w:lang w:eastAsia="ru-RU"/>
        </w:rPr>
        <w:t xml:space="preserve">Объектом работы выступает экономика </w:t>
      </w:r>
      <w:r w:rsidR="00FA0D3E" w:rsidRPr="00DF7224">
        <w:rPr>
          <w:rFonts w:ascii="Times New Roman" w:eastAsiaTheme="minorEastAsia" w:hAnsi="Times New Roman" w:cs="Times New Roman"/>
          <w:sz w:val="28"/>
          <w:szCs w:val="24"/>
          <w:lang w:eastAsia="ru-RU"/>
        </w:rPr>
        <w:t xml:space="preserve">и внешнеэкономическая деятельность </w:t>
      </w:r>
      <w:r w:rsidRPr="00DF7224">
        <w:rPr>
          <w:rFonts w:ascii="Times New Roman" w:eastAsiaTheme="minorEastAsia" w:hAnsi="Times New Roman" w:cs="Times New Roman"/>
          <w:sz w:val="28"/>
          <w:szCs w:val="24"/>
          <w:lang w:eastAsia="ru-RU"/>
        </w:rPr>
        <w:t>Испании</w:t>
      </w:r>
      <w:r w:rsidR="007D31E1" w:rsidRPr="00DF7224">
        <w:rPr>
          <w:rFonts w:ascii="Times New Roman" w:eastAsiaTheme="minorEastAsia" w:hAnsi="Times New Roman" w:cs="Times New Roman"/>
          <w:sz w:val="28"/>
          <w:szCs w:val="24"/>
          <w:lang w:eastAsia="ru-RU"/>
        </w:rPr>
        <w:t xml:space="preserve">, </w:t>
      </w:r>
      <w:r w:rsidRPr="00DF7224">
        <w:rPr>
          <w:rFonts w:ascii="Times New Roman" w:eastAsiaTheme="minorEastAsia" w:hAnsi="Times New Roman" w:cs="Times New Roman"/>
          <w:sz w:val="28"/>
          <w:szCs w:val="24"/>
          <w:lang w:eastAsia="ru-RU"/>
        </w:rPr>
        <w:t xml:space="preserve">а ее предметом - положение </w:t>
      </w:r>
      <w:r w:rsidR="007D31E1" w:rsidRPr="00DF7224">
        <w:rPr>
          <w:rFonts w:ascii="Times New Roman" w:eastAsiaTheme="minorEastAsia" w:hAnsi="Times New Roman" w:cs="Times New Roman"/>
          <w:sz w:val="28"/>
          <w:szCs w:val="24"/>
          <w:lang w:eastAsia="ru-RU"/>
        </w:rPr>
        <w:t>Испании</w:t>
      </w:r>
      <w:r w:rsidRPr="00DF7224">
        <w:rPr>
          <w:rFonts w:ascii="Times New Roman" w:eastAsiaTheme="minorEastAsia" w:hAnsi="Times New Roman" w:cs="Times New Roman"/>
          <w:sz w:val="28"/>
          <w:szCs w:val="24"/>
          <w:lang w:eastAsia="ru-RU"/>
        </w:rPr>
        <w:t xml:space="preserve"> в мировой экономике</w:t>
      </w:r>
      <w:r w:rsidR="00404A90" w:rsidRPr="00DF7224">
        <w:rPr>
          <w:rFonts w:ascii="Times New Roman" w:eastAsiaTheme="minorEastAsia" w:hAnsi="Times New Roman" w:cs="Times New Roman"/>
          <w:sz w:val="28"/>
          <w:szCs w:val="24"/>
          <w:lang w:eastAsia="ru-RU"/>
        </w:rPr>
        <w:t xml:space="preserve"> и торговле</w:t>
      </w:r>
      <w:r w:rsidRPr="00DF7224">
        <w:rPr>
          <w:rFonts w:ascii="Times New Roman" w:eastAsiaTheme="minorEastAsia" w:hAnsi="Times New Roman" w:cs="Times New Roman"/>
          <w:sz w:val="28"/>
          <w:szCs w:val="24"/>
          <w:lang w:eastAsia="ru-RU"/>
        </w:rPr>
        <w:t xml:space="preserve"> и пределы возможностей их функционирования.</w:t>
      </w:r>
    </w:p>
    <w:p w:rsidR="007D31E1" w:rsidRPr="00DF7224" w:rsidRDefault="007D31E1" w:rsidP="007E0CA0">
      <w:pPr>
        <w:spacing w:after="0" w:line="360" w:lineRule="auto"/>
        <w:ind w:firstLine="709"/>
        <w:jc w:val="both"/>
        <w:rPr>
          <w:rFonts w:ascii="Times New Roman" w:hAnsi="Times New Roman" w:cs="Times New Roman"/>
          <w:bCs/>
          <w:sz w:val="28"/>
          <w:szCs w:val="28"/>
        </w:rPr>
      </w:pPr>
      <w:r w:rsidRPr="00DF7224">
        <w:rPr>
          <w:rFonts w:ascii="Times New Roman" w:hAnsi="Times New Roman" w:cs="Times New Roman"/>
          <w:bCs/>
          <w:sz w:val="28"/>
          <w:szCs w:val="28"/>
        </w:rPr>
        <w:t>Достижению цели способствует последовательное решение следующих задач:</w:t>
      </w:r>
    </w:p>
    <w:p w:rsidR="007D31E1" w:rsidRPr="00DF7224" w:rsidRDefault="007D31E1" w:rsidP="007E0CA0">
      <w:pPr>
        <w:spacing w:after="0" w:line="360" w:lineRule="auto"/>
        <w:ind w:firstLine="709"/>
        <w:jc w:val="both"/>
        <w:rPr>
          <w:rFonts w:ascii="Times New Roman" w:hAnsi="Times New Roman" w:cs="Times New Roman"/>
          <w:bCs/>
          <w:sz w:val="28"/>
          <w:szCs w:val="28"/>
        </w:rPr>
      </w:pPr>
      <w:r w:rsidRPr="00DF7224">
        <w:rPr>
          <w:rFonts w:ascii="Times New Roman" w:hAnsi="Times New Roman" w:cs="Times New Roman"/>
          <w:bCs/>
          <w:sz w:val="28"/>
          <w:szCs w:val="28"/>
        </w:rPr>
        <w:t>- провести анализ современных тенденций макроэкономического развития Испании;</w:t>
      </w:r>
    </w:p>
    <w:p w:rsidR="000164C3" w:rsidRPr="00DF7224" w:rsidRDefault="007D31E1" w:rsidP="007E0CA0">
      <w:pPr>
        <w:spacing w:after="0" w:line="360" w:lineRule="auto"/>
        <w:ind w:firstLine="709"/>
        <w:jc w:val="both"/>
        <w:rPr>
          <w:rFonts w:ascii="Times New Roman" w:hAnsi="Times New Roman" w:cs="Times New Roman"/>
          <w:bCs/>
          <w:sz w:val="28"/>
          <w:szCs w:val="28"/>
        </w:rPr>
      </w:pPr>
      <w:r w:rsidRPr="00DF7224">
        <w:rPr>
          <w:rFonts w:ascii="Times New Roman" w:hAnsi="Times New Roman" w:cs="Times New Roman"/>
          <w:bCs/>
          <w:sz w:val="28"/>
          <w:szCs w:val="28"/>
        </w:rPr>
        <w:t>- определить основные макроэкономические показатели Испании;</w:t>
      </w:r>
    </w:p>
    <w:p w:rsidR="007D31E1" w:rsidRPr="00DF7224" w:rsidRDefault="007D31E1" w:rsidP="007E0CA0">
      <w:pPr>
        <w:spacing w:after="0" w:line="360" w:lineRule="auto"/>
        <w:ind w:firstLine="709"/>
        <w:jc w:val="both"/>
        <w:rPr>
          <w:rFonts w:ascii="Times New Roman" w:hAnsi="Times New Roman" w:cs="Times New Roman"/>
          <w:bCs/>
          <w:sz w:val="28"/>
          <w:szCs w:val="28"/>
        </w:rPr>
      </w:pPr>
      <w:r w:rsidRPr="00DF7224">
        <w:rPr>
          <w:rFonts w:ascii="Times New Roman" w:hAnsi="Times New Roman" w:cs="Times New Roman"/>
          <w:bCs/>
          <w:sz w:val="28"/>
          <w:szCs w:val="28"/>
        </w:rPr>
        <w:t>- рассмотреть условия и факторы, определяющие хозяйственную деятельность Испании;</w:t>
      </w:r>
    </w:p>
    <w:p w:rsidR="007D31E1" w:rsidRPr="00DF7224" w:rsidRDefault="007D31E1" w:rsidP="007E0CA0">
      <w:pPr>
        <w:spacing w:after="0" w:line="360" w:lineRule="auto"/>
        <w:ind w:firstLine="709"/>
        <w:jc w:val="both"/>
        <w:rPr>
          <w:rFonts w:ascii="Times New Roman" w:hAnsi="Times New Roman" w:cs="Times New Roman"/>
          <w:bCs/>
          <w:sz w:val="28"/>
          <w:szCs w:val="28"/>
        </w:rPr>
      </w:pPr>
      <w:r w:rsidRPr="00DF7224">
        <w:rPr>
          <w:rFonts w:ascii="Times New Roman" w:hAnsi="Times New Roman" w:cs="Times New Roman"/>
          <w:bCs/>
          <w:sz w:val="28"/>
          <w:szCs w:val="28"/>
        </w:rPr>
        <w:t>- проанализировать показатели международной торговли и внешнеэкономической политики Испании;</w:t>
      </w:r>
    </w:p>
    <w:p w:rsidR="00AD7A0D" w:rsidRPr="00DF7224" w:rsidRDefault="007D31E1" w:rsidP="007E0CA0">
      <w:pPr>
        <w:spacing w:after="0" w:line="360" w:lineRule="auto"/>
        <w:ind w:firstLine="709"/>
        <w:jc w:val="both"/>
        <w:rPr>
          <w:rFonts w:ascii="Times New Roman" w:hAnsi="Times New Roman" w:cs="Times New Roman"/>
        </w:rPr>
      </w:pPr>
      <w:r w:rsidRPr="00DF7224">
        <w:rPr>
          <w:rFonts w:ascii="Times New Roman" w:hAnsi="Times New Roman" w:cs="Times New Roman"/>
          <w:bCs/>
          <w:sz w:val="28"/>
          <w:szCs w:val="28"/>
        </w:rPr>
        <w:t>- проанализировать особенности экономического положения Испании в ЕС;</w:t>
      </w:r>
      <w:r w:rsidR="00AD7A0D" w:rsidRPr="00DF7224">
        <w:rPr>
          <w:rFonts w:ascii="Times New Roman" w:hAnsi="Times New Roman" w:cs="Times New Roman"/>
        </w:rPr>
        <w:t xml:space="preserve"> </w:t>
      </w:r>
    </w:p>
    <w:p w:rsidR="00FC346F" w:rsidRPr="00DF7224" w:rsidRDefault="00AD7A0D" w:rsidP="0043396F">
      <w:pPr>
        <w:spacing w:after="0" w:line="360" w:lineRule="auto"/>
        <w:ind w:firstLine="709"/>
        <w:jc w:val="both"/>
        <w:rPr>
          <w:rFonts w:ascii="Times New Roman" w:hAnsi="Times New Roman" w:cs="Times New Roman"/>
          <w:bCs/>
          <w:sz w:val="28"/>
          <w:szCs w:val="28"/>
        </w:rPr>
      </w:pPr>
      <w:r w:rsidRPr="00DF7224">
        <w:rPr>
          <w:rFonts w:ascii="Times New Roman" w:hAnsi="Times New Roman" w:cs="Times New Roman"/>
        </w:rPr>
        <w:t xml:space="preserve">- </w:t>
      </w:r>
      <w:r w:rsidRPr="00DF7224">
        <w:rPr>
          <w:rFonts w:ascii="Times New Roman" w:hAnsi="Times New Roman" w:cs="Times New Roman"/>
          <w:bCs/>
          <w:sz w:val="28"/>
          <w:szCs w:val="28"/>
        </w:rPr>
        <w:t>исследовать основные показатели, характеризующие особенности развития отношений И</w:t>
      </w:r>
      <w:r w:rsidR="003610E3" w:rsidRPr="00DF7224">
        <w:rPr>
          <w:rFonts w:ascii="Times New Roman" w:hAnsi="Times New Roman" w:cs="Times New Roman"/>
          <w:bCs/>
          <w:sz w:val="28"/>
          <w:szCs w:val="28"/>
        </w:rPr>
        <w:t>спании с Российской Федерацией.</w:t>
      </w:r>
    </w:p>
    <w:p w:rsidR="00BB2C42" w:rsidRPr="00DF7224" w:rsidRDefault="00301F3A" w:rsidP="0043396F">
      <w:pPr>
        <w:spacing w:after="0" w:line="360" w:lineRule="auto"/>
        <w:ind w:firstLine="709"/>
        <w:jc w:val="both"/>
        <w:rPr>
          <w:rFonts w:ascii="Times New Roman" w:hAnsi="Times New Roman" w:cs="Times New Roman"/>
          <w:bCs/>
          <w:sz w:val="28"/>
          <w:szCs w:val="28"/>
        </w:rPr>
      </w:pPr>
      <w:r w:rsidRPr="00DF7224">
        <w:rPr>
          <w:rFonts w:ascii="Times New Roman" w:hAnsi="Times New Roman" w:cs="Times New Roman"/>
          <w:bCs/>
          <w:sz w:val="28"/>
          <w:szCs w:val="28"/>
        </w:rPr>
        <w:t>Методологической базой д</w:t>
      </w:r>
      <w:r w:rsidR="0043396F" w:rsidRPr="00DF7224">
        <w:rPr>
          <w:rFonts w:ascii="Times New Roman" w:hAnsi="Times New Roman" w:cs="Times New Roman"/>
          <w:bCs/>
          <w:sz w:val="28"/>
          <w:szCs w:val="28"/>
        </w:rPr>
        <w:t>ля выполнения поставленных зад</w:t>
      </w:r>
      <w:r w:rsidRPr="00DF7224">
        <w:rPr>
          <w:rFonts w:ascii="Times New Roman" w:hAnsi="Times New Roman" w:cs="Times New Roman"/>
          <w:bCs/>
          <w:sz w:val="28"/>
          <w:szCs w:val="28"/>
        </w:rPr>
        <w:t>ач в работе служит совокупность таких методов как сравнительный анализ</w:t>
      </w:r>
      <w:r w:rsidR="0043396F" w:rsidRPr="00DF7224">
        <w:rPr>
          <w:rFonts w:ascii="Times New Roman" w:hAnsi="Times New Roman" w:cs="Times New Roman"/>
          <w:bCs/>
          <w:sz w:val="28"/>
          <w:szCs w:val="28"/>
        </w:rPr>
        <w:t xml:space="preserve">, </w:t>
      </w:r>
      <w:r w:rsidRPr="00DF7224">
        <w:rPr>
          <w:rFonts w:ascii="Times New Roman" w:hAnsi="Times New Roman" w:cs="Times New Roman"/>
          <w:bCs/>
          <w:sz w:val="28"/>
          <w:szCs w:val="28"/>
        </w:rPr>
        <w:t xml:space="preserve">метод количественных оценок, </w:t>
      </w:r>
      <w:r w:rsidR="0043396F" w:rsidRPr="00DF7224">
        <w:rPr>
          <w:rFonts w:ascii="Times New Roman" w:hAnsi="Times New Roman" w:cs="Times New Roman"/>
          <w:bCs/>
          <w:sz w:val="28"/>
          <w:szCs w:val="28"/>
        </w:rPr>
        <w:t xml:space="preserve">факторный анализ и </w:t>
      </w:r>
      <w:r w:rsidR="0043396F" w:rsidRPr="00DF7224">
        <w:rPr>
          <w:rFonts w:ascii="Times New Roman" w:hAnsi="Times New Roman" w:cs="Times New Roman"/>
          <w:bCs/>
          <w:sz w:val="28"/>
          <w:szCs w:val="28"/>
          <w:lang w:val="en-US"/>
        </w:rPr>
        <w:t>SWOT</w:t>
      </w:r>
      <w:r w:rsidR="0043396F" w:rsidRPr="00DF7224">
        <w:rPr>
          <w:rFonts w:ascii="Times New Roman" w:hAnsi="Times New Roman" w:cs="Times New Roman"/>
          <w:bCs/>
          <w:sz w:val="28"/>
          <w:szCs w:val="28"/>
        </w:rPr>
        <w:t xml:space="preserve">- анализ. Работа включает введение, основную часть, состоящую из трех глав, заключение, список литературы, </w:t>
      </w:r>
      <w:r w:rsidR="000E4183" w:rsidRPr="00DF7224">
        <w:rPr>
          <w:rFonts w:ascii="Times New Roman" w:hAnsi="Times New Roman" w:cs="Times New Roman"/>
          <w:bCs/>
          <w:sz w:val="28"/>
          <w:szCs w:val="28"/>
        </w:rPr>
        <w:t>20 таблиц и 9</w:t>
      </w:r>
      <w:r w:rsidR="0043396F" w:rsidRPr="00DF7224">
        <w:rPr>
          <w:rFonts w:ascii="Times New Roman" w:hAnsi="Times New Roman" w:cs="Times New Roman"/>
          <w:bCs/>
          <w:sz w:val="28"/>
          <w:szCs w:val="28"/>
        </w:rPr>
        <w:t xml:space="preserve"> рисунков.</w:t>
      </w:r>
    </w:p>
    <w:p w:rsidR="00FC346F" w:rsidRPr="00DF7224" w:rsidRDefault="00FC346F" w:rsidP="007E0CA0">
      <w:pPr>
        <w:spacing w:after="0"/>
        <w:rPr>
          <w:rFonts w:ascii="Times New Roman" w:hAnsi="Times New Roman" w:cs="Times New Roman"/>
        </w:rPr>
      </w:pPr>
      <w:r w:rsidRPr="00DF7224">
        <w:rPr>
          <w:rFonts w:ascii="Times New Roman" w:hAnsi="Times New Roman" w:cs="Times New Roman"/>
        </w:rPr>
        <w:br w:type="page"/>
      </w:r>
    </w:p>
    <w:p w:rsidR="007F5ADF" w:rsidRPr="00DF7224" w:rsidRDefault="00590FAA" w:rsidP="00B4086F">
      <w:pPr>
        <w:pStyle w:val="1"/>
        <w:spacing w:before="0" w:after="200" w:line="360" w:lineRule="auto"/>
        <w:ind w:firstLine="357"/>
        <w:jc w:val="center"/>
        <w:rPr>
          <w:rFonts w:ascii="Times New Roman" w:eastAsia="Calibri" w:hAnsi="Times New Roman" w:cs="Times New Roman"/>
          <w:b w:val="0"/>
          <w:color w:val="auto"/>
        </w:rPr>
      </w:pPr>
      <w:bookmarkStart w:id="2" w:name="_Toc10992390"/>
      <w:r w:rsidRPr="00DF7224">
        <w:rPr>
          <w:rFonts w:ascii="Times New Roman" w:eastAsia="Calibri" w:hAnsi="Times New Roman" w:cs="Times New Roman"/>
          <w:b w:val="0"/>
          <w:color w:val="auto"/>
        </w:rPr>
        <w:lastRenderedPageBreak/>
        <w:t xml:space="preserve">ГЛАВА </w:t>
      </w:r>
      <w:r w:rsidR="00FD5285" w:rsidRPr="00DF7224">
        <w:rPr>
          <w:rFonts w:ascii="Times New Roman" w:eastAsia="Calibri" w:hAnsi="Times New Roman" w:cs="Times New Roman"/>
          <w:b w:val="0"/>
          <w:color w:val="auto"/>
        </w:rPr>
        <w:t>1. ОБЩАЯ ХАРАКТЕРИСТИКА СОВРЕМЕННОГО СОСТОЯНИЯ ЭКОНОМИКИ ИСПАНИИ</w:t>
      </w:r>
      <w:bookmarkEnd w:id="2"/>
    </w:p>
    <w:p w:rsidR="001E1195" w:rsidRPr="00DF7224" w:rsidRDefault="001E1195" w:rsidP="007E0CA0">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 xml:space="preserve">Испания – государство, находящееся на Юго-западе Европы.  Территория </w:t>
      </w:r>
      <w:r w:rsidR="00527F7A" w:rsidRPr="00DF7224">
        <w:rPr>
          <w:rFonts w:ascii="Times New Roman" w:hAnsi="Times New Roman" w:cs="Times New Roman"/>
          <w:color w:val="000000" w:themeColor="text1"/>
          <w:sz w:val="28"/>
          <w:szCs w:val="28"/>
        </w:rPr>
        <w:t xml:space="preserve">– </w:t>
      </w:r>
      <w:r w:rsidR="00053D76" w:rsidRPr="00DF7224">
        <w:rPr>
          <w:rFonts w:ascii="Times New Roman" w:hAnsi="Times New Roman" w:cs="Times New Roman"/>
          <w:color w:val="000000" w:themeColor="text1"/>
          <w:sz w:val="28"/>
          <w:szCs w:val="28"/>
        </w:rPr>
        <w:t>505370</w:t>
      </w:r>
      <w:r w:rsidRPr="00DF7224">
        <w:rPr>
          <w:rFonts w:ascii="Times New Roman" w:hAnsi="Times New Roman" w:cs="Times New Roman"/>
          <w:color w:val="000000" w:themeColor="text1"/>
          <w:sz w:val="28"/>
          <w:szCs w:val="28"/>
        </w:rPr>
        <w:t xml:space="preserve"> кв. км, включа</w:t>
      </w:r>
      <w:r w:rsidR="009B650D" w:rsidRPr="00DF7224">
        <w:rPr>
          <w:rFonts w:ascii="Times New Roman" w:hAnsi="Times New Roman" w:cs="Times New Roman"/>
          <w:color w:val="000000" w:themeColor="text1"/>
          <w:sz w:val="28"/>
          <w:szCs w:val="28"/>
        </w:rPr>
        <w:t>ющая</w:t>
      </w:r>
      <w:r w:rsidRPr="00DF7224">
        <w:rPr>
          <w:rFonts w:ascii="Times New Roman" w:hAnsi="Times New Roman" w:cs="Times New Roman"/>
          <w:color w:val="000000" w:themeColor="text1"/>
          <w:sz w:val="28"/>
          <w:szCs w:val="28"/>
        </w:rPr>
        <w:t xml:space="preserve"> Балеарские острова (в том числе Питиусские) в Средиземном море и Канарские острова в Атлантическом океане, города Сеута и Мелилья на северном побережье Африки (Марокко). Испания имеет общие сухопутные границы с Францией, Португалией, Андоррой и английской колонией Гибралтар. Территория страны на востоке и юге омываетс</w:t>
      </w:r>
      <w:r w:rsidR="00AD7A0D" w:rsidRPr="00DF7224">
        <w:rPr>
          <w:rFonts w:ascii="Times New Roman" w:hAnsi="Times New Roman" w:cs="Times New Roman"/>
          <w:color w:val="000000" w:themeColor="text1"/>
          <w:sz w:val="28"/>
          <w:szCs w:val="28"/>
        </w:rPr>
        <w:t>я Средиземным морем, на западе –</w:t>
      </w:r>
      <w:r w:rsidRPr="00DF7224">
        <w:rPr>
          <w:rFonts w:ascii="Times New Roman" w:hAnsi="Times New Roman" w:cs="Times New Roman"/>
          <w:color w:val="000000" w:themeColor="text1"/>
          <w:sz w:val="28"/>
          <w:szCs w:val="28"/>
        </w:rPr>
        <w:t xml:space="preserve"> Ат</w:t>
      </w:r>
      <w:r w:rsidR="00AD7A0D" w:rsidRPr="00DF7224">
        <w:rPr>
          <w:rFonts w:ascii="Times New Roman" w:hAnsi="Times New Roman" w:cs="Times New Roman"/>
          <w:color w:val="000000" w:themeColor="text1"/>
          <w:sz w:val="28"/>
          <w:szCs w:val="28"/>
        </w:rPr>
        <w:t>лантическим океаном, на севере –</w:t>
      </w:r>
      <w:r w:rsidRPr="00DF7224">
        <w:rPr>
          <w:rFonts w:ascii="Times New Roman" w:hAnsi="Times New Roman" w:cs="Times New Roman"/>
          <w:color w:val="000000" w:themeColor="text1"/>
          <w:sz w:val="28"/>
          <w:szCs w:val="28"/>
        </w:rPr>
        <w:t xml:space="preserve"> Бискайским заливом (Кантабрийским морем). Испанское Королевство делится на 50 провинций, входящих в 17 автономных областей. По площади занимает 51 место в мире и 4 место в Европе, уступая Российской Федерации, Украине и Франции. Испания - Конституционная парламентская монархия, во главе государства стоит король. Законодательным органом является двухпалатный парламент - Генеральные кортесы, состоящие из Сената и Конгресса Депутатов. Исполнительную власть Испании</w:t>
      </w:r>
      <w:r w:rsidR="00AD7A0D" w:rsidRPr="00DF7224">
        <w:rPr>
          <w:rFonts w:ascii="Times New Roman" w:hAnsi="Times New Roman" w:cs="Times New Roman"/>
          <w:color w:val="000000" w:themeColor="text1"/>
          <w:sz w:val="28"/>
          <w:szCs w:val="28"/>
        </w:rPr>
        <w:t xml:space="preserve"> возглавляет премьер-министр.</w:t>
      </w:r>
    </w:p>
    <w:p w:rsidR="001E1195" w:rsidRPr="00DF7224" w:rsidRDefault="001E1195" w:rsidP="007E0CA0">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Испания входит в ЕС, ВТО, ОЭСР, и Зону Евро. Экономика Испании классифицируется как смешанная капиталистическая экономика. МВФ относит Испанию к странам с развитой экономикой; ОЭСР причисляет ее к странам с переходной экономикой; Всемирный Банк к странам с высоким уровнем дохода на душу населения; а по классификации Организации объединенных наций по промышленному развитию (ЮНИДО) – к странам и экономикам с развитой промышленностью.</w:t>
      </w:r>
    </w:p>
    <w:p w:rsidR="001E1195" w:rsidRPr="00DF7224" w:rsidRDefault="001E1195" w:rsidP="007E0CA0">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Испания известна своим экспортом</w:t>
      </w:r>
      <w:r w:rsidR="00523200" w:rsidRPr="00DF7224">
        <w:rPr>
          <w:rFonts w:ascii="Times New Roman" w:hAnsi="Times New Roman" w:cs="Times New Roman"/>
          <w:color w:val="000000" w:themeColor="text1"/>
          <w:sz w:val="28"/>
          <w:szCs w:val="28"/>
        </w:rPr>
        <w:t xml:space="preserve">, </w:t>
      </w:r>
      <w:r w:rsidR="00CA2A65" w:rsidRPr="00DF7224">
        <w:rPr>
          <w:rFonts w:ascii="Times New Roman" w:hAnsi="Times New Roman" w:cs="Times New Roman"/>
          <w:color w:val="000000" w:themeColor="text1"/>
          <w:sz w:val="28"/>
          <w:szCs w:val="28"/>
        </w:rPr>
        <w:t>в настоящее время занимает 19</w:t>
      </w:r>
      <w:r w:rsidRPr="00DF7224">
        <w:rPr>
          <w:rFonts w:ascii="Times New Roman" w:hAnsi="Times New Roman" w:cs="Times New Roman"/>
          <w:color w:val="000000" w:themeColor="text1"/>
          <w:sz w:val="28"/>
          <w:szCs w:val="28"/>
        </w:rPr>
        <w:t xml:space="preserve"> ме</w:t>
      </w:r>
      <w:r w:rsidR="00CA2A65" w:rsidRPr="00DF7224">
        <w:rPr>
          <w:rFonts w:ascii="Times New Roman" w:hAnsi="Times New Roman" w:cs="Times New Roman"/>
          <w:color w:val="000000" w:themeColor="text1"/>
          <w:sz w:val="28"/>
          <w:szCs w:val="28"/>
        </w:rPr>
        <w:t>сто в мировом экспорте и в 2017</w:t>
      </w:r>
      <w:r w:rsidRPr="00DF7224">
        <w:rPr>
          <w:rFonts w:ascii="Times New Roman" w:hAnsi="Times New Roman" w:cs="Times New Roman"/>
          <w:color w:val="000000" w:themeColor="text1"/>
          <w:sz w:val="28"/>
          <w:szCs w:val="28"/>
        </w:rPr>
        <w:t xml:space="preserve"> году занимала 15 место в мировом импорте. В 201</w:t>
      </w:r>
      <w:r w:rsidR="00CA2A65" w:rsidRPr="00DF7224">
        <w:rPr>
          <w:rFonts w:ascii="Times New Roman" w:hAnsi="Times New Roman" w:cs="Times New Roman"/>
          <w:color w:val="000000" w:themeColor="text1"/>
          <w:sz w:val="28"/>
          <w:szCs w:val="28"/>
        </w:rPr>
        <w:t>7</w:t>
      </w:r>
      <w:r w:rsidRPr="00DF7224">
        <w:rPr>
          <w:rFonts w:ascii="Times New Roman" w:hAnsi="Times New Roman" w:cs="Times New Roman"/>
          <w:color w:val="000000" w:themeColor="text1"/>
          <w:sz w:val="28"/>
          <w:szCs w:val="28"/>
        </w:rPr>
        <w:t xml:space="preserve"> году занимала </w:t>
      </w:r>
      <w:r w:rsidR="00CA2A65" w:rsidRPr="00DF7224">
        <w:rPr>
          <w:rFonts w:ascii="Times New Roman" w:hAnsi="Times New Roman" w:cs="Times New Roman"/>
          <w:color w:val="000000" w:themeColor="text1"/>
          <w:sz w:val="28"/>
          <w:szCs w:val="28"/>
        </w:rPr>
        <w:t>28 место</w:t>
      </w:r>
      <w:r w:rsidR="00734B42" w:rsidRPr="00DF7224">
        <w:rPr>
          <w:rFonts w:ascii="Times New Roman" w:hAnsi="Times New Roman" w:cs="Times New Roman"/>
          <w:color w:val="000000" w:themeColor="text1"/>
          <w:sz w:val="28"/>
          <w:szCs w:val="28"/>
        </w:rPr>
        <w:t xml:space="preserve"> </w:t>
      </w:r>
      <w:r w:rsidRPr="00DF7224">
        <w:rPr>
          <w:rFonts w:ascii="Times New Roman" w:hAnsi="Times New Roman" w:cs="Times New Roman"/>
          <w:color w:val="000000" w:themeColor="text1"/>
          <w:sz w:val="28"/>
          <w:szCs w:val="28"/>
        </w:rPr>
        <w:t>в мире по Индексу экономической сложности (</w:t>
      </w:r>
      <w:r w:rsidRPr="00DF7224">
        <w:rPr>
          <w:rFonts w:ascii="Times New Roman" w:hAnsi="Times New Roman" w:cs="Times New Roman"/>
          <w:color w:val="000000" w:themeColor="text1"/>
          <w:sz w:val="28"/>
          <w:szCs w:val="28"/>
          <w:lang w:val="en-US"/>
        </w:rPr>
        <w:t>the</w:t>
      </w:r>
      <w:r w:rsidRPr="00DF7224">
        <w:rPr>
          <w:rFonts w:ascii="Times New Roman" w:hAnsi="Times New Roman" w:cs="Times New Roman"/>
          <w:color w:val="000000" w:themeColor="text1"/>
          <w:sz w:val="28"/>
          <w:szCs w:val="28"/>
        </w:rPr>
        <w:t xml:space="preserve"> </w:t>
      </w:r>
      <w:r w:rsidRPr="00DF7224">
        <w:rPr>
          <w:rFonts w:ascii="Times New Roman" w:hAnsi="Times New Roman" w:cs="Times New Roman"/>
          <w:color w:val="000000" w:themeColor="text1"/>
          <w:sz w:val="28"/>
          <w:szCs w:val="28"/>
          <w:lang w:val="en-US"/>
        </w:rPr>
        <w:t>Economic</w:t>
      </w:r>
      <w:r w:rsidRPr="00DF7224">
        <w:rPr>
          <w:rFonts w:ascii="Times New Roman" w:hAnsi="Times New Roman" w:cs="Times New Roman"/>
          <w:color w:val="000000" w:themeColor="text1"/>
          <w:sz w:val="28"/>
          <w:szCs w:val="28"/>
        </w:rPr>
        <w:t xml:space="preserve"> </w:t>
      </w:r>
      <w:r w:rsidRPr="00DF7224">
        <w:rPr>
          <w:rFonts w:ascii="Times New Roman" w:hAnsi="Times New Roman" w:cs="Times New Roman"/>
          <w:color w:val="000000" w:themeColor="text1"/>
          <w:sz w:val="28"/>
          <w:szCs w:val="28"/>
          <w:lang w:val="en-US"/>
        </w:rPr>
        <w:t>Complexity</w:t>
      </w:r>
      <w:r w:rsidRPr="00DF7224">
        <w:rPr>
          <w:rFonts w:ascii="Times New Roman" w:hAnsi="Times New Roman" w:cs="Times New Roman"/>
          <w:color w:val="000000" w:themeColor="text1"/>
          <w:sz w:val="28"/>
          <w:szCs w:val="28"/>
        </w:rPr>
        <w:t xml:space="preserve"> </w:t>
      </w:r>
      <w:r w:rsidRPr="00DF7224">
        <w:rPr>
          <w:rFonts w:ascii="Times New Roman" w:hAnsi="Times New Roman" w:cs="Times New Roman"/>
          <w:color w:val="000000" w:themeColor="text1"/>
          <w:sz w:val="28"/>
          <w:szCs w:val="28"/>
          <w:lang w:val="en-US"/>
        </w:rPr>
        <w:t>Index</w:t>
      </w:r>
      <w:r w:rsidRPr="00DF7224">
        <w:rPr>
          <w:rFonts w:ascii="Times New Roman" w:hAnsi="Times New Roman" w:cs="Times New Roman"/>
          <w:color w:val="000000" w:themeColor="text1"/>
          <w:sz w:val="28"/>
          <w:szCs w:val="28"/>
        </w:rPr>
        <w:t xml:space="preserve"> (</w:t>
      </w:r>
      <w:r w:rsidRPr="00DF7224">
        <w:rPr>
          <w:rFonts w:ascii="Times New Roman" w:hAnsi="Times New Roman" w:cs="Times New Roman"/>
          <w:color w:val="000000" w:themeColor="text1"/>
          <w:sz w:val="28"/>
          <w:szCs w:val="28"/>
          <w:lang w:val="en-US"/>
        </w:rPr>
        <w:t>ECI</w:t>
      </w:r>
      <w:r w:rsidRPr="00DF7224">
        <w:rPr>
          <w:rFonts w:ascii="Times New Roman" w:hAnsi="Times New Roman" w:cs="Times New Roman"/>
          <w:color w:val="000000" w:themeColor="text1"/>
          <w:sz w:val="28"/>
          <w:szCs w:val="28"/>
        </w:rPr>
        <w:t>)).</w:t>
      </w:r>
      <w:r w:rsidRPr="00DF7224">
        <w:rPr>
          <w:rFonts w:ascii="Times New Roman" w:hAnsi="Times New Roman" w:cs="Times New Roman"/>
          <w:color w:val="000000" w:themeColor="text1"/>
          <w:sz w:val="28"/>
          <w:szCs w:val="28"/>
          <w:vertAlign w:val="superscript"/>
        </w:rPr>
        <w:t xml:space="preserve"> </w:t>
      </w:r>
      <w:r w:rsidRPr="00DF7224">
        <w:rPr>
          <w:rFonts w:ascii="Times New Roman" w:hAnsi="Times New Roman" w:cs="Times New Roman"/>
          <w:color w:val="000000" w:themeColor="text1"/>
          <w:sz w:val="28"/>
          <w:szCs w:val="28"/>
          <w:vertAlign w:val="superscript"/>
        </w:rPr>
        <w:footnoteReference w:id="1"/>
      </w:r>
    </w:p>
    <w:p w:rsidR="00CA2A65" w:rsidRPr="00DF7224" w:rsidRDefault="001E1195" w:rsidP="007E0CA0">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lastRenderedPageBreak/>
        <w:t xml:space="preserve">Так же стоит отметить, что по своим географическим особенностям Испания является аграрной страной. Большинство земель страны выделены аграриям, которые производят высоко конкурентную сельскохозяйственную продукцию, пользующуюся спросом во всем мире. После вступления Испании в Европейский союз аграрный сектор </w:t>
      </w:r>
      <w:r w:rsidR="00404A90" w:rsidRPr="00DF7224">
        <w:rPr>
          <w:rFonts w:ascii="Times New Roman" w:hAnsi="Times New Roman" w:cs="Times New Roman"/>
          <w:color w:val="000000" w:themeColor="text1"/>
          <w:sz w:val="28"/>
          <w:szCs w:val="28"/>
        </w:rPr>
        <w:t>перемещен</w:t>
      </w:r>
      <w:r w:rsidRPr="00DF7224">
        <w:rPr>
          <w:rFonts w:ascii="Times New Roman" w:hAnsi="Times New Roman" w:cs="Times New Roman"/>
          <w:color w:val="000000" w:themeColor="text1"/>
          <w:sz w:val="28"/>
          <w:szCs w:val="28"/>
        </w:rPr>
        <w:t xml:space="preserve"> на второй план в экономике государства, уступив место производственному сектору экономики, как приоритетному.</w:t>
      </w:r>
    </w:p>
    <w:p w:rsidR="00404A90" w:rsidRPr="00DF7224" w:rsidRDefault="00404A90" w:rsidP="00B83D21">
      <w:pPr>
        <w:spacing w:after="0" w:line="360" w:lineRule="auto"/>
        <w:jc w:val="both"/>
        <w:rPr>
          <w:rFonts w:ascii="Times New Roman" w:hAnsi="Times New Roman" w:cs="Times New Roman"/>
          <w:color w:val="000000" w:themeColor="text1"/>
          <w:sz w:val="28"/>
          <w:szCs w:val="28"/>
        </w:rPr>
      </w:pPr>
    </w:p>
    <w:p w:rsidR="0019702D" w:rsidRPr="00DF7224" w:rsidRDefault="00BD1278" w:rsidP="00827B16">
      <w:pPr>
        <w:pStyle w:val="1"/>
        <w:spacing w:before="0" w:line="360" w:lineRule="auto"/>
        <w:ind w:firstLine="709"/>
        <w:rPr>
          <w:rFonts w:ascii="Times New Roman" w:hAnsi="Times New Roman" w:cs="Times New Roman"/>
          <w:b w:val="0"/>
          <w:color w:val="auto"/>
        </w:rPr>
      </w:pPr>
      <w:bookmarkStart w:id="3" w:name="_Toc10992391"/>
      <w:r w:rsidRPr="00DF7224">
        <w:rPr>
          <w:rFonts w:ascii="Times New Roman" w:eastAsia="Calibri" w:hAnsi="Times New Roman" w:cs="Times New Roman"/>
          <w:b w:val="0"/>
          <w:color w:val="auto"/>
        </w:rPr>
        <w:t>1.1 Ф</w:t>
      </w:r>
      <w:r w:rsidR="00F8793A" w:rsidRPr="00DF7224">
        <w:rPr>
          <w:rFonts w:ascii="Times New Roman" w:eastAsia="Calibri" w:hAnsi="Times New Roman" w:cs="Times New Roman"/>
          <w:b w:val="0"/>
          <w:color w:val="auto"/>
        </w:rPr>
        <w:t xml:space="preserve">акторы, определяющие хозяйственную деятельность </w:t>
      </w:r>
      <w:r w:rsidR="00F8793A" w:rsidRPr="00DF7224">
        <w:rPr>
          <w:rFonts w:ascii="Times New Roman" w:hAnsi="Times New Roman" w:cs="Times New Roman"/>
          <w:b w:val="0"/>
          <w:color w:val="auto"/>
        </w:rPr>
        <w:t>Испании</w:t>
      </w:r>
      <w:bookmarkEnd w:id="3"/>
    </w:p>
    <w:p w:rsidR="00404A90" w:rsidRPr="00DF7224" w:rsidRDefault="00404A90" w:rsidP="007E0CA0">
      <w:pPr>
        <w:spacing w:after="0"/>
        <w:rPr>
          <w:rFonts w:ascii="Times New Roman" w:hAnsi="Times New Roman" w:cs="Times New Roman"/>
        </w:rPr>
      </w:pPr>
    </w:p>
    <w:p w:rsidR="00821367" w:rsidRPr="00DF7224" w:rsidRDefault="006E2E8F" w:rsidP="006E2E8F">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2017 год выделяется усилением жесткого противостояния между центральным правительством и властями Каталонии, которые продолжили настойчиво продвигать процесс обретения независимости от Испании путем проведения референдума, состоявшегося 1 октября 2017 года. По итогам референдума, проведение которого не признается Мадридом, Женералитет Каталонии в одностороннем порядке провозгласил независимость автономии. В этой ситуации правительство</w:t>
      </w:r>
      <w:r w:rsidR="00CC494A" w:rsidRPr="00DF7224">
        <w:t xml:space="preserve"> </w:t>
      </w:r>
      <w:r w:rsidR="00CC494A" w:rsidRPr="00DF7224">
        <w:rPr>
          <w:rFonts w:ascii="Times New Roman" w:hAnsi="Times New Roman" w:cs="Times New Roman"/>
          <w:sz w:val="28"/>
          <w:szCs w:val="28"/>
        </w:rPr>
        <w:t>премьер-министра Испании</w:t>
      </w:r>
      <w:r w:rsidRPr="00DF7224">
        <w:rPr>
          <w:rFonts w:ascii="Times New Roman" w:hAnsi="Times New Roman" w:cs="Times New Roman"/>
          <w:sz w:val="28"/>
          <w:szCs w:val="28"/>
        </w:rPr>
        <w:t xml:space="preserve"> М.Рахоя применило ранее никогда не использовавшуюся статью 155 испанской Конституции</w:t>
      </w:r>
      <w:r w:rsidR="00BD1278" w:rsidRPr="00DF7224">
        <w:rPr>
          <w:rFonts w:ascii="Times New Roman" w:hAnsi="Times New Roman" w:cs="Times New Roman"/>
          <w:sz w:val="28"/>
          <w:szCs w:val="28"/>
        </w:rPr>
        <w:t xml:space="preserve">, </w:t>
      </w:r>
      <w:r w:rsidRPr="00DF7224">
        <w:rPr>
          <w:rFonts w:ascii="Times New Roman" w:hAnsi="Times New Roman" w:cs="Times New Roman"/>
          <w:sz w:val="28"/>
          <w:szCs w:val="28"/>
        </w:rPr>
        <w:t>позволи</w:t>
      </w:r>
      <w:r w:rsidR="00BD1278" w:rsidRPr="00DF7224">
        <w:rPr>
          <w:rFonts w:ascii="Times New Roman" w:hAnsi="Times New Roman" w:cs="Times New Roman"/>
          <w:sz w:val="28"/>
          <w:szCs w:val="28"/>
        </w:rPr>
        <w:t>вшая</w:t>
      </w:r>
      <w:r w:rsidRPr="00DF7224">
        <w:rPr>
          <w:rFonts w:ascii="Times New Roman" w:hAnsi="Times New Roman" w:cs="Times New Roman"/>
          <w:sz w:val="28"/>
          <w:szCs w:val="28"/>
        </w:rPr>
        <w:t xml:space="preserve"> «заморозить» автономный статус региона и ввести временное управление из Мадрида, что в определенной степени стабилизировало испанское общество, подтвердило устойчивость конституционного строя. </w:t>
      </w:r>
      <w:r w:rsidR="008C6DC2" w:rsidRPr="00DF7224">
        <w:rPr>
          <w:rFonts w:ascii="Times New Roman" w:hAnsi="Times New Roman" w:cs="Times New Roman"/>
          <w:sz w:val="28"/>
          <w:szCs w:val="28"/>
        </w:rPr>
        <w:t>С</w:t>
      </w:r>
      <w:r w:rsidRPr="00DF7224">
        <w:rPr>
          <w:rFonts w:ascii="Times New Roman" w:hAnsi="Times New Roman" w:cs="Times New Roman"/>
          <w:sz w:val="28"/>
          <w:szCs w:val="28"/>
        </w:rPr>
        <w:t>остоявшиеся 21 декабря 2017 года досрочные парламентские выборы в Каталонии не принесли тех результатов, на которые рассчитывало центральное правительство. Хотя выборы и завершились победой партии «Ciudadanos» («Граждане»), вы</w:t>
      </w:r>
      <w:r w:rsidR="00821367" w:rsidRPr="00DF7224">
        <w:rPr>
          <w:rFonts w:ascii="Times New Roman" w:hAnsi="Times New Roman" w:cs="Times New Roman"/>
          <w:sz w:val="28"/>
          <w:szCs w:val="28"/>
        </w:rPr>
        <w:t>ступающей за единство Испании,</w:t>
      </w:r>
      <w:r w:rsidRPr="00DF7224">
        <w:rPr>
          <w:rFonts w:ascii="Times New Roman" w:hAnsi="Times New Roman" w:cs="Times New Roman"/>
          <w:sz w:val="28"/>
          <w:szCs w:val="28"/>
        </w:rPr>
        <w:t xml:space="preserve"> националсепаратистские партии, объединившись, получили абсолютное большинство в парламенте: 70 из 135 парламентских мест, что позволило им сформировать новую администрацию. Таким образом, не была достигнута цель досрочных выборов: добиться другой власти в Каталонии. </w:t>
      </w:r>
    </w:p>
    <w:p w:rsidR="00821367" w:rsidRPr="00DF7224" w:rsidRDefault="00821367" w:rsidP="006E2E8F">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lastRenderedPageBreak/>
        <w:t>Кроме того, наблюдается проблемы с коррупцией в стране, только за последние пять лет было выявлено несколько громких примеров коррупции. В 2018 году Испания заняла 41 место среди 180 стран (58 баллов из 100) в рейтинге «</w:t>
      </w:r>
      <w:r w:rsidR="006212CE" w:rsidRPr="00DF7224">
        <w:rPr>
          <w:rFonts w:ascii="Times New Roman" w:hAnsi="Times New Roman" w:cs="Times New Roman"/>
          <w:sz w:val="28"/>
          <w:szCs w:val="28"/>
        </w:rPr>
        <w:t>Индекс восприятия коррупции» [44</w:t>
      </w:r>
      <w:r w:rsidRPr="00DF7224">
        <w:rPr>
          <w:rFonts w:ascii="Times New Roman" w:hAnsi="Times New Roman" w:cs="Times New Roman"/>
          <w:sz w:val="28"/>
          <w:szCs w:val="28"/>
        </w:rPr>
        <w:t xml:space="preserve">]. </w:t>
      </w:r>
      <w:r w:rsidR="006E2E8F" w:rsidRPr="00DF7224">
        <w:rPr>
          <w:rFonts w:ascii="Times New Roman" w:hAnsi="Times New Roman" w:cs="Times New Roman"/>
          <w:sz w:val="28"/>
          <w:szCs w:val="28"/>
        </w:rPr>
        <w:t>В 2017 году Испанию продолжали потрясать коррупционные скандалы, в т.ч. связанные с именами крупных партийных, правительственных и региональных чиновников. Среди наиб</w:t>
      </w:r>
      <w:r w:rsidRPr="00DF7224">
        <w:rPr>
          <w:rFonts w:ascii="Times New Roman" w:hAnsi="Times New Roman" w:cs="Times New Roman"/>
          <w:sz w:val="28"/>
          <w:szCs w:val="28"/>
        </w:rPr>
        <w:t>олее громких – «Дело Гюртель»,</w:t>
      </w:r>
      <w:r w:rsidR="006E2E8F" w:rsidRPr="00DF7224">
        <w:rPr>
          <w:rFonts w:ascii="Times New Roman" w:hAnsi="Times New Roman" w:cs="Times New Roman"/>
          <w:sz w:val="28"/>
          <w:szCs w:val="28"/>
        </w:rPr>
        <w:t xml:space="preserve"> которое продемонстрировало наличие у правящей Народной партии «черной кассы», из которой финансировались предвыборные компании, политические мероприятия, а также выплачивались дополнительные</w:t>
      </w:r>
      <w:r w:rsidRPr="00DF7224">
        <w:rPr>
          <w:rFonts w:ascii="Times New Roman" w:hAnsi="Times New Roman" w:cs="Times New Roman"/>
          <w:sz w:val="28"/>
          <w:szCs w:val="28"/>
        </w:rPr>
        <w:t xml:space="preserve"> бонусы партийным функционерам.</w:t>
      </w:r>
    </w:p>
    <w:p w:rsidR="006E2E8F" w:rsidRPr="00DF7224" w:rsidRDefault="006E2E8F" w:rsidP="006E2E8F">
      <w:pPr>
        <w:spacing w:after="0" w:line="360" w:lineRule="auto"/>
        <w:ind w:firstLine="709"/>
        <w:jc w:val="both"/>
        <w:rPr>
          <w:rFonts w:ascii="Times New Roman" w:hAnsi="Times New Roman" w:cs="Times New Roman"/>
          <w:sz w:val="20"/>
          <w:szCs w:val="24"/>
        </w:rPr>
      </w:pPr>
      <w:r w:rsidRPr="00DF7224">
        <w:rPr>
          <w:rFonts w:ascii="Times New Roman" w:hAnsi="Times New Roman" w:cs="Times New Roman"/>
          <w:sz w:val="28"/>
          <w:szCs w:val="28"/>
        </w:rPr>
        <w:t>Вместе с тем, несмотря на «каталонский кризис», кабинет М.Рахоя контролирует ситуацию в стране, реализуемая им экономическая политика обусловила стабильный рост ВВП, на постоянной основе идет уменьшение числа безработных, экспорт страны практически ежемесячно устанавливает новые исторические рекорды поставок товаров за рубеж</w:t>
      </w:r>
      <w:r w:rsidRPr="00DF7224">
        <w:t>.</w:t>
      </w:r>
    </w:p>
    <w:p w:rsidR="00AA3382" w:rsidRPr="00DF7224" w:rsidRDefault="00586521"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Окружающая среда является серьезной темой в Испании. Это означает, что компании и частные лица одинаково подчиняются различным нормам в отношении уровня загрязнения, которое они создают, ресурсов, которые они используют</w:t>
      </w:r>
      <w:r w:rsidR="003B6B95" w:rsidRPr="00DF7224">
        <w:rPr>
          <w:rFonts w:ascii="Times New Roman" w:hAnsi="Times New Roman" w:cs="Times New Roman"/>
          <w:sz w:val="28"/>
          <w:szCs w:val="28"/>
        </w:rPr>
        <w:t xml:space="preserve">. </w:t>
      </w:r>
      <w:r w:rsidRPr="00DF7224">
        <w:rPr>
          <w:rFonts w:ascii="Times New Roman" w:hAnsi="Times New Roman" w:cs="Times New Roman"/>
          <w:sz w:val="28"/>
          <w:szCs w:val="28"/>
        </w:rPr>
        <w:t>Более 70% энергии Испании поступает из ископаемого топлива. Тем не менее, использование возобновляемых источников энергии растет. Испания не спешит внедрять возобновляемые и</w:t>
      </w:r>
      <w:r w:rsidR="003B6B95" w:rsidRPr="00DF7224">
        <w:rPr>
          <w:rFonts w:ascii="Times New Roman" w:hAnsi="Times New Roman" w:cs="Times New Roman"/>
          <w:sz w:val="28"/>
          <w:szCs w:val="28"/>
        </w:rPr>
        <w:t xml:space="preserve">сточники энергии, по сравнению </w:t>
      </w:r>
      <w:r w:rsidR="004239D5" w:rsidRPr="00DF7224">
        <w:rPr>
          <w:rFonts w:ascii="Times New Roman" w:hAnsi="Times New Roman" w:cs="Times New Roman"/>
          <w:sz w:val="28"/>
          <w:szCs w:val="28"/>
        </w:rPr>
        <w:t>с</w:t>
      </w:r>
      <w:r w:rsidR="00A400CE" w:rsidRPr="00DF7224">
        <w:rPr>
          <w:rFonts w:ascii="Times New Roman" w:hAnsi="Times New Roman" w:cs="Times New Roman"/>
          <w:sz w:val="28"/>
          <w:szCs w:val="28"/>
        </w:rPr>
        <w:t>о</w:t>
      </w:r>
      <w:r w:rsidRPr="00DF7224">
        <w:rPr>
          <w:rFonts w:ascii="Times New Roman" w:hAnsi="Times New Roman" w:cs="Times New Roman"/>
          <w:sz w:val="28"/>
          <w:szCs w:val="28"/>
        </w:rPr>
        <w:t xml:space="preserve"> скандинавскими странами, но </w:t>
      </w:r>
      <w:r w:rsidR="003B6B95" w:rsidRPr="00DF7224">
        <w:rPr>
          <w:rFonts w:ascii="Times New Roman" w:hAnsi="Times New Roman" w:cs="Times New Roman"/>
          <w:sz w:val="28"/>
          <w:szCs w:val="28"/>
        </w:rPr>
        <w:t xml:space="preserve">правительство признает, что </w:t>
      </w:r>
      <w:r w:rsidRPr="00DF7224">
        <w:rPr>
          <w:rFonts w:ascii="Times New Roman" w:hAnsi="Times New Roman" w:cs="Times New Roman"/>
          <w:sz w:val="28"/>
          <w:szCs w:val="28"/>
        </w:rPr>
        <w:t xml:space="preserve">есть осознание необходимости </w:t>
      </w:r>
      <w:r w:rsidR="003B6B95" w:rsidRPr="00DF7224">
        <w:rPr>
          <w:rFonts w:ascii="Times New Roman" w:hAnsi="Times New Roman" w:cs="Times New Roman"/>
          <w:sz w:val="28"/>
          <w:szCs w:val="28"/>
        </w:rPr>
        <w:t>разработки новых источников энергии.</w:t>
      </w:r>
    </w:p>
    <w:p w:rsidR="00D614E0" w:rsidRPr="00DF7224" w:rsidRDefault="00521B3F"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Стоить отметить, что Испания активно участвует во всех международных эко-программах. Так, например, страна является большим сторонником соблюдения Парижского соглашения</w:t>
      </w:r>
      <w:r w:rsidRPr="00DF7224">
        <w:rPr>
          <w:rStyle w:val="a9"/>
          <w:rFonts w:ascii="Times New Roman" w:hAnsi="Times New Roman" w:cs="Times New Roman"/>
          <w:sz w:val="28"/>
          <w:szCs w:val="28"/>
        </w:rPr>
        <w:footnoteReference w:id="2"/>
      </w:r>
      <w:r w:rsidR="00AA3382" w:rsidRPr="00DF7224">
        <w:rPr>
          <w:rFonts w:ascii="Times New Roman" w:hAnsi="Times New Roman" w:cs="Times New Roman"/>
          <w:sz w:val="28"/>
          <w:szCs w:val="28"/>
        </w:rPr>
        <w:t>. На 24 конференции по климату ООН, котор</w:t>
      </w:r>
      <w:r w:rsidR="00554DD3" w:rsidRPr="00DF7224">
        <w:rPr>
          <w:rFonts w:ascii="Times New Roman" w:hAnsi="Times New Roman" w:cs="Times New Roman"/>
          <w:sz w:val="28"/>
          <w:szCs w:val="28"/>
        </w:rPr>
        <w:t xml:space="preserve">ая прошла 2 декабря в 2018 году </w:t>
      </w:r>
      <w:r w:rsidR="00AA3382" w:rsidRPr="00DF7224">
        <w:rPr>
          <w:rFonts w:ascii="Times New Roman" w:hAnsi="Times New Roman" w:cs="Times New Roman"/>
          <w:sz w:val="28"/>
          <w:szCs w:val="28"/>
        </w:rPr>
        <w:t>[</w:t>
      </w:r>
      <w:r w:rsidR="006212CE" w:rsidRPr="00DF7224">
        <w:rPr>
          <w:rFonts w:ascii="Times New Roman" w:hAnsi="Times New Roman" w:cs="Times New Roman"/>
          <w:sz w:val="28"/>
          <w:szCs w:val="28"/>
        </w:rPr>
        <w:t>37</w:t>
      </w:r>
      <w:r w:rsidR="00AA3382" w:rsidRPr="00DF7224">
        <w:rPr>
          <w:rFonts w:ascii="Times New Roman" w:hAnsi="Times New Roman" w:cs="Times New Roman"/>
          <w:sz w:val="28"/>
          <w:szCs w:val="28"/>
        </w:rPr>
        <w:t xml:space="preserve">], испанский </w:t>
      </w:r>
      <w:r w:rsidR="00AA3382" w:rsidRPr="00DF7224">
        <w:rPr>
          <w:rFonts w:ascii="Times New Roman" w:hAnsi="Times New Roman" w:cs="Times New Roman"/>
          <w:sz w:val="28"/>
          <w:szCs w:val="28"/>
        </w:rPr>
        <w:lastRenderedPageBreak/>
        <w:t>премьер Педро Санчес призвал страны объединить усилия и выполнять обязательства, взятые на себя в рамках Парижского соглашения. Он также заявил, что Испания с 2020 года будет ежегодно выделять 900 миллионов евро на сокращение вредных выбросов в атмосферу и борьбу с климатическими изменениями.</w:t>
      </w:r>
    </w:p>
    <w:p w:rsidR="00B83D21" w:rsidRPr="00DF7224" w:rsidRDefault="00651915" w:rsidP="009B650D">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Рассмотрим проблемы и перспективы </w:t>
      </w:r>
      <w:r w:rsidR="00B83D21" w:rsidRPr="00DF7224">
        <w:rPr>
          <w:rFonts w:ascii="Times New Roman" w:hAnsi="Times New Roman" w:cs="Times New Roman"/>
          <w:sz w:val="28"/>
          <w:szCs w:val="28"/>
        </w:rPr>
        <w:t>Испании.</w:t>
      </w:r>
    </w:p>
    <w:tbl>
      <w:tblPr>
        <w:tblStyle w:val="ab"/>
        <w:tblW w:w="0" w:type="auto"/>
        <w:tblInd w:w="0" w:type="dxa"/>
        <w:tblLook w:val="04A0" w:firstRow="1" w:lastRow="0" w:firstColumn="1" w:lastColumn="0" w:noHBand="0" w:noVBand="1"/>
      </w:tblPr>
      <w:tblGrid>
        <w:gridCol w:w="4785"/>
        <w:gridCol w:w="4786"/>
      </w:tblGrid>
      <w:tr w:rsidR="00B83D21" w:rsidRPr="00DF7224" w:rsidTr="006D26B3">
        <w:tc>
          <w:tcPr>
            <w:tcW w:w="4785" w:type="dxa"/>
          </w:tcPr>
          <w:p w:rsidR="00B83D21" w:rsidRPr="00DF7224" w:rsidRDefault="00B83D21" w:rsidP="006D26B3">
            <w:pPr>
              <w:spacing w:line="360" w:lineRule="auto"/>
              <w:ind w:firstLine="709"/>
              <w:jc w:val="both"/>
              <w:rPr>
                <w:rFonts w:ascii="Times New Roman" w:hAnsi="Times New Roman" w:cs="Times New Roman"/>
                <w:i/>
                <w:sz w:val="24"/>
                <w:szCs w:val="28"/>
              </w:rPr>
            </w:pPr>
            <w:r w:rsidRPr="00DF7224">
              <w:rPr>
                <w:rFonts w:ascii="Times New Roman" w:hAnsi="Times New Roman" w:cs="Times New Roman"/>
                <w:i/>
                <w:sz w:val="24"/>
                <w:szCs w:val="28"/>
                <w:lang w:val="en-US"/>
              </w:rPr>
              <w:t>S</w:t>
            </w:r>
            <w:r w:rsidRPr="00DF7224">
              <w:rPr>
                <w:rFonts w:ascii="Times New Roman" w:hAnsi="Times New Roman" w:cs="Times New Roman"/>
                <w:i/>
                <w:sz w:val="24"/>
                <w:szCs w:val="28"/>
              </w:rPr>
              <w:t xml:space="preserve"> – Сильные стороны. </w:t>
            </w:r>
          </w:p>
        </w:tc>
        <w:tc>
          <w:tcPr>
            <w:tcW w:w="4786" w:type="dxa"/>
          </w:tcPr>
          <w:p w:rsidR="00B83D21" w:rsidRPr="00DF7224" w:rsidRDefault="00B83D21" w:rsidP="006D26B3">
            <w:pPr>
              <w:spacing w:line="360" w:lineRule="auto"/>
              <w:ind w:firstLine="709"/>
              <w:jc w:val="both"/>
              <w:rPr>
                <w:rFonts w:ascii="Times New Roman" w:hAnsi="Times New Roman" w:cs="Times New Roman"/>
                <w:i/>
                <w:sz w:val="24"/>
                <w:szCs w:val="28"/>
              </w:rPr>
            </w:pPr>
            <w:r w:rsidRPr="00DF7224">
              <w:rPr>
                <w:rFonts w:ascii="Times New Roman" w:hAnsi="Times New Roman" w:cs="Times New Roman"/>
                <w:i/>
                <w:sz w:val="24"/>
                <w:szCs w:val="28"/>
                <w:lang w:val="en-US"/>
              </w:rPr>
              <w:t>W</w:t>
            </w:r>
            <w:r w:rsidRPr="00DF7224">
              <w:rPr>
                <w:rFonts w:ascii="Times New Roman" w:hAnsi="Times New Roman" w:cs="Times New Roman"/>
                <w:i/>
                <w:sz w:val="24"/>
                <w:szCs w:val="28"/>
              </w:rPr>
              <w:t xml:space="preserve"> – Слабые стороны</w:t>
            </w:r>
          </w:p>
        </w:tc>
      </w:tr>
      <w:tr w:rsidR="00B83D21" w:rsidRPr="00DF7224" w:rsidTr="006D26B3">
        <w:tc>
          <w:tcPr>
            <w:tcW w:w="4785" w:type="dxa"/>
          </w:tcPr>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Привлекательное туристическое направление.</w:t>
            </w:r>
            <w:r w:rsidRPr="00DF7224">
              <w:rPr>
                <w:rFonts w:ascii="Times New Roman" w:hAnsi="Times New Roman" w:cs="Times New Roman"/>
                <w:sz w:val="24"/>
                <w:szCs w:val="28"/>
              </w:rPr>
              <w:t xml:space="preserve"> Одной из самых сильных сторон Испании является ее популярность как европейского туристического направления. Благодаря богатой культуре, прекрасным пляжам и теплому климату, Испания является привлекательным туристическим направлением для путешественников со всего мира. </w:t>
            </w:r>
          </w:p>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Хорошая инфраструктура.</w:t>
            </w:r>
            <w:r w:rsidRPr="00DF7224">
              <w:rPr>
                <w:rFonts w:ascii="Times New Roman" w:hAnsi="Times New Roman" w:cs="Times New Roman"/>
                <w:sz w:val="24"/>
                <w:szCs w:val="28"/>
              </w:rPr>
              <w:t xml:space="preserve"> Как и во многих других европейских странах, Испания имеет относительно высококачественную инфраструктуру с точки зрения транспорта, энергетики и телекоммуникаций. В некоторых частях страны имеются системы высокоскоростных поездов, хорошо построенные дороги, хороший энергетический охват и множество вышек сотовой связи, обеспечивающих сильный мобильный сигнал по всей стране. Сильная инфраструктура приводит к высокому качеству жизни и открывает Испанию для нового развития.</w:t>
            </w:r>
          </w:p>
          <w:p w:rsidR="00B83D21" w:rsidRPr="00DF7224" w:rsidRDefault="00B83D21" w:rsidP="006D26B3">
            <w:pPr>
              <w:spacing w:line="360" w:lineRule="auto"/>
              <w:jc w:val="both"/>
              <w:rPr>
                <w:rFonts w:ascii="Times New Roman" w:hAnsi="Times New Roman" w:cs="Times New Roman"/>
                <w:i/>
                <w:sz w:val="24"/>
                <w:szCs w:val="28"/>
              </w:rPr>
            </w:pPr>
          </w:p>
        </w:tc>
        <w:tc>
          <w:tcPr>
            <w:tcW w:w="4786" w:type="dxa"/>
          </w:tcPr>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Высокий уровень долга.</w:t>
            </w:r>
            <w:r w:rsidRPr="00DF7224">
              <w:rPr>
                <w:rFonts w:ascii="Times New Roman" w:hAnsi="Times New Roman" w:cs="Times New Roman"/>
                <w:sz w:val="24"/>
                <w:szCs w:val="28"/>
              </w:rPr>
              <w:t xml:space="preserve"> К сожалению, экономика Испании не является самой сильной в Европейском союзе. Примечательно, что испанская экономика имеет чрезвычайно высокий уровень долга. Это включает как государственный долг, за который несет ответственность сама страна (на правительственном уровне), так и частный долг, за который несут ответственность физические и юридические лица Испании. Это создает значительные препятствия для развития страны.</w:t>
            </w:r>
          </w:p>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Высокий уровень безработицы.</w:t>
            </w:r>
            <w:r w:rsidRPr="00DF7224">
              <w:rPr>
                <w:rFonts w:ascii="Times New Roman" w:hAnsi="Times New Roman" w:cs="Times New Roman"/>
                <w:sz w:val="24"/>
                <w:szCs w:val="28"/>
              </w:rPr>
              <w:t xml:space="preserve"> В Испании высокий уровень безработицы. В 2017 показатель достиг пика в 25%, что означает, что четверть работающего населения была безработной, но в настоящее время показатель снизился до 15%. Это означает, что примерно каждый шестой работоспособный гражданин является безработным.</w:t>
            </w:r>
          </w:p>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Низкие инвестиции в НИОКР.</w:t>
            </w:r>
            <w:r w:rsidRPr="00DF7224">
              <w:rPr>
                <w:rFonts w:ascii="Times New Roman" w:hAnsi="Times New Roman" w:cs="Times New Roman"/>
                <w:sz w:val="24"/>
                <w:szCs w:val="28"/>
              </w:rPr>
              <w:t xml:space="preserve"> Правительство Испании, а также частные компании мало инвестируют в исследования и разработки. В стране мало </w:t>
            </w:r>
            <w:r w:rsidRPr="00DF7224">
              <w:rPr>
                <w:rFonts w:ascii="Times New Roman" w:hAnsi="Times New Roman" w:cs="Times New Roman"/>
                <w:sz w:val="24"/>
                <w:szCs w:val="28"/>
              </w:rPr>
              <w:lastRenderedPageBreak/>
              <w:t xml:space="preserve">инноваций и очень мало секторов, в которых Испания действительно находится на «первом месте» отрасли. </w:t>
            </w:r>
          </w:p>
        </w:tc>
      </w:tr>
      <w:tr w:rsidR="00B83D21" w:rsidRPr="00DF7224" w:rsidTr="006D26B3">
        <w:tc>
          <w:tcPr>
            <w:tcW w:w="4785" w:type="dxa"/>
          </w:tcPr>
          <w:p w:rsidR="00B83D21" w:rsidRPr="00DF7224" w:rsidRDefault="00B83D21" w:rsidP="006D26B3">
            <w:pPr>
              <w:spacing w:line="360" w:lineRule="auto"/>
              <w:ind w:firstLine="709"/>
              <w:jc w:val="both"/>
              <w:rPr>
                <w:rFonts w:ascii="Times New Roman" w:hAnsi="Times New Roman" w:cs="Times New Roman"/>
                <w:i/>
                <w:sz w:val="24"/>
                <w:szCs w:val="28"/>
              </w:rPr>
            </w:pPr>
            <w:r w:rsidRPr="00DF7224">
              <w:rPr>
                <w:rFonts w:ascii="Times New Roman" w:hAnsi="Times New Roman" w:cs="Times New Roman"/>
                <w:i/>
                <w:sz w:val="24"/>
                <w:szCs w:val="28"/>
                <w:lang w:val="en-US"/>
              </w:rPr>
              <w:lastRenderedPageBreak/>
              <w:t>O</w:t>
            </w:r>
            <w:r w:rsidRPr="00DF7224">
              <w:rPr>
                <w:rFonts w:ascii="Times New Roman" w:hAnsi="Times New Roman" w:cs="Times New Roman"/>
                <w:i/>
                <w:sz w:val="24"/>
                <w:szCs w:val="28"/>
              </w:rPr>
              <w:t xml:space="preserve"> – Возможности</w:t>
            </w:r>
          </w:p>
        </w:tc>
        <w:tc>
          <w:tcPr>
            <w:tcW w:w="4786" w:type="dxa"/>
          </w:tcPr>
          <w:p w:rsidR="00B83D21" w:rsidRPr="00DF7224" w:rsidRDefault="00B83D21" w:rsidP="006D26B3">
            <w:pPr>
              <w:spacing w:line="360" w:lineRule="auto"/>
              <w:ind w:firstLine="709"/>
              <w:jc w:val="both"/>
              <w:rPr>
                <w:rFonts w:ascii="Times New Roman" w:hAnsi="Times New Roman" w:cs="Times New Roman"/>
                <w:i/>
                <w:sz w:val="24"/>
                <w:szCs w:val="28"/>
              </w:rPr>
            </w:pPr>
            <w:r w:rsidRPr="00DF7224">
              <w:rPr>
                <w:rFonts w:ascii="Times New Roman" w:hAnsi="Times New Roman" w:cs="Times New Roman"/>
                <w:i/>
                <w:sz w:val="24"/>
                <w:szCs w:val="28"/>
                <w:lang w:val="en-US"/>
              </w:rPr>
              <w:t>T</w:t>
            </w:r>
            <w:r w:rsidRPr="00DF7224">
              <w:rPr>
                <w:rFonts w:ascii="Times New Roman" w:hAnsi="Times New Roman" w:cs="Times New Roman"/>
                <w:i/>
                <w:sz w:val="24"/>
                <w:szCs w:val="28"/>
              </w:rPr>
              <w:t xml:space="preserve"> – Угрозы</w:t>
            </w:r>
          </w:p>
        </w:tc>
      </w:tr>
      <w:tr w:rsidR="00B83D21" w:rsidRPr="00DF7224" w:rsidTr="006D26B3">
        <w:trPr>
          <w:trHeight w:val="85"/>
        </w:trPr>
        <w:tc>
          <w:tcPr>
            <w:tcW w:w="4785" w:type="dxa"/>
          </w:tcPr>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Коррупция и уклонение от уплаты налогов.</w:t>
            </w:r>
            <w:r w:rsidRPr="00DF7224">
              <w:rPr>
                <w:rFonts w:ascii="Times New Roman" w:hAnsi="Times New Roman" w:cs="Times New Roman"/>
                <w:sz w:val="24"/>
                <w:szCs w:val="28"/>
              </w:rPr>
              <w:t xml:space="preserve"> Слабые стороны могут уступить место новым возможностям. Две слабости, которые не были упомянуты ранее – высокий уровень коррупции в Испании и уклонение от уплаты налогов – могут стать возможностями для продвижения страны вперед. Борьба с коррупцией гарантирует, что государственные средства будут потрачены на развитие страны, а сокращение уклонения от уплаты налогов даст правительству больше средств в бюджет.</w:t>
            </w:r>
          </w:p>
          <w:p w:rsidR="00B83D21" w:rsidRPr="00DF7224" w:rsidRDefault="00B83D21" w:rsidP="006D26B3">
            <w:pPr>
              <w:spacing w:line="360" w:lineRule="auto"/>
              <w:jc w:val="both"/>
              <w:rPr>
                <w:rFonts w:ascii="Times New Roman" w:hAnsi="Times New Roman" w:cs="Times New Roman"/>
                <w:i/>
                <w:sz w:val="24"/>
                <w:szCs w:val="28"/>
              </w:rPr>
            </w:pPr>
            <w:r w:rsidRPr="00DF7224">
              <w:rPr>
                <w:rFonts w:ascii="Times New Roman" w:hAnsi="Times New Roman" w:cs="Times New Roman"/>
                <w:i/>
                <w:sz w:val="24"/>
                <w:szCs w:val="28"/>
              </w:rPr>
              <w:t>Возобновляемая энергия.</w:t>
            </w:r>
            <w:r w:rsidRPr="00DF7224">
              <w:rPr>
                <w:rFonts w:ascii="Times New Roman" w:hAnsi="Times New Roman" w:cs="Times New Roman"/>
                <w:sz w:val="24"/>
                <w:szCs w:val="28"/>
              </w:rPr>
              <w:t xml:space="preserve"> Благодаря длинной береговой линии, сильному океанскому бризу и большому количеству солнечного света Испания кажется идеальным кандидатом на освоение различных источников возобновляемой энергии. Большая часть неиспользуемых в настоящее время береговых линий может стать приливными электростанциями, в то время как ветряные мельницы и солнечные батареи могут использоваться по всей стране в качестве дешевого и устойчивого источника энергии. Хотя это было бы чрезвычайно полезно с экологической точки зрения, это также позволило бы Испании постепенно уменьшить свою зависимость от импортируемого топлива.</w:t>
            </w:r>
          </w:p>
        </w:tc>
        <w:tc>
          <w:tcPr>
            <w:tcW w:w="4786" w:type="dxa"/>
          </w:tcPr>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Сокращение экспорта в Великобританию</w:t>
            </w:r>
            <w:r w:rsidRPr="00DF7224">
              <w:rPr>
                <w:rFonts w:ascii="Times New Roman" w:hAnsi="Times New Roman" w:cs="Times New Roman"/>
                <w:sz w:val="24"/>
                <w:szCs w:val="28"/>
              </w:rPr>
              <w:t>. С предстоящим уходом Соединенного Королевства из ЕС, Испания может столкнуться с серьезными последствиями. До сих пор очень неясно, как развернется Brexit, но если он ограничит поездки британских граждан в Европейский Союз, это может оказать серьезное влияние на туристическую индустрию Испании. Также следует отметить, что Великобритания является пятым по величине экспортным направлением Испании. Изменение торговых правил может снизить доходы Испании.</w:t>
            </w:r>
          </w:p>
          <w:p w:rsidR="00B83D21" w:rsidRPr="00DF7224" w:rsidRDefault="00B83D21" w:rsidP="006D26B3">
            <w:pPr>
              <w:spacing w:line="360" w:lineRule="auto"/>
              <w:ind w:firstLine="709"/>
              <w:jc w:val="both"/>
              <w:rPr>
                <w:rFonts w:ascii="Times New Roman" w:hAnsi="Times New Roman" w:cs="Times New Roman"/>
                <w:sz w:val="24"/>
                <w:szCs w:val="28"/>
              </w:rPr>
            </w:pPr>
            <w:r w:rsidRPr="00DF7224">
              <w:rPr>
                <w:rFonts w:ascii="Times New Roman" w:hAnsi="Times New Roman" w:cs="Times New Roman"/>
                <w:i/>
                <w:sz w:val="24"/>
                <w:szCs w:val="28"/>
              </w:rPr>
              <w:t>Каталонская борьба за независимость.</w:t>
            </w:r>
            <w:r w:rsidRPr="00DF7224">
              <w:rPr>
                <w:rFonts w:ascii="Times New Roman" w:hAnsi="Times New Roman" w:cs="Times New Roman"/>
                <w:sz w:val="24"/>
                <w:szCs w:val="28"/>
              </w:rPr>
              <w:t xml:space="preserve"> Каталония является очень развитой областью в Испании, со своей собственной культурой и языком. Вокруг Каталонии уже давно существует политическая нестабильность, и часть жителей региона постоянно призывает к независимости. Если Каталония оторвется от Испании, это может иметь серьезные последствия для экономики Испании.</w:t>
            </w:r>
          </w:p>
        </w:tc>
      </w:tr>
    </w:tbl>
    <w:p w:rsidR="00B83D21" w:rsidRPr="00DF7224" w:rsidRDefault="00B83D21" w:rsidP="00B83D21">
      <w:pPr>
        <w:spacing w:after="0" w:line="360" w:lineRule="auto"/>
        <w:jc w:val="both"/>
        <w:rPr>
          <w:rFonts w:ascii="Times New Roman" w:hAnsi="Times New Roman" w:cs="Times New Roman"/>
          <w:sz w:val="28"/>
          <w:szCs w:val="28"/>
        </w:rPr>
      </w:pPr>
    </w:p>
    <w:p w:rsidR="009B650D" w:rsidRPr="00DF7224" w:rsidRDefault="009B650D" w:rsidP="009B650D">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Основной целью промышленной политики Испании в 2017 г. </w:t>
      </w:r>
      <w:r w:rsidR="00A400CE" w:rsidRPr="00DF7224">
        <w:rPr>
          <w:rFonts w:ascii="Times New Roman" w:hAnsi="Times New Roman" w:cs="Times New Roman"/>
          <w:sz w:val="28"/>
          <w:szCs w:val="28"/>
        </w:rPr>
        <w:t>п</w:t>
      </w:r>
      <w:r w:rsidRPr="00DF7224">
        <w:rPr>
          <w:rFonts w:ascii="Times New Roman" w:hAnsi="Times New Roman" w:cs="Times New Roman"/>
          <w:sz w:val="28"/>
          <w:szCs w:val="28"/>
        </w:rPr>
        <w:t>родолжал являться рост доли промышленного производства в ВВП и создание новых рабочих мест. Для достижения вышеуказанных целей продолжал реализовываться План конкретных действий «Укрепление промышленного сектора Испании», принятый Советом министров Испании еще 11.06.2014 года. Секторами промышленности, которые вносят основной вклад в ВВП Испании, являются: автомобилестроение, аэрокосмическая промышленность, судостроение, химическая и фармацевтическая промышленность. В 2017 г. объем промышленного производства составил 193 млрд. евро или 17% от всего объема ВВП. В промышленном секторе осуществляли хозяйственную деятельность порядка 188 тыс. компаний с объемом оборота более 570 млрд. евро и количеством занятых - порядка 1,9 млн. человек.</w:t>
      </w:r>
    </w:p>
    <w:p w:rsidR="00B83D21" w:rsidRPr="00DF7224" w:rsidRDefault="00B83D21" w:rsidP="008F2D82">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Испания является 2-м в Европе и 8-м в мире производителем автомобилей. Сектор автомобилестроения является одним из самых капиталоемких в Испании и на него приходится более 10% ВВП. Основными стратегическими направлениями развития автомобильной промышленности до 2020 г. являются: увеличение производительности труда за счет инвестиций в НИОКР, обеспечение снижения затрат, интернационализация и диверсификация рынков, а также рост производства электромобилей. В настоящее время в Испании функционирует 34 технологических центра, специализирующихся на программах обучения и исследованиях в области автомобилестроения. В 2017 г. было продано более 4 тыс. электромобилей, что на 44% больше, чем в 2016 г., действовало более 2,8 тыс. станций для зарядки электромобилей.</w:t>
      </w:r>
      <w:r w:rsidR="008F2D82" w:rsidRPr="00DF7224">
        <w:t xml:space="preserve"> </w:t>
      </w:r>
      <w:r w:rsidR="008F2D82" w:rsidRPr="00DF7224">
        <w:rPr>
          <w:rFonts w:ascii="Times New Roman" w:hAnsi="Times New Roman" w:cs="Times New Roman"/>
          <w:sz w:val="28"/>
          <w:szCs w:val="28"/>
        </w:rPr>
        <w:t xml:space="preserve">В 2017 г. производство автомобилей составило 2,85 млн. штук (85% было экспортировано в 130 стран, из которых 87% - в Германию, Францию, Италию и Великобританию). Перспективной задачей остается достижение показателя выпуска автомобилей до 3 млн. в год. </w:t>
      </w:r>
      <w:r w:rsidR="008F2D82" w:rsidRPr="00DF7224">
        <w:rPr>
          <w:rFonts w:ascii="Times New Roman" w:hAnsi="Times New Roman" w:cs="Times New Roman"/>
          <w:sz w:val="28"/>
          <w:szCs w:val="28"/>
        </w:rPr>
        <w:lastRenderedPageBreak/>
        <w:t>Испания является единственной страной, на территории которой представлены предприятия практически всех крупнейших производителей автокомпонентов: Gestamp (кузова, шасси), Grupo Antolín (обшивка), Ficosa (электронные компоненты), Cie Automotive (потолки, двигатели, шасси, коробки передач), а также производителей автомобилей: Seat, Nissan, Группа PSA (Citroen и Peugeot), Volkswagen, Mercedes-Benz, Renault, IVECO, General Motors, Opel, Ford.</w:t>
      </w:r>
    </w:p>
    <w:p w:rsidR="009B650D" w:rsidRPr="00DF7224" w:rsidRDefault="008F2D82" w:rsidP="008F2D82">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Аэрокосмическая промышленность Испании занимает 5-е место в Европе, в отрасли занято более 3,3 тыс. чел. Испания принимает участие в крупных европейских проектах: миссия «Rosetta» и исследование Марса. Данный сектор является стратегическим для Испании, в нем представлены такие компании, как: SENER (инжиниринговая и технологическая компания в аэрокосмической промышленности); Crisa (производитель электронных компонентов и программного обеспечения для искусственных спутников, орбитальной инфраструктуры); Deimos Space (участник основных программ Европейского космического агентства, навигация спутников, ДЗЗ); Airbus Defence and Space (оборонная и аэрокосмическая продукция и услуги); GMV (технологическая группа, специализирующаяся в авиационной сфере, обороне, кибербезопасности, интеллектуальных транспортных системах). В аэрокосмической промышленности Испания является одним из лидирующим производителем телекоммуникационных спутников (компания Hispasat, которая</w:t>
      </w:r>
      <w:r w:rsidR="00A400CE" w:rsidRPr="00DF7224">
        <w:rPr>
          <w:rFonts w:ascii="Times New Roman" w:hAnsi="Times New Roman" w:cs="Times New Roman"/>
          <w:sz w:val="28"/>
          <w:szCs w:val="28"/>
        </w:rPr>
        <w:t xml:space="preserve"> является 4-й в Европе и 8-й в </w:t>
      </w:r>
      <w:r w:rsidRPr="00DF7224">
        <w:rPr>
          <w:rFonts w:ascii="Times New Roman" w:hAnsi="Times New Roman" w:cs="Times New Roman"/>
          <w:sz w:val="28"/>
          <w:szCs w:val="28"/>
        </w:rPr>
        <w:t>мире) и крупным европейским производителем военнотранспортных самолетов, турбин низкого давления, самолетов дозаправщиков в воздухе. В Испании действует развитая сеть научно-исследовательских центров, специализирующихся в аэрокосмической промышленности.</w:t>
      </w:r>
    </w:p>
    <w:p w:rsidR="008F2D82" w:rsidRPr="00DF7224" w:rsidRDefault="008F2D82" w:rsidP="008F2D82">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Сектор судостроения Испании специализируется на проектировании и разработке многофункциональных судов. На верфях Испании строятся военные корабли (авианосцы, фрегаты и подводные лодки), суда для </w:t>
      </w:r>
      <w:r w:rsidRPr="00DF7224">
        <w:rPr>
          <w:rFonts w:ascii="Times New Roman" w:hAnsi="Times New Roman" w:cs="Times New Roman"/>
          <w:sz w:val="28"/>
          <w:szCs w:val="28"/>
        </w:rPr>
        <w:lastRenderedPageBreak/>
        <w:t xml:space="preserve">перевозки химической продукции и топлива, понтоны для регазификации СПГ и научные суда, предназначенные для проведения океанографических исследований. Испания имеет большое количество контрактов на производство кораблей для зарубежных стран (последние заказы получены от Норвегии, Австралии, Белиза и Анголы). В частности, подписан контракт с Норвегией по обслуживанию 5 фрегатов серии F-310, построенных в Ферроль; ведется техническое обслуживание кораблей по контракту с ВМС США; проводятся работы по модернизации кораблей для Алжира и Мозамбика; ведутся переговоры с Катаром на модернизацию военных судов.  </w:t>
      </w:r>
    </w:p>
    <w:p w:rsidR="008F2D82" w:rsidRPr="00DF7224" w:rsidRDefault="008F2D82" w:rsidP="008F2D82">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Химическая промышленность имеет стратегическое значение для экономики страны. За последние 10 лет оборот данной отрасли увеличился на 27% и достиг 72,9 млрд. евро. За период 2006-2017 гг. 163 испанские компании реализовали более 300 инвестиционных проектов с общими инвестициями более 12 млрд. евро. В г. Таррагоне расположен самый большой в Европе кластер химической промышленности. В отрасли занято 3,5% трудоспособного населения страны или 540 тыс. чел. Объём экспорта продукции отрасли превысил в 2017 г. 35 млрд. евро, что делает ее 2-м по величине экспортёром в испанской промышленности. Химическая отрасль Испании является диверсифицированной, наиболее крупная доля оборота приходится на производство фармацевтической продукции (21%) и изделий из пластмасс, каучука и резины (19%), велика доля органической химии (14,5%). </w:t>
      </w:r>
    </w:p>
    <w:p w:rsidR="008F2D82" w:rsidRPr="00DF7224" w:rsidRDefault="008F2D82" w:rsidP="008F2D82">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Сектор фармацевтики Испании является 5-м в Европе по объему продаж. Фармацевтические компании Испании выпускают продукции на сумму более 15 млрд. евро, из которых – экспортируется на 10 млрд. евро. В отрасли занято более 38 тыс. человек. Отрасль ежегодно инвестирует более 1 млрд. евро в НИОКР, что составляет более 20% инвестиций в НИОКР во всей промышленности. За последний год создано 30 новых инновационных лекарств и 42 молекулы в фазе доклинических исследований. В Испании </w:t>
      </w:r>
      <w:r w:rsidRPr="00DF7224">
        <w:rPr>
          <w:rFonts w:ascii="Times New Roman" w:hAnsi="Times New Roman" w:cs="Times New Roman"/>
          <w:sz w:val="28"/>
          <w:szCs w:val="28"/>
        </w:rPr>
        <w:lastRenderedPageBreak/>
        <w:t xml:space="preserve">представлены такие транснациональные гиганты, как Lilly, Roche, Pfizer и Bayer. </w:t>
      </w:r>
    </w:p>
    <w:p w:rsidR="00B83D21" w:rsidRPr="00DF7224" w:rsidRDefault="00B83D21" w:rsidP="00B83D21">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Говоря о сельском хозяйстве, то основными культурами страны являются маслины, ячмень, пшеница, сахарная свекла, кукуруза, картофель, рожь, овес, рис, помидоры и лук. Овощи, фрукты и злаки являются важными культурами, на их долю приходится около трех четвертей сельскохозяйственного производства. Кроме того, страна обладает обширными виноградниками, цитрусовыми садами и оливковыми рощами. Наблюдается тенденция расширения орошаемых земель, выращивания культур в теплицах, механизация, селекция семян и, в целом, совершенствование производства, которая привела к увеличению урожайности сельскохозяйственных культур. Выращивание скота составляет чуть менее половины стоимости всей сельскохозяйственной продукции Испании. Лесное хозяйство вносит лишь незначительный вклад в сельскохозяйственное производство Испании. Важными лесными продуктами являются дуб, сосна и тополь. Поскольку столетия эрозии, заготовки дров и создания пастбищ привели к исчезновению многих лесов страны, правительство начало предпринимать усилия по лесовосстановлению в 1940-х годах, которые все еще продолжаются. </w:t>
      </w:r>
    </w:p>
    <w:p w:rsidR="00FC4210" w:rsidRPr="00DF7224" w:rsidRDefault="00FC4210" w:rsidP="007E0CA0">
      <w:pPr>
        <w:spacing w:after="0" w:line="360" w:lineRule="auto"/>
        <w:ind w:firstLine="709"/>
        <w:jc w:val="both"/>
        <w:rPr>
          <w:rFonts w:ascii="Times New Roman" w:hAnsi="Times New Roman" w:cs="Times New Roman"/>
          <w:sz w:val="28"/>
          <w:szCs w:val="28"/>
        </w:rPr>
      </w:pPr>
    </w:p>
    <w:p w:rsidR="00D614E0" w:rsidRPr="00DF7224" w:rsidRDefault="0019702D" w:rsidP="007E0CA0">
      <w:pPr>
        <w:pStyle w:val="1"/>
        <w:spacing w:before="0" w:line="360" w:lineRule="auto"/>
        <w:ind w:firstLine="709"/>
        <w:rPr>
          <w:rFonts w:ascii="Times New Roman" w:eastAsia="Calibri" w:hAnsi="Times New Roman" w:cs="Times New Roman"/>
          <w:b w:val="0"/>
          <w:color w:val="000000" w:themeColor="text1"/>
        </w:rPr>
      </w:pPr>
      <w:bookmarkStart w:id="4" w:name="_Toc10992392"/>
      <w:r w:rsidRPr="00DF7224">
        <w:rPr>
          <w:rFonts w:ascii="Times New Roman" w:eastAsia="Calibri" w:hAnsi="Times New Roman" w:cs="Times New Roman"/>
          <w:b w:val="0"/>
          <w:color w:val="000000" w:themeColor="text1"/>
        </w:rPr>
        <w:t>1.2</w:t>
      </w:r>
      <w:r w:rsidR="00F11CF4" w:rsidRPr="00DF7224">
        <w:rPr>
          <w:rFonts w:ascii="Times New Roman" w:eastAsia="Calibri" w:hAnsi="Times New Roman" w:cs="Times New Roman"/>
          <w:b w:val="0"/>
          <w:color w:val="000000" w:themeColor="text1"/>
        </w:rPr>
        <w:t xml:space="preserve"> </w:t>
      </w:r>
      <w:r w:rsidR="007228D2" w:rsidRPr="00DF7224">
        <w:rPr>
          <w:rFonts w:ascii="Times New Roman" w:eastAsia="Calibri" w:hAnsi="Times New Roman" w:cs="Times New Roman"/>
          <w:b w:val="0"/>
          <w:color w:val="000000" w:themeColor="text1"/>
        </w:rPr>
        <w:t>Анализ демографической ситуации</w:t>
      </w:r>
      <w:r w:rsidRPr="00DF7224">
        <w:rPr>
          <w:rFonts w:ascii="Times New Roman" w:eastAsia="Calibri" w:hAnsi="Times New Roman" w:cs="Times New Roman"/>
          <w:b w:val="0"/>
          <w:color w:val="000000" w:themeColor="text1"/>
        </w:rPr>
        <w:t xml:space="preserve"> </w:t>
      </w:r>
      <w:r w:rsidR="00C27CD1" w:rsidRPr="00DF7224">
        <w:rPr>
          <w:rFonts w:ascii="Times New Roman" w:eastAsia="Calibri" w:hAnsi="Times New Roman" w:cs="Times New Roman"/>
          <w:b w:val="0"/>
          <w:color w:val="000000" w:themeColor="text1"/>
        </w:rPr>
        <w:t xml:space="preserve">в </w:t>
      </w:r>
      <w:r w:rsidRPr="00DF7224">
        <w:rPr>
          <w:rFonts w:ascii="Times New Roman" w:eastAsia="Calibri" w:hAnsi="Times New Roman" w:cs="Times New Roman"/>
          <w:b w:val="0"/>
          <w:color w:val="000000" w:themeColor="text1"/>
        </w:rPr>
        <w:t>Испании</w:t>
      </w:r>
      <w:bookmarkEnd w:id="4"/>
    </w:p>
    <w:p w:rsidR="00FC4210" w:rsidRPr="00DF7224" w:rsidRDefault="00FC4210" w:rsidP="007E0CA0">
      <w:pPr>
        <w:spacing w:after="0"/>
        <w:rPr>
          <w:rFonts w:ascii="Times New Roman" w:hAnsi="Times New Roman" w:cs="Times New Roman"/>
        </w:rPr>
      </w:pPr>
    </w:p>
    <w:p w:rsidR="00CA2A65" w:rsidRPr="00DF7224" w:rsidRDefault="00CA2A6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Рассмотрим основные статистиче</w:t>
      </w:r>
      <w:r w:rsidR="002F402F" w:rsidRPr="00DF7224">
        <w:rPr>
          <w:rFonts w:ascii="Times New Roman" w:hAnsi="Times New Roman" w:cs="Times New Roman"/>
          <w:sz w:val="28"/>
          <w:szCs w:val="28"/>
        </w:rPr>
        <w:t xml:space="preserve">ские показатели </w:t>
      </w:r>
      <w:r w:rsidR="00CE496E" w:rsidRPr="00DF7224">
        <w:rPr>
          <w:rFonts w:ascii="Times New Roman" w:hAnsi="Times New Roman" w:cs="Times New Roman"/>
          <w:sz w:val="28"/>
          <w:szCs w:val="28"/>
        </w:rPr>
        <w:t xml:space="preserve">демографии </w:t>
      </w:r>
      <w:r w:rsidR="002F402F" w:rsidRPr="00DF7224">
        <w:rPr>
          <w:rFonts w:ascii="Times New Roman" w:hAnsi="Times New Roman" w:cs="Times New Roman"/>
          <w:sz w:val="28"/>
          <w:szCs w:val="28"/>
        </w:rPr>
        <w:t xml:space="preserve">Испании за </w:t>
      </w:r>
      <w:r w:rsidR="00CE496E" w:rsidRPr="00DF7224">
        <w:rPr>
          <w:rFonts w:ascii="Times New Roman" w:hAnsi="Times New Roman" w:cs="Times New Roman"/>
          <w:sz w:val="28"/>
          <w:szCs w:val="28"/>
        </w:rPr>
        <w:t>последние несколько лет</w:t>
      </w:r>
      <w:r w:rsidRPr="00DF7224">
        <w:rPr>
          <w:rFonts w:ascii="Times New Roman" w:hAnsi="Times New Roman" w:cs="Times New Roman"/>
          <w:sz w:val="28"/>
          <w:szCs w:val="28"/>
        </w:rPr>
        <w:t>, чтобы иметь общее представление о</w:t>
      </w:r>
      <w:r w:rsidR="00CE496E" w:rsidRPr="00DF7224">
        <w:rPr>
          <w:rFonts w:ascii="Times New Roman" w:hAnsi="Times New Roman" w:cs="Times New Roman"/>
          <w:sz w:val="28"/>
          <w:szCs w:val="28"/>
        </w:rPr>
        <w:t xml:space="preserve"> демографической ситуации в</w:t>
      </w:r>
      <w:r w:rsidRPr="00DF7224">
        <w:rPr>
          <w:rFonts w:ascii="Times New Roman" w:hAnsi="Times New Roman" w:cs="Times New Roman"/>
          <w:sz w:val="28"/>
          <w:szCs w:val="28"/>
        </w:rPr>
        <w:t xml:space="preserve"> стране</w:t>
      </w:r>
      <w:r w:rsidR="005E6825" w:rsidRPr="00DF7224">
        <w:rPr>
          <w:rFonts w:ascii="Times New Roman" w:hAnsi="Times New Roman" w:cs="Times New Roman"/>
          <w:sz w:val="28"/>
          <w:szCs w:val="28"/>
        </w:rPr>
        <w:t xml:space="preserve">. </w:t>
      </w:r>
      <w:r w:rsidR="001E75AF" w:rsidRPr="00DF7224">
        <w:rPr>
          <w:rFonts w:ascii="Times New Roman" w:hAnsi="Times New Roman" w:cs="Times New Roman"/>
          <w:sz w:val="28"/>
          <w:szCs w:val="28"/>
        </w:rPr>
        <w:t>Данные по численности населения</w:t>
      </w:r>
      <w:r w:rsidR="005E6825" w:rsidRPr="00DF7224">
        <w:rPr>
          <w:rFonts w:ascii="Times New Roman" w:hAnsi="Times New Roman" w:cs="Times New Roman"/>
          <w:sz w:val="28"/>
          <w:szCs w:val="28"/>
        </w:rPr>
        <w:t xml:space="preserve"> Испании </w:t>
      </w:r>
      <w:r w:rsidR="001E75AF" w:rsidRPr="00DF7224">
        <w:rPr>
          <w:rFonts w:ascii="Times New Roman" w:hAnsi="Times New Roman" w:cs="Times New Roman"/>
          <w:sz w:val="28"/>
          <w:szCs w:val="28"/>
        </w:rPr>
        <w:t>с 2014 по 2018 год</w:t>
      </w:r>
      <w:r w:rsidR="008C5A0B" w:rsidRPr="00DF7224">
        <w:rPr>
          <w:rFonts w:ascii="Times New Roman" w:hAnsi="Times New Roman" w:cs="Times New Roman"/>
          <w:sz w:val="28"/>
          <w:szCs w:val="28"/>
        </w:rPr>
        <w:t xml:space="preserve">а представлены в </w:t>
      </w:r>
      <w:r w:rsidR="004D7F36" w:rsidRPr="00DF7224">
        <w:rPr>
          <w:rFonts w:ascii="Times New Roman" w:hAnsi="Times New Roman" w:cs="Times New Roman"/>
          <w:sz w:val="28"/>
          <w:szCs w:val="28"/>
        </w:rPr>
        <w:t>Т</w:t>
      </w:r>
      <w:r w:rsidR="008C5A0B" w:rsidRPr="00DF7224">
        <w:rPr>
          <w:rFonts w:ascii="Times New Roman" w:hAnsi="Times New Roman" w:cs="Times New Roman"/>
          <w:sz w:val="28"/>
          <w:szCs w:val="28"/>
        </w:rPr>
        <w:t xml:space="preserve">аблице </w:t>
      </w:r>
      <w:r w:rsidR="002A0C4C" w:rsidRPr="00DF7224">
        <w:rPr>
          <w:rFonts w:ascii="Times New Roman" w:hAnsi="Times New Roman" w:cs="Times New Roman"/>
          <w:sz w:val="28"/>
          <w:szCs w:val="28"/>
        </w:rPr>
        <w:t>1.</w:t>
      </w:r>
      <w:r w:rsidR="00005A8E" w:rsidRPr="00DF7224">
        <w:rPr>
          <w:rFonts w:ascii="Times New Roman" w:hAnsi="Times New Roman" w:cs="Times New Roman"/>
          <w:sz w:val="28"/>
          <w:szCs w:val="28"/>
        </w:rPr>
        <w:t>1</w:t>
      </w:r>
      <w:r w:rsidR="001E75AF" w:rsidRPr="00DF7224">
        <w:rPr>
          <w:rFonts w:ascii="Times New Roman" w:hAnsi="Times New Roman" w:cs="Times New Roman"/>
          <w:sz w:val="28"/>
          <w:szCs w:val="28"/>
        </w:rPr>
        <w:t>. С 2016 года</w:t>
      </w:r>
      <w:r w:rsidRPr="00DF7224">
        <w:rPr>
          <w:rFonts w:ascii="Times New Roman" w:hAnsi="Times New Roman" w:cs="Times New Roman"/>
          <w:sz w:val="28"/>
          <w:szCs w:val="28"/>
        </w:rPr>
        <w:t xml:space="preserve"> </w:t>
      </w:r>
      <w:r w:rsidR="001E75AF" w:rsidRPr="00DF7224">
        <w:rPr>
          <w:rFonts w:ascii="Times New Roman" w:hAnsi="Times New Roman" w:cs="Times New Roman"/>
          <w:sz w:val="28"/>
          <w:szCs w:val="28"/>
        </w:rPr>
        <w:t xml:space="preserve">наблюдалась небольшая тенденция к увеличению численности </w:t>
      </w:r>
      <w:r w:rsidR="00FC4210" w:rsidRPr="00DF7224">
        <w:rPr>
          <w:rFonts w:ascii="Times New Roman" w:hAnsi="Times New Roman" w:cs="Times New Roman"/>
          <w:sz w:val="28"/>
          <w:szCs w:val="28"/>
        </w:rPr>
        <w:t>населения Испании</w:t>
      </w:r>
      <w:r w:rsidR="001E75AF" w:rsidRPr="00DF7224">
        <w:rPr>
          <w:rFonts w:ascii="Times New Roman" w:hAnsi="Times New Roman" w:cs="Times New Roman"/>
          <w:sz w:val="28"/>
          <w:szCs w:val="28"/>
        </w:rPr>
        <w:t xml:space="preserve"> и в 2018 году численность достигла</w:t>
      </w:r>
      <w:r w:rsidR="003C4C94" w:rsidRPr="00DF7224">
        <w:rPr>
          <w:rFonts w:ascii="Times New Roman" w:hAnsi="Times New Roman" w:cs="Times New Roman"/>
          <w:sz w:val="28"/>
          <w:szCs w:val="28"/>
        </w:rPr>
        <w:t xml:space="preserve"> 46 </w:t>
      </w:r>
      <w:r w:rsidR="005E6825" w:rsidRPr="00DF7224">
        <w:rPr>
          <w:rFonts w:ascii="Times New Roman" w:hAnsi="Times New Roman" w:cs="Times New Roman"/>
          <w:sz w:val="28"/>
          <w:szCs w:val="28"/>
        </w:rPr>
        <w:t xml:space="preserve">397 </w:t>
      </w:r>
      <w:r w:rsidR="003C4C94" w:rsidRPr="00DF7224">
        <w:rPr>
          <w:rFonts w:ascii="Times New Roman" w:hAnsi="Times New Roman" w:cs="Times New Roman"/>
          <w:sz w:val="28"/>
          <w:szCs w:val="28"/>
        </w:rPr>
        <w:t>тыс</w:t>
      </w:r>
      <w:r w:rsidR="005E6825" w:rsidRPr="00DF7224">
        <w:rPr>
          <w:rFonts w:ascii="Times New Roman" w:hAnsi="Times New Roman" w:cs="Times New Roman"/>
          <w:sz w:val="28"/>
          <w:szCs w:val="28"/>
        </w:rPr>
        <w:t>. человек.</w:t>
      </w:r>
    </w:p>
    <w:p w:rsidR="00FC4210" w:rsidRPr="00DF7224" w:rsidRDefault="00FC4210" w:rsidP="007E0CA0">
      <w:pPr>
        <w:spacing w:after="0" w:line="360" w:lineRule="auto"/>
        <w:ind w:firstLine="709"/>
        <w:jc w:val="both"/>
        <w:rPr>
          <w:rFonts w:ascii="Times New Roman" w:hAnsi="Times New Roman" w:cs="Times New Roman"/>
          <w:sz w:val="28"/>
          <w:szCs w:val="28"/>
        </w:rPr>
      </w:pPr>
    </w:p>
    <w:p w:rsidR="00651915" w:rsidRPr="00DF7224" w:rsidRDefault="00651915" w:rsidP="007E0CA0">
      <w:pPr>
        <w:spacing w:after="0" w:line="360" w:lineRule="auto"/>
        <w:ind w:firstLine="709"/>
        <w:jc w:val="both"/>
        <w:rPr>
          <w:rFonts w:ascii="Times New Roman" w:hAnsi="Times New Roman" w:cs="Times New Roman"/>
          <w:sz w:val="28"/>
          <w:szCs w:val="28"/>
        </w:rPr>
      </w:pPr>
    </w:p>
    <w:p w:rsidR="00FC4210" w:rsidRPr="00DF7224" w:rsidRDefault="008C5A0B" w:rsidP="0062016E">
      <w:pPr>
        <w:tabs>
          <w:tab w:val="num" w:pos="142"/>
          <w:tab w:val="left" w:pos="426"/>
        </w:tabs>
        <w:spacing w:after="0" w:line="360" w:lineRule="auto"/>
        <w:ind w:firstLine="709"/>
        <w:rPr>
          <w:rFonts w:ascii="Times New Roman" w:hAnsi="Times New Roman" w:cs="Times New Roman"/>
          <w:sz w:val="28"/>
          <w:szCs w:val="28"/>
        </w:rPr>
      </w:pPr>
      <w:r w:rsidRPr="00DF7224">
        <w:rPr>
          <w:rFonts w:ascii="Times New Roman" w:hAnsi="Times New Roman" w:cs="Times New Roman"/>
          <w:sz w:val="28"/>
          <w:szCs w:val="28"/>
        </w:rPr>
        <w:lastRenderedPageBreak/>
        <w:t xml:space="preserve">Таблица </w:t>
      </w:r>
      <w:r w:rsidR="002A0C4C" w:rsidRPr="00DF7224">
        <w:rPr>
          <w:rFonts w:ascii="Times New Roman" w:hAnsi="Times New Roman" w:cs="Times New Roman"/>
          <w:sz w:val="28"/>
          <w:szCs w:val="28"/>
        </w:rPr>
        <w:t>1.</w:t>
      </w:r>
      <w:r w:rsidR="00005A8E" w:rsidRPr="00DF7224">
        <w:rPr>
          <w:rFonts w:ascii="Times New Roman" w:hAnsi="Times New Roman" w:cs="Times New Roman"/>
          <w:sz w:val="28"/>
          <w:szCs w:val="28"/>
        </w:rPr>
        <w:t>1</w:t>
      </w:r>
      <w:r w:rsidR="002A0C4C" w:rsidRPr="00DF7224">
        <w:rPr>
          <w:rFonts w:ascii="Times New Roman" w:hAnsi="Times New Roman" w:cs="Times New Roman"/>
          <w:sz w:val="28"/>
          <w:szCs w:val="28"/>
        </w:rPr>
        <w:t xml:space="preserve"> – </w:t>
      </w:r>
      <w:r w:rsidR="00AF3D00" w:rsidRPr="00DF7224">
        <w:rPr>
          <w:rFonts w:ascii="Times New Roman" w:hAnsi="Times New Roman" w:cs="Times New Roman"/>
          <w:sz w:val="28"/>
          <w:szCs w:val="28"/>
        </w:rPr>
        <w:t>Показатели демографии</w:t>
      </w:r>
      <w:r w:rsidR="005E6825" w:rsidRPr="00DF7224">
        <w:rPr>
          <w:rFonts w:ascii="Times New Roman" w:hAnsi="Times New Roman" w:cs="Times New Roman"/>
          <w:sz w:val="28"/>
          <w:szCs w:val="28"/>
        </w:rPr>
        <w:t xml:space="preserve"> Испании, 2014-2018 гг. </w:t>
      </w:r>
    </w:p>
    <w:tbl>
      <w:tblPr>
        <w:tblStyle w:val="12"/>
        <w:tblW w:w="8078" w:type="dxa"/>
        <w:jc w:val="center"/>
        <w:tblLook w:val="04A0" w:firstRow="1" w:lastRow="0" w:firstColumn="1" w:lastColumn="0" w:noHBand="0" w:noVBand="1"/>
      </w:tblPr>
      <w:tblGrid>
        <w:gridCol w:w="2748"/>
        <w:gridCol w:w="1066"/>
        <w:gridCol w:w="1066"/>
        <w:gridCol w:w="1066"/>
        <w:gridCol w:w="1066"/>
        <w:gridCol w:w="1066"/>
      </w:tblGrid>
      <w:tr w:rsidR="002A0C4C" w:rsidRPr="00DF7224" w:rsidTr="00AF3D00">
        <w:trPr>
          <w:trHeight w:val="434"/>
          <w:jc w:val="center"/>
        </w:trPr>
        <w:tc>
          <w:tcPr>
            <w:tcW w:w="2748" w:type="dxa"/>
            <w:noWrap/>
            <w:vAlign w:val="center"/>
            <w:hideMark/>
          </w:tcPr>
          <w:p w:rsidR="005E6825" w:rsidRPr="00DF7224" w:rsidRDefault="00AF3D00"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Показатель</w:t>
            </w:r>
            <w:r w:rsidR="005E6825" w:rsidRPr="00DF7224">
              <w:rPr>
                <w:rFonts w:ascii="Times New Roman" w:eastAsia="Times New Roman" w:hAnsi="Times New Roman" w:cs="Times New Roman"/>
                <w:sz w:val="24"/>
                <w:szCs w:val="28"/>
                <w:lang w:eastAsia="ru-RU"/>
              </w:rPr>
              <w:t>/Год</w:t>
            </w:r>
          </w:p>
        </w:tc>
        <w:tc>
          <w:tcPr>
            <w:tcW w:w="1066" w:type="dxa"/>
            <w:vAlign w:val="center"/>
            <w:hideMark/>
          </w:tcPr>
          <w:p w:rsidR="005E6825" w:rsidRPr="00DF7224" w:rsidRDefault="005E6825"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2014</w:t>
            </w:r>
          </w:p>
        </w:tc>
        <w:tc>
          <w:tcPr>
            <w:tcW w:w="1066" w:type="dxa"/>
            <w:vAlign w:val="center"/>
            <w:hideMark/>
          </w:tcPr>
          <w:p w:rsidR="005E6825" w:rsidRPr="00DF7224" w:rsidRDefault="005E6825"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2015</w:t>
            </w:r>
          </w:p>
        </w:tc>
        <w:tc>
          <w:tcPr>
            <w:tcW w:w="1066" w:type="dxa"/>
            <w:vAlign w:val="center"/>
            <w:hideMark/>
          </w:tcPr>
          <w:p w:rsidR="005E6825" w:rsidRPr="00DF7224" w:rsidRDefault="005E6825"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2016</w:t>
            </w:r>
          </w:p>
        </w:tc>
        <w:tc>
          <w:tcPr>
            <w:tcW w:w="1066" w:type="dxa"/>
            <w:vAlign w:val="center"/>
            <w:hideMark/>
          </w:tcPr>
          <w:p w:rsidR="005E6825" w:rsidRPr="00DF7224" w:rsidRDefault="005E6825"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2017</w:t>
            </w:r>
          </w:p>
        </w:tc>
        <w:tc>
          <w:tcPr>
            <w:tcW w:w="1066" w:type="dxa"/>
            <w:vAlign w:val="center"/>
            <w:hideMark/>
          </w:tcPr>
          <w:p w:rsidR="005E6825" w:rsidRPr="00DF7224" w:rsidRDefault="005E6825"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2018</w:t>
            </w:r>
          </w:p>
        </w:tc>
      </w:tr>
      <w:tr w:rsidR="002A0C4C" w:rsidRPr="00DF7224" w:rsidTr="00AF3D00">
        <w:trPr>
          <w:trHeight w:val="434"/>
          <w:jc w:val="center"/>
        </w:trPr>
        <w:tc>
          <w:tcPr>
            <w:tcW w:w="2748" w:type="dxa"/>
            <w:noWrap/>
            <w:vAlign w:val="center"/>
            <w:hideMark/>
          </w:tcPr>
          <w:p w:rsidR="005E6825" w:rsidRPr="00DF7224" w:rsidRDefault="00AF3D00"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Население (тыс. чел)</w:t>
            </w:r>
          </w:p>
        </w:tc>
        <w:tc>
          <w:tcPr>
            <w:tcW w:w="1066" w:type="dxa"/>
            <w:vAlign w:val="center"/>
            <w:hideMark/>
          </w:tcPr>
          <w:p w:rsidR="005E6825" w:rsidRPr="00DF7224" w:rsidRDefault="005E6825"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46 522</w:t>
            </w:r>
          </w:p>
        </w:tc>
        <w:tc>
          <w:tcPr>
            <w:tcW w:w="1066" w:type="dxa"/>
            <w:vAlign w:val="center"/>
            <w:hideMark/>
          </w:tcPr>
          <w:p w:rsidR="005E6825" w:rsidRPr="00DF7224" w:rsidRDefault="005E6825"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46 398</w:t>
            </w:r>
          </w:p>
        </w:tc>
        <w:tc>
          <w:tcPr>
            <w:tcW w:w="1066" w:type="dxa"/>
            <w:vAlign w:val="center"/>
            <w:hideMark/>
          </w:tcPr>
          <w:p w:rsidR="005E6825" w:rsidRPr="00DF7224" w:rsidRDefault="005E6825"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46 348</w:t>
            </w:r>
          </w:p>
        </w:tc>
        <w:tc>
          <w:tcPr>
            <w:tcW w:w="1066" w:type="dxa"/>
            <w:vAlign w:val="center"/>
            <w:hideMark/>
          </w:tcPr>
          <w:p w:rsidR="005E6825" w:rsidRPr="00DF7224" w:rsidRDefault="005E6825"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46 354</w:t>
            </w:r>
          </w:p>
        </w:tc>
        <w:tc>
          <w:tcPr>
            <w:tcW w:w="1066" w:type="dxa"/>
            <w:vAlign w:val="center"/>
            <w:hideMark/>
          </w:tcPr>
          <w:p w:rsidR="005E6825" w:rsidRPr="00DF7224" w:rsidRDefault="005E6825"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46 397</w:t>
            </w:r>
          </w:p>
        </w:tc>
      </w:tr>
      <w:tr w:rsidR="00AF3D00" w:rsidRPr="00DF7224" w:rsidTr="00AF3D00">
        <w:trPr>
          <w:trHeight w:val="434"/>
          <w:jc w:val="center"/>
        </w:trPr>
        <w:tc>
          <w:tcPr>
            <w:tcW w:w="2748" w:type="dxa"/>
            <w:noWrap/>
            <w:vAlign w:val="center"/>
          </w:tcPr>
          <w:p w:rsidR="00AF3D00" w:rsidRPr="00DF7224" w:rsidRDefault="00AF3D00"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Доля в мире (%)</w:t>
            </w:r>
          </w:p>
        </w:tc>
        <w:tc>
          <w:tcPr>
            <w:tcW w:w="1066" w:type="dxa"/>
            <w:vAlign w:val="center"/>
          </w:tcPr>
          <w:p w:rsidR="00AF3D00" w:rsidRPr="00DF7224" w:rsidRDefault="00AF3D00"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0,64</w:t>
            </w:r>
          </w:p>
        </w:tc>
        <w:tc>
          <w:tcPr>
            <w:tcW w:w="1066" w:type="dxa"/>
            <w:vAlign w:val="center"/>
          </w:tcPr>
          <w:p w:rsidR="00AF3D00" w:rsidRPr="00DF7224" w:rsidRDefault="00AF3D00"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0,63</w:t>
            </w:r>
          </w:p>
        </w:tc>
        <w:tc>
          <w:tcPr>
            <w:tcW w:w="1066" w:type="dxa"/>
            <w:vAlign w:val="center"/>
          </w:tcPr>
          <w:p w:rsidR="00AF3D00" w:rsidRPr="00DF7224" w:rsidRDefault="00AF3D00" w:rsidP="007E0CA0">
            <w:pPr>
              <w:jc w:val="center"/>
              <w:rPr>
                <w:rFonts w:ascii="Times New Roman" w:eastAsia="Times New Roman" w:hAnsi="Times New Roman" w:cs="Times New Roman"/>
                <w:bCs/>
                <w:sz w:val="24"/>
                <w:szCs w:val="28"/>
                <w:lang w:eastAsia="ru-RU"/>
              </w:rPr>
            </w:pPr>
            <w:r w:rsidRPr="00DF7224">
              <w:rPr>
                <w:rFonts w:ascii="Times New Roman" w:eastAsia="Times New Roman" w:hAnsi="Times New Roman" w:cs="Times New Roman"/>
                <w:bCs/>
                <w:sz w:val="24"/>
                <w:szCs w:val="28"/>
                <w:lang w:eastAsia="ru-RU"/>
              </w:rPr>
              <w:t>0,62</w:t>
            </w:r>
          </w:p>
        </w:tc>
        <w:tc>
          <w:tcPr>
            <w:tcW w:w="1066" w:type="dxa"/>
            <w:vAlign w:val="center"/>
          </w:tcPr>
          <w:p w:rsidR="00AF3D00" w:rsidRPr="00DF7224" w:rsidRDefault="00AF3D00"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0,61</w:t>
            </w:r>
          </w:p>
        </w:tc>
        <w:tc>
          <w:tcPr>
            <w:tcW w:w="1066" w:type="dxa"/>
            <w:vAlign w:val="center"/>
          </w:tcPr>
          <w:p w:rsidR="00AF3D00" w:rsidRPr="00DF7224" w:rsidRDefault="00AF3D00"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0,62</w:t>
            </w:r>
          </w:p>
        </w:tc>
      </w:tr>
      <w:tr w:rsidR="00AF3D00" w:rsidRPr="00DF7224" w:rsidTr="00AF3D00">
        <w:trPr>
          <w:trHeight w:val="434"/>
          <w:jc w:val="center"/>
        </w:trPr>
        <w:tc>
          <w:tcPr>
            <w:tcW w:w="2748" w:type="dxa"/>
            <w:noWrap/>
            <w:vAlign w:val="center"/>
          </w:tcPr>
          <w:p w:rsidR="00AF3D00" w:rsidRPr="00DF7224" w:rsidRDefault="00FC4210"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Плотность (чел. на</w:t>
            </w:r>
            <w:r w:rsidRPr="00DF7224">
              <w:rPr>
                <w:rFonts w:ascii="Times New Roman" w:hAnsi="Times New Roman" w:cs="Times New Roman"/>
                <w:color w:val="000000" w:themeColor="text1"/>
                <w:sz w:val="28"/>
                <w:szCs w:val="28"/>
              </w:rPr>
              <w:t xml:space="preserve"> </w:t>
            </w:r>
            <w:r w:rsidRPr="00DF7224">
              <w:rPr>
                <w:rFonts w:ascii="Times New Roman" w:hAnsi="Times New Roman" w:cs="Times New Roman"/>
                <w:color w:val="000000" w:themeColor="text1"/>
                <w:sz w:val="24"/>
                <w:szCs w:val="28"/>
              </w:rPr>
              <w:t>м</w:t>
            </w:r>
            <w:r w:rsidRPr="00DF7224">
              <w:rPr>
                <w:rFonts w:ascii="Times New Roman" w:hAnsi="Times New Roman" w:cs="Times New Roman"/>
                <w:color w:val="000000" w:themeColor="text1"/>
                <w:sz w:val="24"/>
                <w:szCs w:val="28"/>
                <w:vertAlign w:val="superscript"/>
              </w:rPr>
              <w:t>2</w:t>
            </w:r>
            <w:r w:rsidR="00AF3D00" w:rsidRPr="00DF7224">
              <w:rPr>
                <w:rFonts w:ascii="Times New Roman" w:eastAsia="Times New Roman" w:hAnsi="Times New Roman" w:cs="Times New Roman"/>
                <w:sz w:val="24"/>
                <w:szCs w:val="28"/>
                <w:lang w:eastAsia="ru-RU"/>
              </w:rPr>
              <w:t>)</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92,05</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91,81</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91,71</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91,72</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91,81</w:t>
            </w:r>
          </w:p>
        </w:tc>
      </w:tr>
      <w:tr w:rsidR="00AF3D00" w:rsidRPr="00DF7224" w:rsidTr="00AF3D00">
        <w:trPr>
          <w:trHeight w:val="434"/>
          <w:jc w:val="center"/>
        </w:trPr>
        <w:tc>
          <w:tcPr>
            <w:tcW w:w="2748" w:type="dxa"/>
            <w:noWrap/>
            <w:vAlign w:val="center"/>
          </w:tcPr>
          <w:p w:rsidR="00AF3D00" w:rsidRPr="00DF7224" w:rsidRDefault="00AF3D00" w:rsidP="007E0CA0">
            <w:pPr>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Доля городского населения (%)</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79,1</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79,4</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79,6</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79,8</w:t>
            </w:r>
          </w:p>
        </w:tc>
        <w:tc>
          <w:tcPr>
            <w:tcW w:w="1066" w:type="dxa"/>
            <w:vAlign w:val="center"/>
          </w:tcPr>
          <w:p w:rsidR="00AF3D00" w:rsidRPr="00DF7224" w:rsidRDefault="00AF3D00"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80</w:t>
            </w:r>
          </w:p>
        </w:tc>
      </w:tr>
    </w:tbl>
    <w:p w:rsidR="005E6825" w:rsidRPr="00DF7224" w:rsidRDefault="005E6825" w:rsidP="007E0CA0">
      <w:pPr>
        <w:spacing w:after="0" w:line="240" w:lineRule="auto"/>
        <w:ind w:firstLine="709"/>
        <w:rPr>
          <w:rFonts w:ascii="Times New Roman" w:hAnsi="Times New Roman" w:cs="Times New Roman"/>
          <w:sz w:val="20"/>
          <w:szCs w:val="20"/>
          <w:shd w:val="clear" w:color="auto" w:fill="FFFFFF"/>
          <w:lang w:val="en-US"/>
        </w:rPr>
      </w:pPr>
      <w:r w:rsidRPr="00DF7224">
        <w:rPr>
          <w:rFonts w:ascii="Times New Roman" w:hAnsi="Times New Roman" w:cs="Times New Roman"/>
          <w:i/>
          <w:sz w:val="20"/>
          <w:szCs w:val="20"/>
        </w:rPr>
        <w:t>Источник</w:t>
      </w:r>
      <w:r w:rsidRPr="00DF7224">
        <w:rPr>
          <w:rFonts w:ascii="Times New Roman" w:hAnsi="Times New Roman" w:cs="Times New Roman"/>
          <w:i/>
          <w:sz w:val="20"/>
          <w:szCs w:val="20"/>
          <w:lang w:val="en-US"/>
        </w:rPr>
        <w:t>:</w:t>
      </w:r>
      <w:r w:rsidRPr="00DF7224">
        <w:rPr>
          <w:rFonts w:ascii="Times New Roman" w:hAnsi="Times New Roman" w:cs="Times New Roman"/>
          <w:sz w:val="20"/>
          <w:szCs w:val="20"/>
          <w:shd w:val="clear" w:color="auto" w:fill="FFFFFF"/>
          <w:lang w:val="en-US"/>
        </w:rPr>
        <w:t xml:space="preserve"> </w:t>
      </w:r>
      <w:r w:rsidRPr="00DF7224">
        <w:rPr>
          <w:rFonts w:ascii="Times New Roman" w:hAnsi="Times New Roman" w:cs="Times New Roman"/>
          <w:sz w:val="20"/>
          <w:szCs w:val="20"/>
          <w:shd w:val="clear" w:color="auto" w:fill="FFFFFF"/>
        </w:rPr>
        <w:t>составлено</w:t>
      </w:r>
      <w:r w:rsidRPr="00DF7224">
        <w:rPr>
          <w:rFonts w:ascii="Times New Roman" w:hAnsi="Times New Roman" w:cs="Times New Roman"/>
          <w:sz w:val="20"/>
          <w:szCs w:val="20"/>
          <w:shd w:val="clear" w:color="auto" w:fill="FFFFFF"/>
          <w:lang w:val="en-US"/>
        </w:rPr>
        <w:t xml:space="preserve"> </w:t>
      </w:r>
      <w:r w:rsidRPr="00DF7224">
        <w:rPr>
          <w:rFonts w:ascii="Times New Roman" w:hAnsi="Times New Roman" w:cs="Times New Roman"/>
          <w:sz w:val="20"/>
          <w:szCs w:val="20"/>
          <w:shd w:val="clear" w:color="auto" w:fill="FFFFFF"/>
        </w:rPr>
        <w:t>автором</w:t>
      </w:r>
      <w:r w:rsidRPr="00DF7224">
        <w:rPr>
          <w:rFonts w:ascii="Times New Roman" w:hAnsi="Times New Roman" w:cs="Times New Roman"/>
          <w:sz w:val="20"/>
          <w:szCs w:val="20"/>
          <w:shd w:val="clear" w:color="auto" w:fill="FFFFFF"/>
          <w:lang w:val="en-US"/>
        </w:rPr>
        <w:t xml:space="preserve"> </w:t>
      </w:r>
      <w:r w:rsidRPr="00DF7224">
        <w:rPr>
          <w:rFonts w:ascii="Times New Roman" w:hAnsi="Times New Roman" w:cs="Times New Roman"/>
          <w:sz w:val="20"/>
          <w:szCs w:val="20"/>
          <w:shd w:val="clear" w:color="auto" w:fill="FFFFFF"/>
        </w:rPr>
        <w:t>по</w:t>
      </w:r>
      <w:r w:rsidRPr="00DF7224">
        <w:rPr>
          <w:rFonts w:ascii="Times New Roman" w:hAnsi="Times New Roman" w:cs="Times New Roman"/>
          <w:sz w:val="20"/>
          <w:szCs w:val="20"/>
          <w:shd w:val="clear" w:color="auto" w:fill="FFFFFF"/>
          <w:lang w:val="en-US"/>
        </w:rPr>
        <w:t xml:space="preserve"> </w:t>
      </w:r>
      <w:r w:rsidRPr="00DF7224">
        <w:rPr>
          <w:rFonts w:ascii="Times New Roman" w:hAnsi="Times New Roman" w:cs="Times New Roman"/>
          <w:sz w:val="20"/>
          <w:szCs w:val="20"/>
          <w:shd w:val="clear" w:color="auto" w:fill="FFFFFF"/>
        </w:rPr>
        <w:t>данным</w:t>
      </w:r>
      <w:r w:rsidRPr="00DF7224">
        <w:rPr>
          <w:rFonts w:ascii="Times New Roman" w:hAnsi="Times New Roman" w:cs="Times New Roman"/>
          <w:sz w:val="20"/>
          <w:szCs w:val="20"/>
          <w:shd w:val="clear" w:color="auto" w:fill="FFFFFF"/>
          <w:lang w:val="en-US"/>
        </w:rPr>
        <w:t>: Total and urban population, annual, 1950-2050, UNCTADstat</w:t>
      </w:r>
      <w:r w:rsidR="00AF3D00" w:rsidRPr="00DF7224">
        <w:rPr>
          <w:rFonts w:ascii="Times New Roman" w:hAnsi="Times New Roman" w:cs="Times New Roman"/>
          <w:sz w:val="20"/>
          <w:szCs w:val="20"/>
          <w:shd w:val="clear" w:color="auto" w:fill="FFFFFF"/>
          <w:lang w:val="en-US"/>
        </w:rPr>
        <w:t>; Population Reference Bureau – World Population Datasheet 2006 – 2018</w:t>
      </w:r>
    </w:p>
    <w:p w:rsidR="00AF3D00" w:rsidRPr="00DF7224" w:rsidRDefault="00AF3D00" w:rsidP="007E0CA0">
      <w:pPr>
        <w:spacing w:after="0" w:line="240" w:lineRule="auto"/>
        <w:rPr>
          <w:rFonts w:ascii="Times New Roman" w:hAnsi="Times New Roman" w:cs="Times New Roman"/>
          <w:sz w:val="24"/>
          <w:szCs w:val="20"/>
          <w:shd w:val="clear" w:color="auto" w:fill="FFFFFF"/>
          <w:lang w:val="en-US"/>
        </w:rPr>
      </w:pPr>
    </w:p>
    <w:p w:rsidR="00210BF0" w:rsidRPr="00DF7224" w:rsidRDefault="003C4C94"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К 2018 году показатель численности населе</w:t>
      </w:r>
      <w:r w:rsidR="00DE3497" w:rsidRPr="00DF7224">
        <w:rPr>
          <w:rFonts w:ascii="Times New Roman" w:hAnsi="Times New Roman" w:cs="Times New Roman"/>
          <w:sz w:val="28"/>
          <w:szCs w:val="28"/>
        </w:rPr>
        <w:t>ния за 5 лет уменьшился на 0,27</w:t>
      </w:r>
      <w:r w:rsidRPr="00DF7224">
        <w:rPr>
          <w:rFonts w:ascii="Times New Roman" w:hAnsi="Times New Roman" w:cs="Times New Roman"/>
          <w:sz w:val="28"/>
          <w:szCs w:val="28"/>
        </w:rPr>
        <w:t xml:space="preserve">%. </w:t>
      </w:r>
      <w:r w:rsidR="005E6825" w:rsidRPr="00DF7224">
        <w:rPr>
          <w:rFonts w:ascii="Times New Roman" w:hAnsi="Times New Roman" w:cs="Times New Roman"/>
          <w:sz w:val="28"/>
          <w:szCs w:val="28"/>
        </w:rPr>
        <w:t>Уменьшение численности страны это – одна из причин возникновения демографических проблем в Испании. По данным Юнктада  прогнозы на будущие года не позитивны. К 2020 году прогнозируется увеличение, но совсем не значительное, всего на 92 тыс. человек. А к 2050 году ожидается опять уменьшение численности населения до 44395 тыс. человек.</w:t>
      </w:r>
      <w:r w:rsidR="001E75AF" w:rsidRPr="00DF7224">
        <w:rPr>
          <w:rFonts w:ascii="Times New Roman" w:hAnsi="Times New Roman" w:cs="Times New Roman"/>
          <w:sz w:val="28"/>
          <w:szCs w:val="28"/>
        </w:rPr>
        <w:t xml:space="preserve"> </w:t>
      </w:r>
      <w:r w:rsidR="00D97C7C" w:rsidRPr="00DF7224">
        <w:rPr>
          <w:rFonts w:ascii="Times New Roman" w:hAnsi="Times New Roman" w:cs="Times New Roman"/>
          <w:sz w:val="28"/>
          <w:szCs w:val="28"/>
        </w:rPr>
        <w:t>Уменьшение численности населения Испании также сказывается на показателе доли численности Испании в насе</w:t>
      </w:r>
      <w:r w:rsidR="004D7F36" w:rsidRPr="00DF7224">
        <w:rPr>
          <w:rFonts w:ascii="Times New Roman" w:hAnsi="Times New Roman" w:cs="Times New Roman"/>
          <w:sz w:val="28"/>
          <w:szCs w:val="28"/>
        </w:rPr>
        <w:t>лении мира. В Т</w:t>
      </w:r>
      <w:r w:rsidR="00D97C7C" w:rsidRPr="00DF7224">
        <w:rPr>
          <w:rFonts w:ascii="Times New Roman" w:hAnsi="Times New Roman" w:cs="Times New Roman"/>
          <w:sz w:val="28"/>
          <w:szCs w:val="28"/>
        </w:rPr>
        <w:t>аблице 1.</w:t>
      </w:r>
      <w:r w:rsidR="00AF3D00" w:rsidRPr="00DF7224">
        <w:rPr>
          <w:rFonts w:ascii="Times New Roman" w:hAnsi="Times New Roman" w:cs="Times New Roman"/>
          <w:sz w:val="28"/>
          <w:szCs w:val="28"/>
        </w:rPr>
        <w:t>1</w:t>
      </w:r>
      <w:r w:rsidR="001021C9" w:rsidRPr="00DF7224">
        <w:rPr>
          <w:rFonts w:ascii="Times New Roman" w:hAnsi="Times New Roman" w:cs="Times New Roman"/>
          <w:sz w:val="28"/>
          <w:szCs w:val="28"/>
        </w:rPr>
        <w:t xml:space="preserve"> представлена</w:t>
      </w:r>
      <w:r w:rsidR="00D97C7C" w:rsidRPr="00DF7224">
        <w:rPr>
          <w:rFonts w:ascii="Times New Roman" w:hAnsi="Times New Roman" w:cs="Times New Roman"/>
          <w:sz w:val="28"/>
          <w:szCs w:val="28"/>
        </w:rPr>
        <w:t xml:space="preserve"> доля населения страны в </w:t>
      </w:r>
      <w:r w:rsidR="00FC4210" w:rsidRPr="00DF7224">
        <w:rPr>
          <w:rFonts w:ascii="Times New Roman" w:hAnsi="Times New Roman" w:cs="Times New Roman"/>
          <w:sz w:val="28"/>
          <w:szCs w:val="28"/>
        </w:rPr>
        <w:t>общей численности населения мира</w:t>
      </w:r>
      <w:r w:rsidR="00D97C7C" w:rsidRPr="00DF7224">
        <w:rPr>
          <w:rFonts w:ascii="Times New Roman" w:hAnsi="Times New Roman" w:cs="Times New Roman"/>
          <w:sz w:val="28"/>
          <w:szCs w:val="28"/>
        </w:rPr>
        <w:t xml:space="preserve"> за 5 лет</w:t>
      </w:r>
      <w:r w:rsidR="00FC4210" w:rsidRPr="00DF7224">
        <w:rPr>
          <w:rFonts w:ascii="Times New Roman" w:hAnsi="Times New Roman" w:cs="Times New Roman"/>
          <w:sz w:val="28"/>
          <w:szCs w:val="28"/>
        </w:rPr>
        <w:t>, начиная</w:t>
      </w:r>
      <w:r w:rsidR="00D97C7C" w:rsidRPr="00DF7224">
        <w:rPr>
          <w:rFonts w:ascii="Times New Roman" w:hAnsi="Times New Roman" w:cs="Times New Roman"/>
          <w:sz w:val="28"/>
          <w:szCs w:val="28"/>
        </w:rPr>
        <w:t xml:space="preserve"> с 2014 года.</w:t>
      </w:r>
    </w:p>
    <w:p w:rsidR="005E6825" w:rsidRPr="00DF7224" w:rsidRDefault="00D97C7C" w:rsidP="007E0CA0">
      <w:pPr>
        <w:tabs>
          <w:tab w:val="num" w:pos="142"/>
          <w:tab w:val="left" w:pos="426"/>
        </w:tabs>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С 2014 года доля населения Испании в мире упала на 0,02 процентных пункта – наблюдается тенденция уменьшения доли населения. </w:t>
      </w:r>
      <w:r w:rsidR="005E6825" w:rsidRPr="00DF7224">
        <w:rPr>
          <w:rFonts w:ascii="Times New Roman" w:hAnsi="Times New Roman" w:cs="Times New Roman"/>
          <w:sz w:val="28"/>
          <w:szCs w:val="28"/>
        </w:rPr>
        <w:t xml:space="preserve">Это связано и с уменьшением численности населения Испании и  с увеличением численности в других странах </w:t>
      </w:r>
      <w:r w:rsidRPr="00DF7224">
        <w:rPr>
          <w:rFonts w:ascii="Times New Roman" w:hAnsi="Times New Roman" w:cs="Times New Roman"/>
          <w:sz w:val="28"/>
          <w:szCs w:val="28"/>
        </w:rPr>
        <w:t>мира, например, в Китае. Но 0,62</w:t>
      </w:r>
      <w:r w:rsidR="005E6825" w:rsidRPr="00DF7224">
        <w:rPr>
          <w:rFonts w:ascii="Times New Roman" w:hAnsi="Times New Roman" w:cs="Times New Roman"/>
          <w:sz w:val="28"/>
          <w:szCs w:val="28"/>
        </w:rPr>
        <w:t>% от мирового населения</w:t>
      </w:r>
      <w:r w:rsidRPr="00DF7224">
        <w:rPr>
          <w:rFonts w:ascii="Times New Roman" w:hAnsi="Times New Roman" w:cs="Times New Roman"/>
          <w:sz w:val="28"/>
          <w:szCs w:val="28"/>
        </w:rPr>
        <w:t xml:space="preserve"> – </w:t>
      </w:r>
      <w:r w:rsidR="00B5036F" w:rsidRPr="00DF7224">
        <w:rPr>
          <w:rFonts w:ascii="Times New Roman" w:hAnsi="Times New Roman" w:cs="Times New Roman"/>
          <w:sz w:val="28"/>
          <w:szCs w:val="28"/>
        </w:rPr>
        <w:t>отличный</w:t>
      </w:r>
      <w:r w:rsidRPr="00DF7224">
        <w:rPr>
          <w:rFonts w:ascii="Times New Roman" w:hAnsi="Times New Roman" w:cs="Times New Roman"/>
          <w:sz w:val="28"/>
          <w:szCs w:val="28"/>
        </w:rPr>
        <w:t xml:space="preserve"> </w:t>
      </w:r>
      <w:r w:rsidR="005E6825" w:rsidRPr="00DF7224">
        <w:rPr>
          <w:rFonts w:ascii="Times New Roman" w:hAnsi="Times New Roman" w:cs="Times New Roman"/>
          <w:sz w:val="28"/>
          <w:szCs w:val="28"/>
        </w:rPr>
        <w:t xml:space="preserve">показатель. </w:t>
      </w:r>
      <w:r w:rsidRPr="00DF7224">
        <w:rPr>
          <w:rFonts w:ascii="Times New Roman" w:hAnsi="Times New Roman" w:cs="Times New Roman"/>
          <w:sz w:val="28"/>
          <w:szCs w:val="28"/>
        </w:rPr>
        <w:t>В 2018 Испания продолжает входить в тридцат</w:t>
      </w:r>
      <w:r w:rsidR="004A1299" w:rsidRPr="00DF7224">
        <w:rPr>
          <w:rFonts w:ascii="Times New Roman" w:hAnsi="Times New Roman" w:cs="Times New Roman"/>
          <w:sz w:val="28"/>
          <w:szCs w:val="28"/>
        </w:rPr>
        <w:t>ку</w:t>
      </w:r>
      <w:r w:rsidRPr="00DF7224">
        <w:rPr>
          <w:rFonts w:ascii="Times New Roman" w:hAnsi="Times New Roman" w:cs="Times New Roman"/>
          <w:sz w:val="28"/>
          <w:szCs w:val="28"/>
        </w:rPr>
        <w:t xml:space="preserve"> стран с наибольшей численностью населения в мире </w:t>
      </w:r>
      <w:r w:rsidR="004A1299" w:rsidRPr="00DF7224">
        <w:rPr>
          <w:rFonts w:ascii="Times New Roman" w:hAnsi="Times New Roman" w:cs="Times New Roman"/>
          <w:sz w:val="28"/>
          <w:szCs w:val="28"/>
        </w:rPr>
        <w:t>и занимает 27 позицию.</w:t>
      </w:r>
    </w:p>
    <w:p w:rsidR="002F402F" w:rsidRPr="00DF7224" w:rsidRDefault="004A1299" w:rsidP="00D25283">
      <w:pPr>
        <w:tabs>
          <w:tab w:val="num" w:pos="142"/>
          <w:tab w:val="left" w:pos="426"/>
        </w:tabs>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Согласно данным Департамента Статистики </w:t>
      </w:r>
      <w:r w:rsidR="00D25283" w:rsidRPr="00DF7224">
        <w:rPr>
          <w:rFonts w:ascii="Times New Roman" w:hAnsi="Times New Roman" w:cs="Times New Roman"/>
          <w:sz w:val="28"/>
          <w:szCs w:val="28"/>
        </w:rPr>
        <w:t>ООН</w:t>
      </w:r>
      <w:r w:rsidRPr="00DF7224">
        <w:rPr>
          <w:rFonts w:ascii="Times New Roman" w:hAnsi="Times New Roman" w:cs="Times New Roman"/>
          <w:sz w:val="28"/>
          <w:szCs w:val="28"/>
        </w:rPr>
        <w:t xml:space="preserve">, общая площадь Испании составляет 505 370 квадратных километров.  </w:t>
      </w:r>
      <w:r w:rsidR="004D7F36" w:rsidRPr="00DF7224">
        <w:rPr>
          <w:rFonts w:ascii="Times New Roman" w:hAnsi="Times New Roman" w:cs="Times New Roman"/>
          <w:sz w:val="28"/>
          <w:szCs w:val="28"/>
        </w:rPr>
        <w:t>В Т</w:t>
      </w:r>
      <w:r w:rsidRPr="00DF7224">
        <w:rPr>
          <w:rFonts w:ascii="Times New Roman" w:hAnsi="Times New Roman" w:cs="Times New Roman"/>
          <w:sz w:val="28"/>
          <w:szCs w:val="28"/>
        </w:rPr>
        <w:t>аблице 1.</w:t>
      </w:r>
      <w:r w:rsidR="00AF3D00" w:rsidRPr="00DF7224">
        <w:rPr>
          <w:rFonts w:ascii="Times New Roman" w:hAnsi="Times New Roman" w:cs="Times New Roman"/>
          <w:sz w:val="28"/>
          <w:szCs w:val="28"/>
        </w:rPr>
        <w:t>1</w:t>
      </w:r>
      <w:r w:rsidRPr="00DF7224">
        <w:rPr>
          <w:rFonts w:ascii="Times New Roman" w:hAnsi="Times New Roman" w:cs="Times New Roman"/>
          <w:sz w:val="28"/>
          <w:szCs w:val="28"/>
        </w:rPr>
        <w:t xml:space="preserve"> представлены данные плотности населения Испании</w:t>
      </w:r>
      <w:r w:rsidR="00D25283" w:rsidRPr="00DF7224">
        <w:rPr>
          <w:rFonts w:ascii="Times New Roman" w:hAnsi="Times New Roman" w:cs="Times New Roman"/>
          <w:sz w:val="28"/>
          <w:szCs w:val="28"/>
        </w:rPr>
        <w:t xml:space="preserve">. </w:t>
      </w:r>
      <w:r w:rsidR="002F402F" w:rsidRPr="00DF7224">
        <w:rPr>
          <w:rFonts w:ascii="Times New Roman" w:eastAsia="Times New Roman" w:hAnsi="Times New Roman" w:cs="Times New Roman"/>
          <w:color w:val="000000" w:themeColor="text1"/>
          <w:sz w:val="28"/>
          <w:szCs w:val="28"/>
          <w:lang w:eastAsia="ru-RU"/>
        </w:rPr>
        <w:t xml:space="preserve">Показатель за 2015 год почти сравнялся с показателем за 2009. </w:t>
      </w:r>
      <w:r w:rsidR="00590FAA" w:rsidRPr="00DF7224">
        <w:rPr>
          <w:rFonts w:ascii="Times New Roman" w:eastAsia="Times New Roman" w:hAnsi="Times New Roman" w:cs="Times New Roman"/>
          <w:color w:val="000000" w:themeColor="text1"/>
          <w:sz w:val="28"/>
          <w:szCs w:val="28"/>
          <w:lang w:eastAsia="ru-RU"/>
        </w:rPr>
        <w:t xml:space="preserve">В 2016 году плотность уменьшилась на 0,1 процентный пункт по сравнению с 2015 годом. Но с 2016 года </w:t>
      </w:r>
      <w:r w:rsidR="00590FAA" w:rsidRPr="00DF7224">
        <w:rPr>
          <w:rFonts w:ascii="Times New Roman" w:eastAsia="Times New Roman" w:hAnsi="Times New Roman" w:cs="Times New Roman"/>
          <w:color w:val="000000" w:themeColor="text1"/>
          <w:sz w:val="28"/>
          <w:szCs w:val="28"/>
          <w:lang w:eastAsia="ru-RU"/>
        </w:rPr>
        <w:lastRenderedPageBreak/>
        <w:t xml:space="preserve">наблюдается увеличение плотности населения Испании, хоть и не очень значительное </w:t>
      </w:r>
      <w:r w:rsidR="007C67F0" w:rsidRPr="00DF7224">
        <w:rPr>
          <w:rFonts w:ascii="Times New Roman" w:eastAsia="Times New Roman" w:hAnsi="Times New Roman" w:cs="Times New Roman"/>
          <w:color w:val="000000" w:themeColor="text1"/>
          <w:sz w:val="28"/>
          <w:szCs w:val="28"/>
          <w:lang w:eastAsia="ru-RU"/>
        </w:rPr>
        <w:t xml:space="preserve">– </w:t>
      </w:r>
      <w:r w:rsidR="00590FAA" w:rsidRPr="00DF7224">
        <w:rPr>
          <w:rFonts w:ascii="Times New Roman" w:eastAsia="Times New Roman" w:hAnsi="Times New Roman" w:cs="Times New Roman"/>
          <w:color w:val="000000" w:themeColor="text1"/>
          <w:sz w:val="28"/>
          <w:szCs w:val="28"/>
          <w:lang w:eastAsia="ru-RU"/>
        </w:rPr>
        <w:t xml:space="preserve">в 2018 году показатель плотности населения стал равен показателю за 2015 год. </w:t>
      </w:r>
    </w:p>
    <w:p w:rsidR="0038791C" w:rsidRPr="00DF7224" w:rsidRDefault="00031264" w:rsidP="007E0CA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DF7224">
        <w:rPr>
          <w:rFonts w:ascii="Times New Roman" w:eastAsia="Times New Roman" w:hAnsi="Times New Roman" w:cs="Times New Roman"/>
          <w:color w:val="000000" w:themeColor="text1"/>
          <w:sz w:val="28"/>
          <w:szCs w:val="28"/>
          <w:lang w:eastAsia="ru-RU"/>
        </w:rPr>
        <w:t xml:space="preserve">Важным фактором в рассмотрении плотности населения страны является уровень </w:t>
      </w:r>
      <w:r w:rsidR="007C67F0" w:rsidRPr="00DF7224">
        <w:rPr>
          <w:rFonts w:ascii="Times New Roman" w:eastAsia="Times New Roman" w:hAnsi="Times New Roman" w:cs="Times New Roman"/>
          <w:color w:val="000000" w:themeColor="text1"/>
          <w:sz w:val="28"/>
          <w:szCs w:val="28"/>
          <w:lang w:eastAsia="ru-RU"/>
        </w:rPr>
        <w:t>урбанизации</w:t>
      </w:r>
      <w:r w:rsidR="004D7F36" w:rsidRPr="00DF7224">
        <w:rPr>
          <w:rFonts w:ascii="Times New Roman" w:eastAsia="Times New Roman" w:hAnsi="Times New Roman" w:cs="Times New Roman"/>
          <w:color w:val="000000" w:themeColor="text1"/>
          <w:sz w:val="28"/>
          <w:szCs w:val="28"/>
          <w:lang w:eastAsia="ru-RU"/>
        </w:rPr>
        <w:t>. В Т</w:t>
      </w:r>
      <w:r w:rsidRPr="00DF7224">
        <w:rPr>
          <w:rFonts w:ascii="Times New Roman" w:eastAsia="Times New Roman" w:hAnsi="Times New Roman" w:cs="Times New Roman"/>
          <w:color w:val="000000" w:themeColor="text1"/>
          <w:sz w:val="28"/>
          <w:szCs w:val="28"/>
          <w:lang w:eastAsia="ru-RU"/>
        </w:rPr>
        <w:t>аблице 1.</w:t>
      </w:r>
      <w:r w:rsidR="00AF3D00" w:rsidRPr="00DF7224">
        <w:rPr>
          <w:rFonts w:ascii="Times New Roman" w:eastAsia="Times New Roman" w:hAnsi="Times New Roman" w:cs="Times New Roman"/>
          <w:color w:val="000000" w:themeColor="text1"/>
          <w:sz w:val="28"/>
          <w:szCs w:val="28"/>
          <w:lang w:eastAsia="ru-RU"/>
        </w:rPr>
        <w:t>1</w:t>
      </w:r>
      <w:r w:rsidRPr="00DF7224">
        <w:rPr>
          <w:rFonts w:ascii="Times New Roman" w:eastAsia="Times New Roman" w:hAnsi="Times New Roman" w:cs="Times New Roman"/>
          <w:color w:val="000000" w:themeColor="text1"/>
          <w:sz w:val="28"/>
          <w:szCs w:val="28"/>
          <w:lang w:eastAsia="ru-RU"/>
        </w:rPr>
        <w:t xml:space="preserve"> </w:t>
      </w:r>
      <w:r w:rsidR="0037606A" w:rsidRPr="00DF7224">
        <w:rPr>
          <w:rFonts w:ascii="Times New Roman" w:eastAsia="Times New Roman" w:hAnsi="Times New Roman" w:cs="Times New Roman"/>
          <w:color w:val="000000" w:themeColor="text1"/>
          <w:sz w:val="28"/>
          <w:szCs w:val="28"/>
          <w:lang w:eastAsia="ru-RU"/>
        </w:rPr>
        <w:t>представлен</w:t>
      </w:r>
      <w:r w:rsidRPr="00DF7224">
        <w:rPr>
          <w:rFonts w:ascii="Times New Roman" w:eastAsia="Times New Roman" w:hAnsi="Times New Roman" w:cs="Times New Roman"/>
          <w:color w:val="000000" w:themeColor="text1"/>
          <w:sz w:val="28"/>
          <w:szCs w:val="28"/>
          <w:lang w:eastAsia="ru-RU"/>
        </w:rPr>
        <w:t xml:space="preserve"> показатель доли городского населения в Испании за 5 лет.</w:t>
      </w:r>
      <w:r w:rsidR="00F558AB" w:rsidRPr="00DF7224">
        <w:rPr>
          <w:rFonts w:ascii="Times New Roman" w:eastAsia="Times New Roman" w:hAnsi="Times New Roman" w:cs="Times New Roman"/>
          <w:color w:val="000000" w:themeColor="text1"/>
          <w:sz w:val="28"/>
          <w:szCs w:val="28"/>
          <w:lang w:eastAsia="ru-RU"/>
        </w:rPr>
        <w:t xml:space="preserve"> </w:t>
      </w:r>
      <w:r w:rsidR="0038791C" w:rsidRPr="00DF7224">
        <w:rPr>
          <w:rFonts w:ascii="Times New Roman" w:eastAsia="Times New Roman" w:hAnsi="Times New Roman" w:cs="Times New Roman"/>
          <w:color w:val="000000" w:themeColor="text1"/>
          <w:sz w:val="28"/>
          <w:szCs w:val="28"/>
          <w:lang w:eastAsia="ru-RU"/>
        </w:rPr>
        <w:t xml:space="preserve">Городское население относится к людям, живущим в городах, что подсчитывается национальными статистическими управлениями. С каждым годом наблюдается увеличение доли городского населения. За </w:t>
      </w:r>
      <w:r w:rsidRPr="00DF7224">
        <w:rPr>
          <w:rFonts w:ascii="Times New Roman" w:eastAsia="Times New Roman" w:hAnsi="Times New Roman" w:cs="Times New Roman"/>
          <w:color w:val="000000" w:themeColor="text1"/>
          <w:sz w:val="28"/>
          <w:szCs w:val="28"/>
          <w:lang w:eastAsia="ru-RU"/>
        </w:rPr>
        <w:t>5</w:t>
      </w:r>
      <w:r w:rsidR="0038791C" w:rsidRPr="00DF7224">
        <w:rPr>
          <w:rFonts w:ascii="Times New Roman" w:eastAsia="Times New Roman" w:hAnsi="Times New Roman" w:cs="Times New Roman"/>
          <w:color w:val="000000" w:themeColor="text1"/>
          <w:sz w:val="28"/>
          <w:szCs w:val="28"/>
          <w:lang w:eastAsia="ru-RU"/>
        </w:rPr>
        <w:t xml:space="preserve"> лет доля увеличилась на </w:t>
      </w:r>
      <w:r w:rsidRPr="00DF7224">
        <w:rPr>
          <w:rFonts w:ascii="Times New Roman" w:eastAsia="Times New Roman" w:hAnsi="Times New Roman" w:cs="Times New Roman"/>
          <w:color w:val="000000" w:themeColor="text1"/>
          <w:sz w:val="28"/>
          <w:szCs w:val="28"/>
          <w:lang w:eastAsia="ru-RU"/>
        </w:rPr>
        <w:t>0,9</w:t>
      </w:r>
      <w:r w:rsidR="0038791C" w:rsidRPr="00DF7224">
        <w:rPr>
          <w:rFonts w:ascii="Times New Roman" w:eastAsia="Times New Roman" w:hAnsi="Times New Roman" w:cs="Times New Roman"/>
          <w:color w:val="000000" w:themeColor="text1"/>
          <w:sz w:val="28"/>
          <w:szCs w:val="28"/>
          <w:lang w:eastAsia="ru-RU"/>
        </w:rPr>
        <w:t xml:space="preserve"> пункта. В целом показатель доли городского населения соответствует показателю для развитой страны и наблюдается положительная динамика.</w:t>
      </w:r>
    </w:p>
    <w:p w:rsidR="007C67F0" w:rsidRPr="00DF7224" w:rsidRDefault="002B4A64" w:rsidP="0037606A">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DF7224">
        <w:rPr>
          <w:rFonts w:ascii="Times New Roman" w:eastAsia="Times New Roman" w:hAnsi="Times New Roman" w:cs="Times New Roman"/>
          <w:color w:val="000000" w:themeColor="text1"/>
          <w:sz w:val="28"/>
          <w:szCs w:val="28"/>
          <w:lang w:eastAsia="ru-RU"/>
        </w:rPr>
        <w:t>Несмотря на небольшое увеличение плотности населения Испании и доли населения Испании в мире, в стране присутствует и очевидная проблема, которая коснулась не только Королевство Испании, но и почти все страны Европы – общее старение населения страны.</w:t>
      </w:r>
      <w:r w:rsidR="00E74D12" w:rsidRPr="00DF7224">
        <w:rPr>
          <w:rFonts w:ascii="Times New Roman" w:hAnsi="Times New Roman" w:cs="Times New Roman"/>
        </w:rPr>
        <w:t xml:space="preserve"> </w:t>
      </w:r>
      <w:r w:rsidR="00E74D12" w:rsidRPr="00DF7224">
        <w:rPr>
          <w:rFonts w:ascii="Times New Roman" w:eastAsia="Times New Roman" w:hAnsi="Times New Roman" w:cs="Times New Roman"/>
          <w:color w:val="000000" w:themeColor="text1"/>
          <w:sz w:val="28"/>
          <w:szCs w:val="28"/>
          <w:lang w:eastAsia="ru-RU"/>
        </w:rPr>
        <w:t xml:space="preserve">Демографическое старение населения – это рост доли лиц старше трудоспособного возраста в общей численности населения и изменением структуры нагрузки на население трудоспособного возраста. </w:t>
      </w:r>
      <w:r w:rsidRPr="00DF7224">
        <w:rPr>
          <w:rFonts w:ascii="Times New Roman" w:eastAsia="Times New Roman" w:hAnsi="Times New Roman" w:cs="Times New Roman"/>
          <w:color w:val="000000" w:themeColor="text1"/>
          <w:sz w:val="28"/>
          <w:szCs w:val="28"/>
          <w:lang w:eastAsia="ru-RU"/>
        </w:rPr>
        <w:t>Для изучения данной глобальной демографической проблемы уделим внимание несколько статистическим п</w:t>
      </w:r>
      <w:r w:rsidR="004D7F36" w:rsidRPr="00DF7224">
        <w:rPr>
          <w:rFonts w:ascii="Times New Roman" w:eastAsia="Times New Roman" w:hAnsi="Times New Roman" w:cs="Times New Roman"/>
          <w:color w:val="000000" w:themeColor="text1"/>
          <w:sz w:val="28"/>
          <w:szCs w:val="28"/>
          <w:lang w:eastAsia="ru-RU"/>
        </w:rPr>
        <w:t xml:space="preserve">оказателям. </w:t>
      </w:r>
    </w:p>
    <w:p w:rsidR="002F402F" w:rsidRPr="00DF7224" w:rsidRDefault="007C67F0" w:rsidP="007E0CA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DF7224">
        <w:rPr>
          <w:rFonts w:ascii="Times New Roman" w:eastAsia="Times New Roman" w:hAnsi="Times New Roman" w:cs="Times New Roman"/>
          <w:color w:val="000000" w:themeColor="text1"/>
          <w:sz w:val="28"/>
          <w:szCs w:val="28"/>
          <w:lang w:eastAsia="ru-RU"/>
        </w:rPr>
        <w:t>В</w:t>
      </w:r>
      <w:r w:rsidR="002F402F" w:rsidRPr="00DF7224">
        <w:rPr>
          <w:rFonts w:ascii="Times New Roman" w:eastAsia="Times New Roman" w:hAnsi="Times New Roman" w:cs="Times New Roman"/>
          <w:color w:val="000000" w:themeColor="text1"/>
          <w:sz w:val="28"/>
          <w:szCs w:val="28"/>
          <w:lang w:eastAsia="ru-RU"/>
        </w:rPr>
        <w:t xml:space="preserve">озрастная пирамида Испании имеет </w:t>
      </w:r>
      <w:r w:rsidR="0037606A" w:rsidRPr="00DF7224">
        <w:rPr>
          <w:rFonts w:ascii="Times New Roman" w:eastAsia="Times New Roman" w:hAnsi="Times New Roman" w:cs="Times New Roman"/>
          <w:color w:val="000000" w:themeColor="text1"/>
          <w:sz w:val="28"/>
          <w:szCs w:val="28"/>
          <w:lang w:eastAsia="ru-RU"/>
        </w:rPr>
        <w:t xml:space="preserve">регрессивный тип (Приложение 1). </w:t>
      </w:r>
      <w:r w:rsidR="002F402F" w:rsidRPr="00DF7224">
        <w:rPr>
          <w:rFonts w:ascii="Times New Roman" w:eastAsia="Times New Roman" w:hAnsi="Times New Roman" w:cs="Times New Roman"/>
          <w:color w:val="000000" w:themeColor="text1"/>
          <w:sz w:val="28"/>
          <w:szCs w:val="28"/>
          <w:lang w:eastAsia="ru-RU"/>
        </w:rPr>
        <w:t>Такой тип пирам</w:t>
      </w:r>
      <w:r w:rsidR="00E74D12" w:rsidRPr="00DF7224">
        <w:rPr>
          <w:rFonts w:ascii="Times New Roman" w:eastAsia="Times New Roman" w:hAnsi="Times New Roman" w:cs="Times New Roman"/>
          <w:color w:val="000000" w:themeColor="text1"/>
          <w:sz w:val="28"/>
          <w:szCs w:val="28"/>
          <w:lang w:eastAsia="ru-RU"/>
        </w:rPr>
        <w:t>иды обычно встречается у высоко</w:t>
      </w:r>
      <w:r w:rsidR="002F402F" w:rsidRPr="00DF7224">
        <w:rPr>
          <w:rFonts w:ascii="Times New Roman" w:eastAsia="Times New Roman" w:hAnsi="Times New Roman" w:cs="Times New Roman"/>
          <w:color w:val="000000" w:themeColor="text1"/>
          <w:sz w:val="28"/>
          <w:szCs w:val="28"/>
          <w:lang w:eastAsia="ru-RU"/>
        </w:rPr>
        <w:t>развитых стран. В таких странах обычно достаточно высокий уровень здравоохранения, как и уровень образования граждан. Вследствие относительно низкой смертности и рождаемости, население имеет высокую ожида</w:t>
      </w:r>
      <w:r w:rsidR="0038791C" w:rsidRPr="00DF7224">
        <w:rPr>
          <w:rFonts w:ascii="Times New Roman" w:eastAsia="Times New Roman" w:hAnsi="Times New Roman" w:cs="Times New Roman"/>
          <w:color w:val="000000" w:themeColor="text1"/>
          <w:sz w:val="28"/>
          <w:szCs w:val="28"/>
          <w:lang w:eastAsia="ru-RU"/>
        </w:rPr>
        <w:t>емую продолжительность жизни.</w:t>
      </w:r>
      <w:r w:rsidR="002F402F" w:rsidRPr="00DF7224">
        <w:rPr>
          <w:rFonts w:ascii="Times New Roman" w:eastAsia="Times New Roman" w:hAnsi="Times New Roman" w:cs="Times New Roman"/>
          <w:color w:val="000000" w:themeColor="text1"/>
          <w:sz w:val="28"/>
          <w:szCs w:val="28"/>
          <w:lang w:eastAsia="ru-RU"/>
        </w:rPr>
        <w:t xml:space="preserve"> Все эти факторы, наряду с множеством других, приводят к старению населения (повышают средний возраст населения). Старение населения также является большой проблемой для Испании. Сравнив возрастную пирамиду за 2006 год и пирамиду за 2017 можно выявить значительное </w:t>
      </w:r>
      <w:r w:rsidR="002F402F" w:rsidRPr="00DF7224">
        <w:rPr>
          <w:rFonts w:ascii="Times New Roman" w:eastAsia="Times New Roman" w:hAnsi="Times New Roman" w:cs="Times New Roman"/>
          <w:color w:val="000000" w:themeColor="text1"/>
          <w:sz w:val="28"/>
          <w:szCs w:val="28"/>
          <w:lang w:eastAsia="ru-RU"/>
        </w:rPr>
        <w:lastRenderedPageBreak/>
        <w:t xml:space="preserve">уменьшение части </w:t>
      </w:r>
      <w:r w:rsidR="00E74D12" w:rsidRPr="00DF7224">
        <w:rPr>
          <w:rFonts w:ascii="Times New Roman" w:eastAsia="Times New Roman" w:hAnsi="Times New Roman" w:cs="Times New Roman"/>
          <w:color w:val="000000" w:themeColor="text1"/>
          <w:sz w:val="28"/>
          <w:szCs w:val="28"/>
          <w:lang w:eastAsia="ru-RU"/>
        </w:rPr>
        <w:t>молодого поколения до 35 лет.</w:t>
      </w:r>
      <w:r w:rsidR="002F402F" w:rsidRPr="00DF7224">
        <w:rPr>
          <w:rFonts w:ascii="Times New Roman" w:eastAsia="Times New Roman" w:hAnsi="Times New Roman" w:cs="Times New Roman"/>
          <w:color w:val="000000" w:themeColor="text1"/>
          <w:sz w:val="28"/>
          <w:szCs w:val="28"/>
          <w:lang w:eastAsia="ru-RU"/>
        </w:rPr>
        <w:t xml:space="preserve"> За 10 лет ситуация со  старением населения усугубилась. У такой ситуации  множество негативных последствий, например, на государство приходится большая нагрузка, связанная с выплатами пенсий и различных социальных пособий. Пока ситуация не критическая, но в дальнейшем при такой же отрицательной динамики у правительства Испании возникнут большие проблемы с планированием бюджета страны.</w:t>
      </w:r>
    </w:p>
    <w:p w:rsidR="002F402F" w:rsidRPr="00DF7224" w:rsidRDefault="002F402F" w:rsidP="007E0CA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DF7224">
        <w:rPr>
          <w:rFonts w:ascii="Times New Roman" w:eastAsia="Times New Roman" w:hAnsi="Times New Roman" w:cs="Times New Roman"/>
          <w:color w:val="000000" w:themeColor="text1"/>
          <w:sz w:val="28"/>
          <w:szCs w:val="28"/>
          <w:lang w:eastAsia="ru-RU"/>
        </w:rPr>
        <w:t>Рассмотрим также коэффициент демографической нагрузки</w:t>
      </w:r>
      <w:r w:rsidR="007C67F0" w:rsidRPr="00DF7224">
        <w:rPr>
          <w:rStyle w:val="a9"/>
          <w:rFonts w:ascii="Times New Roman" w:eastAsia="Times New Roman" w:hAnsi="Times New Roman" w:cs="Times New Roman"/>
          <w:color w:val="000000" w:themeColor="text1"/>
          <w:sz w:val="28"/>
          <w:szCs w:val="28"/>
          <w:lang w:eastAsia="ru-RU"/>
        </w:rPr>
        <w:footnoteReference w:id="3"/>
      </w:r>
      <w:r w:rsidR="0037606A" w:rsidRPr="00DF7224">
        <w:rPr>
          <w:rFonts w:ascii="Times New Roman" w:eastAsia="Times New Roman" w:hAnsi="Times New Roman" w:cs="Times New Roman"/>
          <w:color w:val="000000" w:themeColor="text1"/>
          <w:sz w:val="28"/>
          <w:szCs w:val="28"/>
          <w:lang w:eastAsia="ru-RU"/>
        </w:rPr>
        <w:t xml:space="preserve"> в Испании</w:t>
      </w:r>
      <w:r w:rsidRPr="00DF7224">
        <w:rPr>
          <w:rFonts w:ascii="Times New Roman" w:eastAsia="Times New Roman" w:hAnsi="Times New Roman" w:cs="Times New Roman"/>
          <w:color w:val="000000" w:themeColor="text1"/>
          <w:sz w:val="28"/>
          <w:szCs w:val="28"/>
          <w:lang w:eastAsia="ru-RU"/>
        </w:rPr>
        <w:t xml:space="preserve">, который </w:t>
      </w:r>
      <w:r w:rsidR="00E74D12" w:rsidRPr="00DF7224">
        <w:rPr>
          <w:rFonts w:ascii="Times New Roman" w:eastAsia="Times New Roman" w:hAnsi="Times New Roman" w:cs="Times New Roman"/>
          <w:color w:val="000000" w:themeColor="text1"/>
          <w:sz w:val="28"/>
          <w:szCs w:val="28"/>
          <w:lang w:eastAsia="ru-RU"/>
        </w:rPr>
        <w:t xml:space="preserve">в 2017 году был </w:t>
      </w:r>
      <w:r w:rsidR="007C67F0" w:rsidRPr="00DF7224">
        <w:rPr>
          <w:rFonts w:ascii="Times New Roman" w:eastAsia="Times New Roman" w:hAnsi="Times New Roman" w:cs="Times New Roman"/>
          <w:color w:val="000000" w:themeColor="text1"/>
          <w:sz w:val="28"/>
          <w:szCs w:val="28"/>
          <w:lang w:eastAsia="ru-RU"/>
        </w:rPr>
        <w:t>равен 47.6%</w:t>
      </w:r>
      <w:r w:rsidRPr="00DF7224">
        <w:rPr>
          <w:rFonts w:ascii="Times New Roman" w:eastAsia="Times New Roman" w:hAnsi="Times New Roman" w:cs="Times New Roman"/>
          <w:color w:val="000000" w:themeColor="text1"/>
          <w:sz w:val="28"/>
          <w:szCs w:val="28"/>
          <w:lang w:eastAsia="ru-RU"/>
        </w:rPr>
        <w:t xml:space="preserve"> [</w:t>
      </w:r>
      <w:r w:rsidR="006212CE" w:rsidRPr="00DF7224">
        <w:rPr>
          <w:rFonts w:ascii="Times New Roman" w:eastAsia="Times New Roman" w:hAnsi="Times New Roman" w:cs="Times New Roman"/>
          <w:color w:val="000000" w:themeColor="text1"/>
          <w:sz w:val="28"/>
          <w:szCs w:val="28"/>
          <w:lang w:eastAsia="ru-RU"/>
        </w:rPr>
        <w:t>34</w:t>
      </w:r>
      <w:r w:rsidR="007C67F0" w:rsidRPr="00DF7224">
        <w:rPr>
          <w:rFonts w:ascii="Times New Roman" w:eastAsia="Times New Roman" w:hAnsi="Times New Roman" w:cs="Times New Roman"/>
          <w:color w:val="000000" w:themeColor="text1"/>
          <w:sz w:val="28"/>
          <w:szCs w:val="28"/>
          <w:lang w:eastAsia="ru-RU"/>
        </w:rPr>
        <w:t>]. Значение в 47.6</w:t>
      </w:r>
      <w:r w:rsidRPr="00DF7224">
        <w:rPr>
          <w:rFonts w:ascii="Times New Roman" w:eastAsia="Times New Roman" w:hAnsi="Times New Roman" w:cs="Times New Roman"/>
          <w:color w:val="000000" w:themeColor="text1"/>
          <w:sz w:val="28"/>
          <w:szCs w:val="28"/>
          <w:lang w:eastAsia="ru-RU"/>
        </w:rPr>
        <w:t>% - относительно низкое. Оно показывает, что численность трудоспособного населения более чем в два раза превышает численность населения нетрудоспособного возраста. Коэффициент пенсионной нагрузки</w:t>
      </w:r>
      <w:r w:rsidR="00672818" w:rsidRPr="00DF7224">
        <w:rPr>
          <w:rStyle w:val="a9"/>
          <w:rFonts w:ascii="Times New Roman" w:eastAsia="Times New Roman" w:hAnsi="Times New Roman" w:cs="Times New Roman"/>
          <w:color w:val="000000" w:themeColor="text1"/>
          <w:sz w:val="28"/>
          <w:szCs w:val="28"/>
          <w:lang w:eastAsia="ru-RU"/>
        </w:rPr>
        <w:footnoteReference w:id="4"/>
      </w:r>
      <w:r w:rsidRPr="00DF7224">
        <w:rPr>
          <w:rFonts w:ascii="Times New Roman" w:eastAsia="Times New Roman" w:hAnsi="Times New Roman" w:cs="Times New Roman"/>
          <w:color w:val="000000" w:themeColor="text1"/>
          <w:sz w:val="28"/>
          <w:szCs w:val="28"/>
          <w:lang w:eastAsia="ru-RU"/>
        </w:rPr>
        <w:t xml:space="preserve"> в Испании </w:t>
      </w:r>
      <w:r w:rsidR="00E74D12" w:rsidRPr="00DF7224">
        <w:rPr>
          <w:rFonts w:ascii="Times New Roman" w:eastAsia="Times New Roman" w:hAnsi="Times New Roman" w:cs="Times New Roman"/>
          <w:color w:val="000000" w:themeColor="text1"/>
          <w:sz w:val="28"/>
          <w:szCs w:val="28"/>
          <w:lang w:eastAsia="ru-RU"/>
        </w:rPr>
        <w:t xml:space="preserve">в 2017 году </w:t>
      </w:r>
      <w:r w:rsidRPr="00DF7224">
        <w:rPr>
          <w:rFonts w:ascii="Times New Roman" w:eastAsia="Times New Roman" w:hAnsi="Times New Roman" w:cs="Times New Roman"/>
          <w:color w:val="000000" w:themeColor="text1"/>
          <w:sz w:val="28"/>
          <w:szCs w:val="28"/>
          <w:lang w:eastAsia="ru-RU"/>
        </w:rPr>
        <w:t xml:space="preserve">составляет </w:t>
      </w:r>
      <w:r w:rsidR="00E74D12" w:rsidRPr="00DF7224">
        <w:rPr>
          <w:rFonts w:ascii="Times New Roman" w:eastAsia="Times New Roman" w:hAnsi="Times New Roman" w:cs="Times New Roman"/>
          <w:color w:val="000000" w:themeColor="text1"/>
          <w:sz w:val="28"/>
          <w:szCs w:val="28"/>
          <w:lang w:eastAsia="ru-RU"/>
        </w:rPr>
        <w:t>33,2</w:t>
      </w:r>
      <w:r w:rsidR="00672818" w:rsidRPr="00DF7224">
        <w:rPr>
          <w:rFonts w:ascii="Times New Roman" w:eastAsia="Times New Roman" w:hAnsi="Times New Roman" w:cs="Times New Roman"/>
          <w:color w:val="000000" w:themeColor="text1"/>
          <w:sz w:val="28"/>
          <w:szCs w:val="28"/>
          <w:lang w:eastAsia="ru-RU"/>
        </w:rPr>
        <w:t xml:space="preserve">% </w:t>
      </w:r>
      <w:r w:rsidRPr="00DF7224">
        <w:rPr>
          <w:rFonts w:ascii="Times New Roman" w:eastAsia="Times New Roman" w:hAnsi="Times New Roman" w:cs="Times New Roman"/>
          <w:color w:val="000000" w:themeColor="text1"/>
          <w:sz w:val="28"/>
          <w:szCs w:val="28"/>
          <w:lang w:eastAsia="ru-RU"/>
        </w:rPr>
        <w:t>[</w:t>
      </w:r>
      <w:r w:rsidR="006212CE" w:rsidRPr="00DF7224">
        <w:rPr>
          <w:rFonts w:ascii="Times New Roman" w:eastAsia="Times New Roman" w:hAnsi="Times New Roman" w:cs="Times New Roman"/>
          <w:color w:val="000000" w:themeColor="text1"/>
          <w:sz w:val="28"/>
          <w:szCs w:val="28"/>
          <w:lang w:eastAsia="ru-RU"/>
        </w:rPr>
        <w:t>34</w:t>
      </w:r>
      <w:r w:rsidRPr="00DF7224">
        <w:rPr>
          <w:rFonts w:ascii="Times New Roman" w:eastAsia="Times New Roman" w:hAnsi="Times New Roman" w:cs="Times New Roman"/>
          <w:color w:val="000000" w:themeColor="text1"/>
          <w:sz w:val="28"/>
          <w:szCs w:val="28"/>
          <w:lang w:eastAsia="ru-RU"/>
        </w:rPr>
        <w:t>]</w:t>
      </w:r>
      <w:r w:rsidR="007C67F0" w:rsidRPr="00DF7224">
        <w:rPr>
          <w:rFonts w:ascii="Times New Roman" w:eastAsia="Times New Roman" w:hAnsi="Times New Roman" w:cs="Times New Roman"/>
          <w:color w:val="000000" w:themeColor="text1"/>
          <w:sz w:val="28"/>
          <w:szCs w:val="28"/>
          <w:lang w:eastAsia="ru-RU"/>
        </w:rPr>
        <w:t>.</w:t>
      </w:r>
      <w:r w:rsidR="00672818" w:rsidRPr="00DF7224">
        <w:rPr>
          <w:rFonts w:ascii="Times New Roman" w:eastAsia="Times New Roman" w:hAnsi="Times New Roman" w:cs="Times New Roman"/>
          <w:color w:val="000000" w:themeColor="text1"/>
          <w:sz w:val="28"/>
          <w:szCs w:val="28"/>
          <w:lang w:eastAsia="ru-RU"/>
        </w:rPr>
        <w:t xml:space="preserve"> Испания входит в двадцатку стран с наибольшим коэффициентом пенсионной нагрузки.</w:t>
      </w:r>
    </w:p>
    <w:p w:rsidR="00884E5B" w:rsidRPr="00DF7224" w:rsidRDefault="00884E5B" w:rsidP="007E0CA0">
      <w:pPr>
        <w:spacing w:after="0" w:line="360" w:lineRule="auto"/>
        <w:ind w:firstLine="709"/>
        <w:jc w:val="both"/>
        <w:rPr>
          <w:rFonts w:ascii="Times New Roman" w:eastAsia="Times New Roman" w:hAnsi="Times New Roman" w:cs="Times New Roman"/>
          <w:color w:val="000000" w:themeColor="text1"/>
          <w:sz w:val="28"/>
          <w:szCs w:val="24"/>
          <w:lang w:eastAsia="ru-RU"/>
        </w:rPr>
      </w:pPr>
      <w:r w:rsidRPr="00DF7224">
        <w:rPr>
          <w:rFonts w:ascii="Times New Roman" w:eastAsia="Times New Roman" w:hAnsi="Times New Roman" w:cs="Times New Roman"/>
          <w:color w:val="000000" w:themeColor="text1"/>
          <w:sz w:val="28"/>
          <w:szCs w:val="28"/>
          <w:lang w:eastAsia="ru-RU"/>
        </w:rPr>
        <w:t xml:space="preserve">По данным испанского Национального института статистики (INE) в декабре 2018 года </w:t>
      </w:r>
      <w:r w:rsidRPr="00DF7224">
        <w:rPr>
          <w:rFonts w:ascii="Times New Roman" w:eastAsia="Times New Roman" w:hAnsi="Times New Roman" w:cs="Times New Roman"/>
          <w:color w:val="000000" w:themeColor="text1"/>
          <w:sz w:val="28"/>
          <w:szCs w:val="24"/>
          <w:lang w:eastAsia="ru-RU"/>
        </w:rPr>
        <w:t>естественный демографический спад в Испании</w:t>
      </w:r>
      <w:r w:rsidR="00672818" w:rsidRPr="00DF7224">
        <w:rPr>
          <w:rFonts w:ascii="Times New Roman" w:eastAsia="Times New Roman" w:hAnsi="Times New Roman" w:cs="Times New Roman"/>
          <w:color w:val="000000" w:themeColor="text1"/>
          <w:sz w:val="28"/>
          <w:szCs w:val="24"/>
          <w:lang w:eastAsia="ru-RU"/>
        </w:rPr>
        <w:t xml:space="preserve"> достиг исторического максимума </w:t>
      </w:r>
      <w:r w:rsidRPr="00DF7224">
        <w:rPr>
          <w:rFonts w:ascii="Times New Roman" w:eastAsia="Times New Roman" w:hAnsi="Times New Roman" w:cs="Times New Roman"/>
          <w:color w:val="000000" w:themeColor="text1"/>
          <w:sz w:val="28"/>
          <w:szCs w:val="24"/>
          <w:lang w:eastAsia="ru-RU"/>
        </w:rPr>
        <w:t>[</w:t>
      </w:r>
      <w:r w:rsidR="006212CE" w:rsidRPr="00DF7224">
        <w:rPr>
          <w:rFonts w:ascii="Times New Roman" w:eastAsia="Times New Roman" w:hAnsi="Times New Roman" w:cs="Times New Roman"/>
          <w:color w:val="000000" w:themeColor="text1"/>
          <w:sz w:val="28"/>
          <w:szCs w:val="24"/>
          <w:lang w:eastAsia="ru-RU"/>
        </w:rPr>
        <w:t>4</w:t>
      </w:r>
      <w:r w:rsidR="00554DD3" w:rsidRPr="00DF7224">
        <w:rPr>
          <w:rFonts w:ascii="Times New Roman" w:eastAsia="Times New Roman" w:hAnsi="Times New Roman" w:cs="Times New Roman"/>
          <w:color w:val="000000" w:themeColor="text1"/>
          <w:sz w:val="28"/>
          <w:szCs w:val="24"/>
          <w:lang w:eastAsia="ru-RU"/>
        </w:rPr>
        <w:t>3]</w:t>
      </w:r>
      <w:r w:rsidR="00672818" w:rsidRPr="00DF7224">
        <w:rPr>
          <w:rFonts w:ascii="Times New Roman" w:eastAsia="Times New Roman" w:hAnsi="Times New Roman" w:cs="Times New Roman"/>
          <w:color w:val="000000" w:themeColor="text1"/>
          <w:sz w:val="28"/>
          <w:szCs w:val="24"/>
          <w:lang w:eastAsia="ru-RU"/>
        </w:rPr>
        <w:t>.</w:t>
      </w:r>
      <w:r w:rsidR="00554DD3" w:rsidRPr="00DF7224">
        <w:rPr>
          <w:rFonts w:ascii="Times New Roman" w:hAnsi="Times New Roman" w:cs="Times New Roman"/>
        </w:rPr>
        <w:t xml:space="preserve"> </w:t>
      </w:r>
      <w:r w:rsidR="0007740A" w:rsidRPr="00DF7224">
        <w:rPr>
          <w:rFonts w:ascii="Times New Roman" w:eastAsia="Times New Roman" w:hAnsi="Times New Roman" w:cs="Times New Roman"/>
          <w:color w:val="000000" w:themeColor="text1"/>
          <w:sz w:val="28"/>
          <w:szCs w:val="24"/>
          <w:lang w:eastAsia="ru-RU"/>
        </w:rPr>
        <w:t>В первой половине 2018 года в Испании родилось всего 179 794 ребенка. Этот показатель является самым низким с момента начала регис</w:t>
      </w:r>
      <w:r w:rsidR="0037606A" w:rsidRPr="00DF7224">
        <w:rPr>
          <w:rFonts w:ascii="Times New Roman" w:eastAsia="Times New Roman" w:hAnsi="Times New Roman" w:cs="Times New Roman"/>
          <w:color w:val="000000" w:themeColor="text1"/>
          <w:sz w:val="28"/>
          <w:szCs w:val="24"/>
          <w:lang w:eastAsia="ru-RU"/>
        </w:rPr>
        <w:t xml:space="preserve">трации данных в INE в 1941 году. </w:t>
      </w:r>
      <w:r w:rsidR="0007740A" w:rsidRPr="00DF7224">
        <w:rPr>
          <w:rFonts w:ascii="Times New Roman" w:eastAsia="Times New Roman" w:hAnsi="Times New Roman" w:cs="Times New Roman"/>
          <w:color w:val="000000" w:themeColor="text1"/>
          <w:sz w:val="28"/>
          <w:szCs w:val="24"/>
          <w:lang w:eastAsia="ru-RU"/>
        </w:rPr>
        <w:t>Кроме того, увеличивается смертность: за это же время умерло 226 384 человека. Баланс рождений за вычетом смертей, известный как вегетат</w:t>
      </w:r>
      <w:r w:rsidR="001021C9" w:rsidRPr="00DF7224">
        <w:rPr>
          <w:rFonts w:ascii="Times New Roman" w:eastAsia="Times New Roman" w:hAnsi="Times New Roman" w:cs="Times New Roman"/>
          <w:color w:val="000000" w:themeColor="text1"/>
          <w:sz w:val="28"/>
          <w:szCs w:val="24"/>
          <w:lang w:eastAsia="ru-RU"/>
        </w:rPr>
        <w:t>ивный рост, составляет -46,590 –</w:t>
      </w:r>
      <w:r w:rsidR="0007740A" w:rsidRPr="00DF7224">
        <w:rPr>
          <w:rFonts w:ascii="Times New Roman" w:eastAsia="Times New Roman" w:hAnsi="Times New Roman" w:cs="Times New Roman"/>
          <w:color w:val="000000" w:themeColor="text1"/>
          <w:sz w:val="28"/>
          <w:szCs w:val="24"/>
          <w:lang w:eastAsia="ru-RU"/>
        </w:rPr>
        <w:t xml:space="preserve"> минимум, который представляет собой исторический рекорд. Рассмотрим более подробно общие коэффициенты рождаемости и с</w:t>
      </w:r>
      <w:r w:rsidR="004D7F36" w:rsidRPr="00DF7224">
        <w:rPr>
          <w:rFonts w:ascii="Times New Roman" w:eastAsia="Times New Roman" w:hAnsi="Times New Roman" w:cs="Times New Roman"/>
          <w:color w:val="000000" w:themeColor="text1"/>
          <w:sz w:val="28"/>
          <w:szCs w:val="24"/>
          <w:lang w:eastAsia="ru-RU"/>
        </w:rPr>
        <w:t>мертности за последние 8 лет в Таблице</w:t>
      </w:r>
      <w:r w:rsidR="0007740A" w:rsidRPr="00DF7224">
        <w:rPr>
          <w:rFonts w:ascii="Times New Roman" w:eastAsia="Times New Roman" w:hAnsi="Times New Roman" w:cs="Times New Roman"/>
          <w:color w:val="000000" w:themeColor="text1"/>
          <w:sz w:val="28"/>
          <w:szCs w:val="24"/>
          <w:lang w:eastAsia="ru-RU"/>
        </w:rPr>
        <w:t xml:space="preserve"> 1.</w:t>
      </w:r>
      <w:r w:rsidR="004D7F36" w:rsidRPr="00DF7224">
        <w:rPr>
          <w:rFonts w:ascii="Times New Roman" w:eastAsia="Times New Roman" w:hAnsi="Times New Roman" w:cs="Times New Roman"/>
          <w:color w:val="000000" w:themeColor="text1"/>
          <w:sz w:val="28"/>
          <w:szCs w:val="24"/>
          <w:lang w:eastAsia="ru-RU"/>
        </w:rPr>
        <w:t>2</w:t>
      </w:r>
      <w:r w:rsidR="0007740A" w:rsidRPr="00DF7224">
        <w:rPr>
          <w:rFonts w:ascii="Times New Roman" w:eastAsia="Times New Roman" w:hAnsi="Times New Roman" w:cs="Times New Roman"/>
          <w:color w:val="000000" w:themeColor="text1"/>
          <w:sz w:val="28"/>
          <w:szCs w:val="24"/>
          <w:lang w:eastAsia="ru-RU"/>
        </w:rPr>
        <w:t>.</w:t>
      </w:r>
    </w:p>
    <w:p w:rsidR="00672818" w:rsidRPr="00DF7224" w:rsidRDefault="00672818" w:rsidP="007E0CA0">
      <w:pPr>
        <w:spacing w:after="0" w:line="360" w:lineRule="auto"/>
        <w:ind w:firstLine="709"/>
        <w:jc w:val="both"/>
        <w:rPr>
          <w:rFonts w:ascii="Times New Roman" w:eastAsia="Times New Roman" w:hAnsi="Times New Roman" w:cs="Times New Roman"/>
          <w:color w:val="000000" w:themeColor="text1"/>
          <w:sz w:val="28"/>
          <w:szCs w:val="24"/>
          <w:lang w:eastAsia="ru-RU"/>
        </w:rPr>
      </w:pPr>
    </w:p>
    <w:p w:rsidR="00D9323E" w:rsidRPr="00DF7224" w:rsidRDefault="00D9323E" w:rsidP="007E0CA0">
      <w:pPr>
        <w:spacing w:after="0" w:line="360" w:lineRule="auto"/>
        <w:ind w:firstLine="709"/>
        <w:jc w:val="both"/>
        <w:rPr>
          <w:rFonts w:ascii="Times New Roman" w:eastAsia="Times New Roman" w:hAnsi="Times New Roman" w:cs="Times New Roman"/>
          <w:color w:val="000000" w:themeColor="text1"/>
          <w:sz w:val="28"/>
          <w:szCs w:val="24"/>
          <w:lang w:eastAsia="ru-RU"/>
        </w:rPr>
      </w:pPr>
    </w:p>
    <w:p w:rsidR="00D9323E" w:rsidRPr="00DF7224" w:rsidRDefault="00D9323E" w:rsidP="007E0CA0">
      <w:pPr>
        <w:spacing w:after="0" w:line="360" w:lineRule="auto"/>
        <w:ind w:firstLine="709"/>
        <w:jc w:val="both"/>
        <w:rPr>
          <w:rFonts w:ascii="Times New Roman" w:eastAsia="Times New Roman" w:hAnsi="Times New Roman" w:cs="Times New Roman"/>
          <w:color w:val="000000" w:themeColor="text1"/>
          <w:sz w:val="28"/>
          <w:szCs w:val="24"/>
          <w:lang w:eastAsia="ru-RU"/>
        </w:rPr>
      </w:pPr>
    </w:p>
    <w:p w:rsidR="006E2E8F" w:rsidRPr="00DF7224" w:rsidRDefault="002F402F" w:rsidP="0037606A">
      <w:pPr>
        <w:tabs>
          <w:tab w:val="num" w:pos="142"/>
          <w:tab w:val="left" w:pos="426"/>
        </w:tabs>
        <w:spacing w:after="0" w:line="360" w:lineRule="auto"/>
        <w:ind w:firstLine="709"/>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lastRenderedPageBreak/>
        <w:t xml:space="preserve">Таблица </w:t>
      </w:r>
      <w:r w:rsidR="00DA0343" w:rsidRPr="00DF7224">
        <w:rPr>
          <w:rFonts w:ascii="Times New Roman" w:hAnsi="Times New Roman" w:cs="Times New Roman"/>
          <w:color w:val="000000" w:themeColor="text1"/>
          <w:sz w:val="28"/>
          <w:szCs w:val="28"/>
        </w:rPr>
        <w:t>1.</w:t>
      </w:r>
      <w:r w:rsidR="00F558AB" w:rsidRPr="00DF7224">
        <w:rPr>
          <w:rFonts w:ascii="Times New Roman" w:hAnsi="Times New Roman" w:cs="Times New Roman"/>
          <w:color w:val="000000" w:themeColor="text1"/>
          <w:sz w:val="28"/>
          <w:szCs w:val="28"/>
        </w:rPr>
        <w:t>2</w:t>
      </w:r>
      <w:r w:rsidR="00DA0343" w:rsidRPr="00DF7224">
        <w:rPr>
          <w:rFonts w:ascii="Times New Roman" w:hAnsi="Times New Roman" w:cs="Times New Roman"/>
          <w:color w:val="000000" w:themeColor="text1"/>
          <w:sz w:val="28"/>
          <w:szCs w:val="28"/>
        </w:rPr>
        <w:t xml:space="preserve"> –</w:t>
      </w:r>
      <w:r w:rsidR="006E2E8F" w:rsidRPr="00DF7224">
        <w:rPr>
          <w:rFonts w:ascii="Times New Roman" w:hAnsi="Times New Roman" w:cs="Times New Roman"/>
          <w:color w:val="000000" w:themeColor="text1"/>
          <w:sz w:val="28"/>
          <w:szCs w:val="28"/>
        </w:rPr>
        <w:t>Динамика к</w:t>
      </w:r>
      <w:r w:rsidRPr="00DF7224">
        <w:rPr>
          <w:rFonts w:ascii="Times New Roman" w:hAnsi="Times New Roman" w:cs="Times New Roman"/>
          <w:color w:val="000000" w:themeColor="text1"/>
          <w:sz w:val="28"/>
          <w:szCs w:val="28"/>
        </w:rPr>
        <w:t>оэффициент</w:t>
      </w:r>
      <w:r w:rsidR="006E2E8F" w:rsidRPr="00DF7224">
        <w:rPr>
          <w:rFonts w:ascii="Times New Roman" w:hAnsi="Times New Roman" w:cs="Times New Roman"/>
          <w:color w:val="000000" w:themeColor="text1"/>
          <w:sz w:val="28"/>
          <w:szCs w:val="28"/>
        </w:rPr>
        <w:t>ов</w:t>
      </w:r>
      <w:r w:rsidRPr="00DF7224">
        <w:rPr>
          <w:rFonts w:ascii="Times New Roman" w:hAnsi="Times New Roman" w:cs="Times New Roman"/>
          <w:color w:val="000000" w:themeColor="text1"/>
          <w:sz w:val="28"/>
          <w:szCs w:val="28"/>
        </w:rPr>
        <w:t xml:space="preserve"> </w:t>
      </w:r>
      <w:r w:rsidR="00F558AB" w:rsidRPr="00DF7224">
        <w:rPr>
          <w:rFonts w:ascii="Times New Roman" w:hAnsi="Times New Roman" w:cs="Times New Roman"/>
          <w:color w:val="000000" w:themeColor="text1"/>
          <w:sz w:val="28"/>
          <w:szCs w:val="28"/>
        </w:rPr>
        <w:t>демографии</w:t>
      </w:r>
      <w:r w:rsidR="00884E5B" w:rsidRPr="00DF7224">
        <w:rPr>
          <w:rFonts w:ascii="Times New Roman" w:hAnsi="Times New Roman" w:cs="Times New Roman"/>
          <w:color w:val="000000" w:themeColor="text1"/>
          <w:sz w:val="28"/>
          <w:szCs w:val="28"/>
        </w:rPr>
        <w:t xml:space="preserve"> в Испании</w:t>
      </w:r>
    </w:p>
    <w:tbl>
      <w:tblPr>
        <w:tblStyle w:val="6"/>
        <w:tblW w:w="8450" w:type="dxa"/>
        <w:jc w:val="center"/>
        <w:tblLook w:val="04A0" w:firstRow="1" w:lastRow="0" w:firstColumn="1" w:lastColumn="0" w:noHBand="0" w:noVBand="1"/>
      </w:tblPr>
      <w:tblGrid>
        <w:gridCol w:w="2233"/>
        <w:gridCol w:w="785"/>
        <w:gridCol w:w="776"/>
        <w:gridCol w:w="776"/>
        <w:gridCol w:w="776"/>
        <w:gridCol w:w="776"/>
        <w:gridCol w:w="776"/>
        <w:gridCol w:w="776"/>
        <w:gridCol w:w="776"/>
      </w:tblGrid>
      <w:tr w:rsidR="0007740A" w:rsidRPr="00DF7224" w:rsidTr="00884E5B">
        <w:trPr>
          <w:trHeight w:val="452"/>
          <w:jc w:val="center"/>
        </w:trPr>
        <w:tc>
          <w:tcPr>
            <w:tcW w:w="2233" w:type="dxa"/>
            <w:vAlign w:val="center"/>
            <w:hideMark/>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Показатель/Год</w:t>
            </w:r>
          </w:p>
        </w:tc>
        <w:tc>
          <w:tcPr>
            <w:tcW w:w="785" w:type="dxa"/>
            <w:noWrap/>
            <w:vAlign w:val="center"/>
            <w:hideMark/>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2011</w:t>
            </w:r>
          </w:p>
        </w:tc>
        <w:tc>
          <w:tcPr>
            <w:tcW w:w="776" w:type="dxa"/>
            <w:noWrap/>
            <w:vAlign w:val="center"/>
            <w:hideMark/>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2012</w:t>
            </w:r>
          </w:p>
        </w:tc>
        <w:tc>
          <w:tcPr>
            <w:tcW w:w="776" w:type="dxa"/>
            <w:noWrap/>
            <w:vAlign w:val="center"/>
            <w:hideMark/>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2013</w:t>
            </w:r>
          </w:p>
        </w:tc>
        <w:tc>
          <w:tcPr>
            <w:tcW w:w="776" w:type="dxa"/>
            <w:noWrap/>
            <w:vAlign w:val="center"/>
            <w:hideMark/>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2014</w:t>
            </w:r>
          </w:p>
        </w:tc>
        <w:tc>
          <w:tcPr>
            <w:tcW w:w="776" w:type="dxa"/>
            <w:noWrap/>
            <w:vAlign w:val="center"/>
            <w:hideMark/>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2015</w:t>
            </w:r>
          </w:p>
        </w:tc>
        <w:tc>
          <w:tcPr>
            <w:tcW w:w="776" w:type="dxa"/>
            <w:vAlign w:val="center"/>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2016</w:t>
            </w:r>
          </w:p>
        </w:tc>
        <w:tc>
          <w:tcPr>
            <w:tcW w:w="776" w:type="dxa"/>
            <w:vAlign w:val="center"/>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2017</w:t>
            </w:r>
          </w:p>
        </w:tc>
        <w:tc>
          <w:tcPr>
            <w:tcW w:w="776" w:type="dxa"/>
            <w:vAlign w:val="center"/>
          </w:tcPr>
          <w:p w:rsidR="00884E5B" w:rsidRPr="00DF7224" w:rsidRDefault="00884E5B" w:rsidP="007E0CA0">
            <w:pPr>
              <w:jc w:val="center"/>
              <w:rPr>
                <w:rFonts w:ascii="Times New Roman" w:hAnsi="Times New Roman" w:cs="Times New Roman"/>
                <w:bCs/>
                <w:color w:val="000000" w:themeColor="text1"/>
                <w:sz w:val="24"/>
                <w:szCs w:val="20"/>
              </w:rPr>
            </w:pPr>
            <w:r w:rsidRPr="00DF7224">
              <w:rPr>
                <w:rFonts w:ascii="Times New Roman" w:hAnsi="Times New Roman" w:cs="Times New Roman"/>
                <w:bCs/>
                <w:color w:val="000000" w:themeColor="text1"/>
                <w:sz w:val="24"/>
                <w:szCs w:val="20"/>
              </w:rPr>
              <w:t>2018</w:t>
            </w:r>
          </w:p>
        </w:tc>
      </w:tr>
      <w:tr w:rsidR="0007740A" w:rsidRPr="00DF7224" w:rsidTr="00F558AB">
        <w:trPr>
          <w:trHeight w:val="401"/>
          <w:jc w:val="center"/>
        </w:trPr>
        <w:tc>
          <w:tcPr>
            <w:tcW w:w="2233" w:type="dxa"/>
            <w:noWrap/>
            <w:vAlign w:val="center"/>
            <w:hideMark/>
          </w:tcPr>
          <w:p w:rsidR="00884E5B" w:rsidRPr="00DF7224" w:rsidRDefault="00F558A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К рождаемости</w:t>
            </w:r>
          </w:p>
        </w:tc>
        <w:tc>
          <w:tcPr>
            <w:tcW w:w="785" w:type="dxa"/>
            <w:vAlign w:val="center"/>
            <w:hideMark/>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10,1</w:t>
            </w:r>
          </w:p>
        </w:tc>
        <w:tc>
          <w:tcPr>
            <w:tcW w:w="776" w:type="dxa"/>
            <w:vAlign w:val="center"/>
            <w:hideMark/>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9,7</w:t>
            </w:r>
          </w:p>
        </w:tc>
        <w:tc>
          <w:tcPr>
            <w:tcW w:w="776" w:type="dxa"/>
            <w:vAlign w:val="center"/>
            <w:hideMark/>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9,1</w:t>
            </w:r>
          </w:p>
        </w:tc>
        <w:tc>
          <w:tcPr>
            <w:tcW w:w="776" w:type="dxa"/>
            <w:vAlign w:val="center"/>
            <w:hideMark/>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9,2</w:t>
            </w:r>
          </w:p>
        </w:tc>
        <w:tc>
          <w:tcPr>
            <w:tcW w:w="776" w:type="dxa"/>
            <w:vAlign w:val="center"/>
            <w:hideMark/>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9</w:t>
            </w:r>
          </w:p>
        </w:tc>
        <w:tc>
          <w:tcPr>
            <w:tcW w:w="776" w:type="dxa"/>
            <w:vAlign w:val="center"/>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8,7</w:t>
            </w:r>
          </w:p>
        </w:tc>
        <w:tc>
          <w:tcPr>
            <w:tcW w:w="776" w:type="dxa"/>
            <w:vAlign w:val="center"/>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8,6</w:t>
            </w:r>
          </w:p>
        </w:tc>
        <w:tc>
          <w:tcPr>
            <w:tcW w:w="776" w:type="dxa"/>
            <w:vAlign w:val="center"/>
          </w:tcPr>
          <w:p w:rsidR="00884E5B" w:rsidRPr="00DF7224" w:rsidRDefault="00884E5B" w:rsidP="007E0CA0">
            <w:pPr>
              <w:jc w:val="center"/>
              <w:rPr>
                <w:rFonts w:ascii="Times New Roman" w:hAnsi="Times New Roman" w:cs="Times New Roman"/>
                <w:color w:val="000000" w:themeColor="text1"/>
                <w:sz w:val="24"/>
                <w:szCs w:val="20"/>
              </w:rPr>
            </w:pPr>
            <w:r w:rsidRPr="00DF7224">
              <w:rPr>
                <w:rFonts w:ascii="Times New Roman" w:hAnsi="Times New Roman" w:cs="Times New Roman"/>
                <w:color w:val="000000" w:themeColor="text1"/>
                <w:sz w:val="24"/>
                <w:szCs w:val="20"/>
              </w:rPr>
              <w:t>8,4</w:t>
            </w:r>
          </w:p>
        </w:tc>
      </w:tr>
      <w:tr w:rsidR="00F558AB" w:rsidRPr="00DF7224" w:rsidTr="00F558AB">
        <w:trPr>
          <w:trHeight w:val="401"/>
          <w:jc w:val="center"/>
        </w:trPr>
        <w:tc>
          <w:tcPr>
            <w:tcW w:w="2233" w:type="dxa"/>
            <w:noWrap/>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К смертности</w:t>
            </w:r>
          </w:p>
        </w:tc>
        <w:tc>
          <w:tcPr>
            <w:tcW w:w="785"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8,3</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8,6</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8,3</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8,5</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8,7</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8,9</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9,1</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9,2</w:t>
            </w:r>
          </w:p>
        </w:tc>
      </w:tr>
      <w:tr w:rsidR="00F558AB" w:rsidRPr="00DF7224" w:rsidTr="00F558AB">
        <w:trPr>
          <w:trHeight w:val="401"/>
          <w:jc w:val="center"/>
        </w:trPr>
        <w:tc>
          <w:tcPr>
            <w:tcW w:w="2233" w:type="dxa"/>
            <w:noWrap/>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К ест. прироста</w:t>
            </w:r>
          </w:p>
        </w:tc>
        <w:tc>
          <w:tcPr>
            <w:tcW w:w="785"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1,8</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1,1</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0,8</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0,7</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0,3</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-0,2</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-0,5</w:t>
            </w:r>
          </w:p>
        </w:tc>
        <w:tc>
          <w:tcPr>
            <w:tcW w:w="776" w:type="dxa"/>
            <w:vAlign w:val="center"/>
          </w:tcPr>
          <w:p w:rsidR="00F558AB" w:rsidRPr="00DF7224" w:rsidRDefault="00F558AB" w:rsidP="007E0CA0">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-0,8</w:t>
            </w:r>
          </w:p>
        </w:tc>
      </w:tr>
    </w:tbl>
    <w:p w:rsidR="002F402F" w:rsidRPr="00DF7224" w:rsidRDefault="002F402F" w:rsidP="007E0CA0">
      <w:pPr>
        <w:spacing w:after="0" w:line="240" w:lineRule="auto"/>
        <w:ind w:firstLine="709"/>
        <w:rPr>
          <w:rFonts w:ascii="Times New Roman" w:hAnsi="Times New Roman" w:cs="Times New Roman"/>
          <w:color w:val="000000" w:themeColor="text1"/>
          <w:sz w:val="20"/>
          <w:szCs w:val="20"/>
          <w:shd w:val="clear" w:color="auto" w:fill="FFFFFF"/>
          <w:lang w:val="en-US"/>
        </w:rPr>
      </w:pPr>
      <w:r w:rsidRPr="00DF7224">
        <w:rPr>
          <w:rFonts w:ascii="Times New Roman" w:hAnsi="Times New Roman" w:cs="Times New Roman"/>
          <w:i/>
          <w:color w:val="000000" w:themeColor="text1"/>
          <w:sz w:val="20"/>
          <w:szCs w:val="20"/>
        </w:rPr>
        <w:t>Источник</w:t>
      </w:r>
      <w:r w:rsidRPr="00DF7224">
        <w:rPr>
          <w:rFonts w:ascii="Times New Roman" w:hAnsi="Times New Roman" w:cs="Times New Roman"/>
          <w:i/>
          <w:color w:val="000000" w:themeColor="text1"/>
          <w:sz w:val="20"/>
          <w:szCs w:val="20"/>
          <w:lang w:val="en-US"/>
        </w:rPr>
        <w:t>:</w:t>
      </w:r>
      <w:r w:rsidRPr="00DF7224">
        <w:rPr>
          <w:rFonts w:ascii="Times New Roman" w:hAnsi="Times New Roman" w:cs="Times New Roman"/>
          <w:color w:val="000000" w:themeColor="text1"/>
          <w:sz w:val="20"/>
          <w:szCs w:val="20"/>
          <w:shd w:val="clear" w:color="auto" w:fill="FFFFFF"/>
          <w:lang w:val="en-US"/>
        </w:rPr>
        <w:t xml:space="preserve"> </w:t>
      </w:r>
      <w:r w:rsidRPr="00DF7224">
        <w:rPr>
          <w:rFonts w:ascii="Times New Roman" w:hAnsi="Times New Roman" w:cs="Times New Roman"/>
          <w:color w:val="000000" w:themeColor="text1"/>
          <w:sz w:val="20"/>
          <w:szCs w:val="20"/>
          <w:shd w:val="clear" w:color="auto" w:fill="FFFFFF"/>
        </w:rPr>
        <w:t>составлено</w:t>
      </w:r>
      <w:r w:rsidRPr="00DF7224">
        <w:rPr>
          <w:rFonts w:ascii="Times New Roman" w:hAnsi="Times New Roman" w:cs="Times New Roman"/>
          <w:color w:val="000000" w:themeColor="text1"/>
          <w:sz w:val="20"/>
          <w:szCs w:val="20"/>
          <w:shd w:val="clear" w:color="auto" w:fill="FFFFFF"/>
          <w:lang w:val="en-US"/>
        </w:rPr>
        <w:t xml:space="preserve"> </w:t>
      </w:r>
      <w:r w:rsidRPr="00DF7224">
        <w:rPr>
          <w:rFonts w:ascii="Times New Roman" w:hAnsi="Times New Roman" w:cs="Times New Roman"/>
          <w:color w:val="000000" w:themeColor="text1"/>
          <w:sz w:val="20"/>
          <w:szCs w:val="20"/>
          <w:shd w:val="clear" w:color="auto" w:fill="FFFFFF"/>
        </w:rPr>
        <w:t>автором</w:t>
      </w:r>
      <w:r w:rsidRPr="00DF7224">
        <w:rPr>
          <w:rFonts w:ascii="Times New Roman" w:hAnsi="Times New Roman" w:cs="Times New Roman"/>
          <w:color w:val="000000" w:themeColor="text1"/>
          <w:sz w:val="20"/>
          <w:szCs w:val="20"/>
          <w:shd w:val="clear" w:color="auto" w:fill="FFFFFF"/>
          <w:lang w:val="en-US"/>
        </w:rPr>
        <w:t xml:space="preserve"> </w:t>
      </w:r>
      <w:r w:rsidRPr="00DF7224">
        <w:rPr>
          <w:rFonts w:ascii="Times New Roman" w:hAnsi="Times New Roman" w:cs="Times New Roman"/>
          <w:color w:val="000000" w:themeColor="text1"/>
          <w:sz w:val="20"/>
          <w:szCs w:val="20"/>
          <w:shd w:val="clear" w:color="auto" w:fill="FFFFFF"/>
        </w:rPr>
        <w:t>по</w:t>
      </w:r>
      <w:r w:rsidRPr="00DF7224">
        <w:rPr>
          <w:rFonts w:ascii="Times New Roman" w:hAnsi="Times New Roman" w:cs="Times New Roman"/>
          <w:color w:val="000000" w:themeColor="text1"/>
          <w:sz w:val="20"/>
          <w:szCs w:val="20"/>
          <w:shd w:val="clear" w:color="auto" w:fill="FFFFFF"/>
          <w:lang w:val="en-US"/>
        </w:rPr>
        <w:t xml:space="preserve"> </w:t>
      </w:r>
      <w:r w:rsidRPr="00DF7224">
        <w:rPr>
          <w:rFonts w:ascii="Times New Roman" w:hAnsi="Times New Roman" w:cs="Times New Roman"/>
          <w:color w:val="000000" w:themeColor="text1"/>
          <w:sz w:val="20"/>
          <w:szCs w:val="20"/>
          <w:shd w:val="clear" w:color="auto" w:fill="FFFFFF"/>
        </w:rPr>
        <w:t>данным</w:t>
      </w:r>
      <w:r w:rsidRPr="00DF7224">
        <w:rPr>
          <w:rFonts w:ascii="Times New Roman" w:hAnsi="Times New Roman" w:cs="Times New Roman"/>
          <w:color w:val="000000" w:themeColor="text1"/>
          <w:sz w:val="20"/>
          <w:szCs w:val="20"/>
          <w:shd w:val="clear" w:color="auto" w:fill="FFFFFF"/>
          <w:lang w:val="en-US"/>
        </w:rPr>
        <w:t>:</w:t>
      </w:r>
      <w:r w:rsidR="00B5036F" w:rsidRPr="00DF7224">
        <w:rPr>
          <w:rFonts w:ascii="Times New Roman" w:hAnsi="Times New Roman" w:cs="Times New Roman"/>
          <w:sz w:val="18"/>
          <w:lang w:val="en-US"/>
        </w:rPr>
        <w:t xml:space="preserve"> </w:t>
      </w:r>
      <w:r w:rsidR="00B5036F" w:rsidRPr="00DF7224">
        <w:rPr>
          <w:rFonts w:ascii="Times New Roman" w:hAnsi="Times New Roman" w:cs="Times New Roman"/>
          <w:color w:val="000000" w:themeColor="text1"/>
          <w:sz w:val="20"/>
          <w:szCs w:val="20"/>
          <w:shd w:val="clear" w:color="auto" w:fill="FFFFFF"/>
          <w:lang w:val="en-US"/>
        </w:rPr>
        <w:t>Population Reference Bureau – World Population Datasheet 2006 – 2018</w:t>
      </w:r>
    </w:p>
    <w:p w:rsidR="00672818" w:rsidRPr="00DF7224" w:rsidRDefault="00672818" w:rsidP="007E0CA0">
      <w:pPr>
        <w:spacing w:after="0" w:line="240" w:lineRule="auto"/>
        <w:ind w:firstLine="709"/>
        <w:rPr>
          <w:rFonts w:ascii="Times New Roman" w:hAnsi="Times New Roman" w:cs="Times New Roman"/>
          <w:color w:val="000000" w:themeColor="text1"/>
          <w:sz w:val="24"/>
          <w:szCs w:val="20"/>
          <w:shd w:val="clear" w:color="auto" w:fill="FFFFFF"/>
          <w:lang w:val="en-US"/>
        </w:rPr>
      </w:pPr>
    </w:p>
    <w:p w:rsidR="002F402F" w:rsidRPr="00DF7224" w:rsidRDefault="002F402F" w:rsidP="0037606A">
      <w:pPr>
        <w:spacing w:after="0" w:line="360" w:lineRule="auto"/>
        <w:ind w:firstLine="709"/>
        <w:jc w:val="both"/>
        <w:rPr>
          <w:rFonts w:ascii="Times New Roman" w:eastAsia="Times New Roman" w:hAnsi="Times New Roman" w:cs="Times New Roman"/>
          <w:color w:val="000000" w:themeColor="text1"/>
          <w:sz w:val="28"/>
          <w:szCs w:val="24"/>
          <w:lang w:eastAsia="ru-RU"/>
        </w:rPr>
      </w:pPr>
      <w:r w:rsidRPr="00DF7224">
        <w:rPr>
          <w:rFonts w:ascii="Times New Roman" w:eastAsia="Times New Roman" w:hAnsi="Times New Roman" w:cs="Times New Roman"/>
          <w:color w:val="000000" w:themeColor="text1"/>
          <w:sz w:val="28"/>
          <w:szCs w:val="24"/>
          <w:lang w:eastAsia="ru-RU"/>
        </w:rPr>
        <w:t>Общий коэффициент рождаемости имеет от</w:t>
      </w:r>
      <w:r w:rsidR="0007740A" w:rsidRPr="00DF7224">
        <w:rPr>
          <w:rFonts w:ascii="Times New Roman" w:eastAsia="Times New Roman" w:hAnsi="Times New Roman" w:cs="Times New Roman"/>
          <w:color w:val="000000" w:themeColor="text1"/>
          <w:sz w:val="28"/>
          <w:szCs w:val="24"/>
          <w:lang w:eastAsia="ru-RU"/>
        </w:rPr>
        <w:t>рицательную динамику с 2</w:t>
      </w:r>
      <w:r w:rsidR="00884E5B" w:rsidRPr="00DF7224">
        <w:rPr>
          <w:rFonts w:ascii="Times New Roman" w:eastAsia="Times New Roman" w:hAnsi="Times New Roman" w:cs="Times New Roman"/>
          <w:color w:val="000000" w:themeColor="text1"/>
          <w:sz w:val="28"/>
          <w:szCs w:val="24"/>
          <w:lang w:eastAsia="ru-RU"/>
        </w:rPr>
        <w:t>011</w:t>
      </w:r>
      <w:r w:rsidRPr="00DF7224">
        <w:rPr>
          <w:rFonts w:ascii="Times New Roman" w:eastAsia="Times New Roman" w:hAnsi="Times New Roman" w:cs="Times New Roman"/>
          <w:color w:val="000000" w:themeColor="text1"/>
          <w:sz w:val="28"/>
          <w:szCs w:val="24"/>
          <w:lang w:eastAsia="ru-RU"/>
        </w:rPr>
        <w:t xml:space="preserve"> года. Рождаемость значительно снизилась за </w:t>
      </w:r>
      <w:r w:rsidR="00884E5B" w:rsidRPr="00DF7224">
        <w:rPr>
          <w:rFonts w:ascii="Times New Roman" w:eastAsia="Times New Roman" w:hAnsi="Times New Roman" w:cs="Times New Roman"/>
          <w:color w:val="000000" w:themeColor="text1"/>
          <w:sz w:val="28"/>
          <w:szCs w:val="24"/>
          <w:lang w:eastAsia="ru-RU"/>
        </w:rPr>
        <w:t>рассматриваемый период</w:t>
      </w:r>
      <w:r w:rsidRPr="00DF7224">
        <w:rPr>
          <w:rFonts w:ascii="Times New Roman" w:eastAsia="Times New Roman" w:hAnsi="Times New Roman" w:cs="Times New Roman"/>
          <w:color w:val="000000" w:themeColor="text1"/>
          <w:sz w:val="28"/>
          <w:szCs w:val="24"/>
          <w:lang w:eastAsia="ru-RU"/>
        </w:rPr>
        <w:t xml:space="preserve">. Такое снижение порождает такие глобальные проблемы, как снижение численности населения и старение населения страны. К сожалению, Испания как раз и является примером, </w:t>
      </w:r>
      <w:r w:rsidR="0037606A" w:rsidRPr="00DF7224">
        <w:rPr>
          <w:rFonts w:ascii="Times New Roman" w:eastAsia="Times New Roman" w:hAnsi="Times New Roman" w:cs="Times New Roman"/>
          <w:color w:val="000000" w:themeColor="text1"/>
          <w:sz w:val="28"/>
          <w:szCs w:val="24"/>
          <w:lang w:eastAsia="ru-RU"/>
        </w:rPr>
        <w:t xml:space="preserve">отражающий обе данные проблемы. </w:t>
      </w:r>
      <w:r w:rsidR="0007740A" w:rsidRPr="00DF7224">
        <w:rPr>
          <w:rFonts w:ascii="Times New Roman" w:eastAsia="Times New Roman" w:hAnsi="Times New Roman" w:cs="Times New Roman"/>
          <w:color w:val="000000" w:themeColor="text1"/>
          <w:sz w:val="28"/>
          <w:szCs w:val="24"/>
          <w:lang w:eastAsia="ru-RU"/>
        </w:rPr>
        <w:t>С</w:t>
      </w:r>
      <w:r w:rsidRPr="00DF7224">
        <w:rPr>
          <w:rFonts w:ascii="Times New Roman" w:eastAsia="Times New Roman" w:hAnsi="Times New Roman" w:cs="Times New Roman"/>
          <w:color w:val="000000" w:themeColor="text1"/>
          <w:sz w:val="28"/>
          <w:szCs w:val="24"/>
          <w:lang w:eastAsia="ru-RU"/>
        </w:rPr>
        <w:t xml:space="preserve"> 201</w:t>
      </w:r>
      <w:r w:rsidR="0007740A" w:rsidRPr="00DF7224">
        <w:rPr>
          <w:rFonts w:ascii="Times New Roman" w:eastAsia="Times New Roman" w:hAnsi="Times New Roman" w:cs="Times New Roman"/>
          <w:color w:val="000000" w:themeColor="text1"/>
          <w:sz w:val="28"/>
          <w:szCs w:val="24"/>
          <w:lang w:eastAsia="ru-RU"/>
        </w:rPr>
        <w:t>1</w:t>
      </w:r>
      <w:r w:rsidRPr="00DF7224">
        <w:rPr>
          <w:rFonts w:ascii="Times New Roman" w:eastAsia="Times New Roman" w:hAnsi="Times New Roman" w:cs="Times New Roman"/>
          <w:color w:val="000000" w:themeColor="text1"/>
          <w:sz w:val="28"/>
          <w:szCs w:val="24"/>
          <w:lang w:eastAsia="ru-RU"/>
        </w:rPr>
        <w:t xml:space="preserve"> года</w:t>
      </w:r>
      <w:r w:rsidR="00F558AB" w:rsidRPr="00DF7224">
        <w:rPr>
          <w:rFonts w:ascii="Times New Roman" w:hAnsi="Times New Roman" w:cs="Times New Roman"/>
        </w:rPr>
        <w:t xml:space="preserve"> </w:t>
      </w:r>
      <w:r w:rsidR="00F558AB" w:rsidRPr="00DF7224">
        <w:rPr>
          <w:rFonts w:ascii="Times New Roman" w:eastAsia="Times New Roman" w:hAnsi="Times New Roman" w:cs="Times New Roman"/>
          <w:color w:val="000000" w:themeColor="text1"/>
          <w:sz w:val="28"/>
          <w:szCs w:val="24"/>
          <w:lang w:eastAsia="ru-RU"/>
        </w:rPr>
        <w:t>Общий коэффициент смертности</w:t>
      </w:r>
      <w:r w:rsidRPr="00DF7224">
        <w:rPr>
          <w:rFonts w:ascii="Times New Roman" w:eastAsia="Times New Roman" w:hAnsi="Times New Roman" w:cs="Times New Roman"/>
          <w:color w:val="000000" w:themeColor="text1"/>
          <w:sz w:val="28"/>
          <w:szCs w:val="24"/>
          <w:lang w:eastAsia="ru-RU"/>
        </w:rPr>
        <w:t xml:space="preserve"> увеличивался, что означает увеличение количества смертей и указывает на очередную демографическую проблему Испании и сложную ситуацию с населением в стране.</w:t>
      </w:r>
      <w:r w:rsidR="004D7F36" w:rsidRPr="00DF7224">
        <w:rPr>
          <w:rFonts w:ascii="Times New Roman" w:eastAsia="Times New Roman" w:hAnsi="Times New Roman" w:cs="Times New Roman"/>
          <w:color w:val="000000" w:themeColor="text1"/>
          <w:sz w:val="28"/>
          <w:szCs w:val="24"/>
          <w:lang w:eastAsia="ru-RU"/>
        </w:rPr>
        <w:t xml:space="preserve"> Данные из Т</w:t>
      </w:r>
      <w:r w:rsidR="0007740A" w:rsidRPr="00DF7224">
        <w:rPr>
          <w:rFonts w:ascii="Times New Roman" w:eastAsia="Times New Roman" w:hAnsi="Times New Roman" w:cs="Times New Roman"/>
          <w:color w:val="000000" w:themeColor="text1"/>
          <w:sz w:val="28"/>
          <w:szCs w:val="24"/>
          <w:lang w:eastAsia="ru-RU"/>
        </w:rPr>
        <w:t>аблиц</w:t>
      </w:r>
      <w:r w:rsidR="001021C9" w:rsidRPr="00DF7224">
        <w:rPr>
          <w:rFonts w:ascii="Times New Roman" w:eastAsia="Times New Roman" w:hAnsi="Times New Roman" w:cs="Times New Roman"/>
          <w:color w:val="000000" w:themeColor="text1"/>
          <w:sz w:val="28"/>
          <w:szCs w:val="24"/>
          <w:lang w:eastAsia="ru-RU"/>
        </w:rPr>
        <w:t>ы</w:t>
      </w:r>
      <w:r w:rsidR="00F558AB" w:rsidRPr="00DF7224">
        <w:rPr>
          <w:rFonts w:ascii="Times New Roman" w:eastAsia="Times New Roman" w:hAnsi="Times New Roman" w:cs="Times New Roman"/>
          <w:color w:val="000000" w:themeColor="text1"/>
          <w:sz w:val="28"/>
          <w:szCs w:val="24"/>
          <w:lang w:eastAsia="ru-RU"/>
        </w:rPr>
        <w:t xml:space="preserve"> 1.2</w:t>
      </w:r>
      <w:r w:rsidR="0007740A" w:rsidRPr="00DF7224">
        <w:rPr>
          <w:rFonts w:ascii="Times New Roman" w:eastAsia="Times New Roman" w:hAnsi="Times New Roman" w:cs="Times New Roman"/>
          <w:color w:val="000000" w:themeColor="text1"/>
          <w:sz w:val="28"/>
          <w:szCs w:val="24"/>
          <w:lang w:eastAsia="ru-RU"/>
        </w:rPr>
        <w:t xml:space="preserve"> подтверждают естественный демографический спад в Испании.</w:t>
      </w:r>
      <w:r w:rsidR="0037606A" w:rsidRPr="00DF7224">
        <w:rPr>
          <w:rFonts w:ascii="Times New Roman" w:eastAsia="Times New Roman" w:hAnsi="Times New Roman" w:cs="Times New Roman"/>
          <w:color w:val="000000" w:themeColor="text1"/>
          <w:sz w:val="28"/>
          <w:szCs w:val="24"/>
          <w:lang w:eastAsia="ru-RU"/>
        </w:rPr>
        <w:t xml:space="preserve"> </w:t>
      </w:r>
      <w:r w:rsidRPr="00DF7224">
        <w:rPr>
          <w:rFonts w:ascii="Times New Roman" w:eastAsia="Times New Roman" w:hAnsi="Times New Roman" w:cs="Times New Roman"/>
          <w:color w:val="000000" w:themeColor="text1"/>
          <w:sz w:val="28"/>
          <w:szCs w:val="24"/>
          <w:lang w:eastAsia="ru-RU"/>
        </w:rPr>
        <w:t>С 20</w:t>
      </w:r>
      <w:r w:rsidR="00BB1907" w:rsidRPr="00DF7224">
        <w:rPr>
          <w:rFonts w:ascii="Times New Roman" w:eastAsia="Times New Roman" w:hAnsi="Times New Roman" w:cs="Times New Roman"/>
          <w:color w:val="000000" w:themeColor="text1"/>
          <w:sz w:val="28"/>
          <w:szCs w:val="24"/>
          <w:lang w:eastAsia="ru-RU"/>
        </w:rPr>
        <w:t>11</w:t>
      </w:r>
      <w:r w:rsidRPr="00DF7224">
        <w:rPr>
          <w:rFonts w:ascii="Times New Roman" w:eastAsia="Times New Roman" w:hAnsi="Times New Roman" w:cs="Times New Roman"/>
          <w:color w:val="000000" w:themeColor="text1"/>
          <w:sz w:val="28"/>
          <w:szCs w:val="24"/>
          <w:lang w:eastAsia="ru-RU"/>
        </w:rPr>
        <w:t xml:space="preserve"> года коэффициент </w:t>
      </w:r>
      <w:r w:rsidR="00F558AB" w:rsidRPr="00DF7224">
        <w:rPr>
          <w:rFonts w:ascii="Times New Roman" w:eastAsia="Times New Roman" w:hAnsi="Times New Roman" w:cs="Times New Roman"/>
          <w:color w:val="000000" w:themeColor="text1"/>
          <w:sz w:val="28"/>
          <w:szCs w:val="24"/>
          <w:lang w:eastAsia="ru-RU"/>
        </w:rPr>
        <w:t xml:space="preserve">естественного прироста </w:t>
      </w:r>
      <w:r w:rsidR="00672818" w:rsidRPr="00DF7224">
        <w:rPr>
          <w:rFonts w:ascii="Times New Roman" w:eastAsia="Times New Roman" w:hAnsi="Times New Roman" w:cs="Times New Roman"/>
          <w:color w:val="000000" w:themeColor="text1"/>
          <w:sz w:val="28"/>
          <w:szCs w:val="24"/>
          <w:lang w:eastAsia="ru-RU"/>
        </w:rPr>
        <w:t>стремительно падает</w:t>
      </w:r>
      <w:r w:rsidRPr="00DF7224">
        <w:rPr>
          <w:rFonts w:ascii="Times New Roman" w:eastAsia="Times New Roman" w:hAnsi="Times New Roman" w:cs="Times New Roman"/>
          <w:color w:val="000000" w:themeColor="text1"/>
          <w:sz w:val="28"/>
          <w:szCs w:val="24"/>
          <w:lang w:eastAsia="ru-RU"/>
        </w:rPr>
        <w:t xml:space="preserve">. В </w:t>
      </w:r>
      <w:r w:rsidR="00615B8C" w:rsidRPr="00DF7224">
        <w:rPr>
          <w:rFonts w:ascii="Times New Roman" w:eastAsia="Times New Roman" w:hAnsi="Times New Roman" w:cs="Times New Roman"/>
          <w:color w:val="000000" w:themeColor="text1"/>
          <w:sz w:val="28"/>
          <w:szCs w:val="24"/>
          <w:lang w:eastAsia="ru-RU"/>
        </w:rPr>
        <w:t xml:space="preserve">последние три года </w:t>
      </w:r>
      <w:r w:rsidRPr="00DF7224">
        <w:rPr>
          <w:rFonts w:ascii="Times New Roman" w:eastAsia="Times New Roman" w:hAnsi="Times New Roman" w:cs="Times New Roman"/>
          <w:color w:val="000000" w:themeColor="text1"/>
          <w:sz w:val="28"/>
          <w:szCs w:val="24"/>
          <w:lang w:eastAsia="ru-RU"/>
        </w:rPr>
        <w:t xml:space="preserve"> коэффициент естественного прироста </w:t>
      </w:r>
      <w:r w:rsidR="00615B8C" w:rsidRPr="00DF7224">
        <w:rPr>
          <w:rFonts w:ascii="Times New Roman" w:eastAsia="Times New Roman" w:hAnsi="Times New Roman" w:cs="Times New Roman"/>
          <w:color w:val="000000" w:themeColor="text1"/>
          <w:sz w:val="28"/>
          <w:szCs w:val="24"/>
          <w:lang w:eastAsia="ru-RU"/>
        </w:rPr>
        <w:t>меньше</w:t>
      </w:r>
      <w:r w:rsidRPr="00DF7224">
        <w:rPr>
          <w:rFonts w:ascii="Times New Roman" w:eastAsia="Times New Roman" w:hAnsi="Times New Roman" w:cs="Times New Roman"/>
          <w:color w:val="000000" w:themeColor="text1"/>
          <w:sz w:val="28"/>
          <w:szCs w:val="24"/>
          <w:lang w:eastAsia="ru-RU"/>
        </w:rPr>
        <w:t xml:space="preserve"> нул</w:t>
      </w:r>
      <w:r w:rsidR="00615B8C" w:rsidRPr="00DF7224">
        <w:rPr>
          <w:rFonts w:ascii="Times New Roman" w:eastAsia="Times New Roman" w:hAnsi="Times New Roman" w:cs="Times New Roman"/>
          <w:color w:val="000000" w:themeColor="text1"/>
          <w:sz w:val="28"/>
          <w:szCs w:val="24"/>
          <w:lang w:eastAsia="ru-RU"/>
        </w:rPr>
        <w:t>я, что говорит нам об убыли населения.</w:t>
      </w:r>
      <w:r w:rsidRPr="00DF7224">
        <w:rPr>
          <w:rFonts w:ascii="Times New Roman" w:eastAsia="Times New Roman" w:hAnsi="Times New Roman" w:cs="Times New Roman"/>
          <w:color w:val="000000" w:themeColor="text1"/>
          <w:sz w:val="28"/>
          <w:szCs w:val="24"/>
          <w:lang w:eastAsia="ru-RU"/>
        </w:rPr>
        <w:t xml:space="preserve"> Такое значение показателя </w:t>
      </w:r>
      <w:r w:rsidR="00672818" w:rsidRPr="00DF7224">
        <w:rPr>
          <w:rFonts w:ascii="Times New Roman" w:eastAsia="Times New Roman" w:hAnsi="Times New Roman" w:cs="Times New Roman"/>
          <w:color w:val="000000" w:themeColor="text1"/>
          <w:sz w:val="28"/>
          <w:szCs w:val="24"/>
          <w:lang w:eastAsia="ru-RU"/>
        </w:rPr>
        <w:t>негативно отражается на</w:t>
      </w:r>
      <w:r w:rsidRPr="00DF7224">
        <w:rPr>
          <w:rFonts w:ascii="Times New Roman" w:eastAsia="Times New Roman" w:hAnsi="Times New Roman" w:cs="Times New Roman"/>
          <w:color w:val="000000" w:themeColor="text1"/>
          <w:sz w:val="28"/>
          <w:szCs w:val="24"/>
          <w:lang w:eastAsia="ru-RU"/>
        </w:rPr>
        <w:t xml:space="preserve"> развит</w:t>
      </w:r>
      <w:r w:rsidR="00672818" w:rsidRPr="00DF7224">
        <w:rPr>
          <w:rFonts w:ascii="Times New Roman" w:eastAsia="Times New Roman" w:hAnsi="Times New Roman" w:cs="Times New Roman"/>
          <w:color w:val="000000" w:themeColor="text1"/>
          <w:sz w:val="28"/>
          <w:szCs w:val="24"/>
          <w:lang w:eastAsia="ru-RU"/>
        </w:rPr>
        <w:t>ии</w:t>
      </w:r>
      <w:r w:rsidRPr="00DF7224">
        <w:rPr>
          <w:rFonts w:ascii="Times New Roman" w:eastAsia="Times New Roman" w:hAnsi="Times New Roman" w:cs="Times New Roman"/>
          <w:color w:val="000000" w:themeColor="text1"/>
          <w:sz w:val="28"/>
          <w:szCs w:val="24"/>
          <w:lang w:eastAsia="ru-RU"/>
        </w:rPr>
        <w:t xml:space="preserve"> страны. </w:t>
      </w:r>
    </w:p>
    <w:p w:rsidR="00615B8C" w:rsidRPr="00DF7224" w:rsidRDefault="00615B8C" w:rsidP="007E0CA0">
      <w:pPr>
        <w:tabs>
          <w:tab w:val="num" w:pos="142"/>
          <w:tab w:val="left" w:pos="426"/>
        </w:tabs>
        <w:spacing w:after="0" w:line="360" w:lineRule="auto"/>
        <w:ind w:firstLine="709"/>
        <w:jc w:val="both"/>
        <w:rPr>
          <w:rFonts w:ascii="Times New Roman" w:eastAsia="Times New Roman" w:hAnsi="Times New Roman" w:cs="Times New Roman"/>
          <w:color w:val="000000" w:themeColor="text1"/>
          <w:sz w:val="28"/>
          <w:szCs w:val="24"/>
          <w:lang w:eastAsia="ru-RU"/>
        </w:rPr>
      </w:pPr>
      <w:r w:rsidRPr="00DF7224">
        <w:rPr>
          <w:rFonts w:ascii="Times New Roman" w:eastAsia="Times New Roman" w:hAnsi="Times New Roman" w:cs="Times New Roman"/>
          <w:color w:val="000000" w:themeColor="text1"/>
          <w:sz w:val="28"/>
          <w:szCs w:val="24"/>
          <w:lang w:eastAsia="ru-RU"/>
        </w:rPr>
        <w:t xml:space="preserve">Уменьшение рождаемости в развитой стране объясняется </w:t>
      </w:r>
      <w:r w:rsidR="00E31DE7" w:rsidRPr="00DF7224">
        <w:rPr>
          <w:rFonts w:ascii="Times New Roman" w:eastAsia="Times New Roman" w:hAnsi="Times New Roman" w:cs="Times New Roman"/>
          <w:color w:val="000000" w:themeColor="text1"/>
          <w:sz w:val="28"/>
          <w:szCs w:val="24"/>
          <w:lang w:eastAsia="ru-RU"/>
        </w:rPr>
        <w:t>многими факторами. Это, например, и сама степень развитости страны, улучшение уровня образования в стране, изменение взглядов и отношений мо</w:t>
      </w:r>
      <w:r w:rsidR="00672818" w:rsidRPr="00DF7224">
        <w:rPr>
          <w:rFonts w:ascii="Times New Roman" w:eastAsia="Times New Roman" w:hAnsi="Times New Roman" w:cs="Times New Roman"/>
          <w:color w:val="000000" w:themeColor="text1"/>
          <w:sz w:val="28"/>
          <w:szCs w:val="24"/>
          <w:lang w:eastAsia="ru-RU"/>
        </w:rPr>
        <w:t>лодого поколения к созданию семьи</w:t>
      </w:r>
      <w:r w:rsidR="00E31DE7" w:rsidRPr="00DF7224">
        <w:rPr>
          <w:rFonts w:ascii="Times New Roman" w:eastAsia="Times New Roman" w:hAnsi="Times New Roman" w:cs="Times New Roman"/>
          <w:color w:val="000000" w:themeColor="text1"/>
          <w:sz w:val="28"/>
          <w:szCs w:val="24"/>
          <w:lang w:eastAsia="ru-RU"/>
        </w:rPr>
        <w:t xml:space="preserve">. </w:t>
      </w:r>
      <w:r w:rsidRPr="00DF7224">
        <w:rPr>
          <w:rFonts w:ascii="Times New Roman" w:eastAsia="Times New Roman" w:hAnsi="Times New Roman" w:cs="Times New Roman"/>
          <w:color w:val="000000" w:themeColor="text1"/>
          <w:sz w:val="28"/>
          <w:szCs w:val="24"/>
          <w:lang w:eastAsia="ru-RU"/>
        </w:rPr>
        <w:t>Одним из факторов является возраст, в котором пары решают родить первого ребенка, который в Испании увеличивается с каждым годом, и вместе с этим уменьшается вероятность рождения большего количества детей</w:t>
      </w:r>
      <w:r w:rsidR="00E31DE7" w:rsidRPr="00DF7224">
        <w:rPr>
          <w:rFonts w:ascii="Times New Roman" w:eastAsia="Times New Roman" w:hAnsi="Times New Roman" w:cs="Times New Roman"/>
          <w:color w:val="000000" w:themeColor="text1"/>
          <w:sz w:val="28"/>
          <w:szCs w:val="24"/>
          <w:lang w:eastAsia="ru-RU"/>
        </w:rPr>
        <w:t>.</w:t>
      </w:r>
    </w:p>
    <w:p w:rsidR="002B4A64" w:rsidRPr="00DF7224" w:rsidRDefault="00FD0B2A" w:rsidP="007E0CA0">
      <w:pPr>
        <w:tabs>
          <w:tab w:val="num" w:pos="142"/>
          <w:tab w:val="left" w:pos="426"/>
        </w:tabs>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 xml:space="preserve">Такие демографические тенденции могут привести к разрушительным последствиям для европейской экономики: сокращение доли трудоспособного населения приводит к сокращению человеческого капитала </w:t>
      </w:r>
      <w:r w:rsidRPr="00DF7224">
        <w:rPr>
          <w:rFonts w:ascii="Times New Roman" w:hAnsi="Times New Roman" w:cs="Times New Roman"/>
          <w:color w:val="000000" w:themeColor="text1"/>
          <w:sz w:val="28"/>
          <w:szCs w:val="28"/>
        </w:rPr>
        <w:lastRenderedPageBreak/>
        <w:t>и, следовательно, может привести к снижению производительности; пенсионная система и система социального страхования могут стать слишком обременительными; забота о растущем пожилом населении может целиком лечь на плечи домохозяйств; рост пожилого населения требует значительного увеличения расходов на здравоохранение.</w:t>
      </w:r>
    </w:p>
    <w:p w:rsidR="00FE1FA2" w:rsidRPr="00DF7224" w:rsidRDefault="00E31DE7" w:rsidP="007E0CA0">
      <w:pPr>
        <w:tabs>
          <w:tab w:val="num" w:pos="142"/>
          <w:tab w:val="left" w:pos="426"/>
        </w:tabs>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 xml:space="preserve">Стоить отметить то, что демографический спад в Испании компенсируют иммигранты. Показатель населения не изменяется также сильно как коэффициенты рождаемости и смертности, потому что показатель растет именно благодаря приезду иностранцев. Число мигрантов в Испании растет. По данным INE, общее число зарегистрированных лиц в Испании на 1 января 2018 года составляло 46 698 569 человек, что на 126 437 или </w:t>
      </w:r>
      <w:r w:rsidR="00672818" w:rsidRPr="00DF7224">
        <w:rPr>
          <w:rFonts w:ascii="Times New Roman" w:hAnsi="Times New Roman" w:cs="Times New Roman"/>
          <w:color w:val="000000" w:themeColor="text1"/>
          <w:sz w:val="28"/>
          <w:szCs w:val="28"/>
        </w:rPr>
        <w:t xml:space="preserve">на 0,3% больше, чем в 2017 году </w:t>
      </w:r>
      <w:r w:rsidRPr="00DF7224">
        <w:rPr>
          <w:rFonts w:ascii="Times New Roman" w:hAnsi="Times New Roman" w:cs="Times New Roman"/>
          <w:color w:val="000000" w:themeColor="text1"/>
          <w:sz w:val="28"/>
          <w:szCs w:val="28"/>
        </w:rPr>
        <w:t>[</w:t>
      </w:r>
      <w:r w:rsidR="006212CE" w:rsidRPr="00DF7224">
        <w:rPr>
          <w:rFonts w:ascii="Times New Roman" w:hAnsi="Times New Roman" w:cs="Times New Roman"/>
          <w:color w:val="000000" w:themeColor="text1"/>
          <w:sz w:val="28"/>
          <w:szCs w:val="28"/>
        </w:rPr>
        <w:t>40</w:t>
      </w:r>
      <w:r w:rsidR="00554DD3" w:rsidRPr="00DF7224">
        <w:rPr>
          <w:rFonts w:ascii="Times New Roman" w:hAnsi="Times New Roman" w:cs="Times New Roman"/>
          <w:color w:val="000000" w:themeColor="text1"/>
          <w:sz w:val="28"/>
          <w:szCs w:val="28"/>
        </w:rPr>
        <w:t>]</w:t>
      </w:r>
      <w:r w:rsidR="00672818" w:rsidRPr="00DF7224">
        <w:rPr>
          <w:rFonts w:ascii="Times New Roman" w:hAnsi="Times New Roman" w:cs="Times New Roman"/>
          <w:color w:val="000000" w:themeColor="text1"/>
          <w:sz w:val="28"/>
          <w:szCs w:val="28"/>
        </w:rPr>
        <w:t>.</w:t>
      </w:r>
    </w:p>
    <w:p w:rsidR="00FE1FA2" w:rsidRPr="00DF7224" w:rsidRDefault="00FE1FA2" w:rsidP="007E0CA0">
      <w:pPr>
        <w:tabs>
          <w:tab w:val="num" w:pos="142"/>
          <w:tab w:val="left" w:pos="426"/>
        </w:tabs>
        <w:spacing w:after="0" w:line="360" w:lineRule="auto"/>
        <w:ind w:firstLine="709"/>
        <w:jc w:val="both"/>
        <w:rPr>
          <w:rFonts w:ascii="Times New Roman" w:hAnsi="Times New Roman" w:cs="Times New Roman"/>
          <w:color w:val="000000" w:themeColor="text1"/>
          <w:sz w:val="28"/>
          <w:szCs w:val="28"/>
        </w:rPr>
      </w:pPr>
    </w:p>
    <w:p w:rsidR="00672818" w:rsidRPr="00DF7224" w:rsidRDefault="00E31DE7" w:rsidP="0062016E">
      <w:pPr>
        <w:tabs>
          <w:tab w:val="num" w:pos="142"/>
          <w:tab w:val="left" w:pos="426"/>
        </w:tabs>
        <w:spacing w:after="0" w:line="360" w:lineRule="auto"/>
        <w:ind w:firstLine="709"/>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Таблица 1</w:t>
      </w:r>
      <w:r w:rsidR="00D4512F" w:rsidRPr="00DF7224">
        <w:rPr>
          <w:rFonts w:ascii="Times New Roman" w:hAnsi="Times New Roman" w:cs="Times New Roman"/>
          <w:color w:val="000000" w:themeColor="text1"/>
          <w:sz w:val="28"/>
          <w:szCs w:val="28"/>
        </w:rPr>
        <w:t>.</w:t>
      </w:r>
      <w:r w:rsidR="00F558AB" w:rsidRPr="00DF7224">
        <w:rPr>
          <w:rFonts w:ascii="Times New Roman" w:hAnsi="Times New Roman" w:cs="Times New Roman"/>
          <w:color w:val="000000" w:themeColor="text1"/>
          <w:sz w:val="28"/>
          <w:szCs w:val="28"/>
        </w:rPr>
        <w:t>3</w:t>
      </w:r>
      <w:r w:rsidRPr="00DF7224">
        <w:rPr>
          <w:rFonts w:ascii="Times New Roman" w:hAnsi="Times New Roman" w:cs="Times New Roman"/>
          <w:color w:val="000000" w:themeColor="text1"/>
          <w:sz w:val="28"/>
          <w:szCs w:val="28"/>
        </w:rPr>
        <w:t xml:space="preserve"> – </w:t>
      </w:r>
      <w:r w:rsidR="002F402F" w:rsidRPr="00DF7224">
        <w:rPr>
          <w:rFonts w:ascii="Times New Roman" w:hAnsi="Times New Roman" w:cs="Times New Roman"/>
          <w:color w:val="000000" w:themeColor="text1"/>
          <w:sz w:val="28"/>
          <w:szCs w:val="28"/>
        </w:rPr>
        <w:t xml:space="preserve">Сальдо </w:t>
      </w:r>
      <w:r w:rsidR="00D614E0" w:rsidRPr="00DF7224">
        <w:rPr>
          <w:rFonts w:ascii="Times New Roman" w:hAnsi="Times New Roman" w:cs="Times New Roman"/>
          <w:color w:val="000000" w:themeColor="text1"/>
          <w:sz w:val="28"/>
          <w:szCs w:val="28"/>
        </w:rPr>
        <w:t>миграции населения Испании, 2013</w:t>
      </w:r>
      <w:r w:rsidR="002F402F" w:rsidRPr="00DF7224">
        <w:rPr>
          <w:rFonts w:ascii="Times New Roman" w:hAnsi="Times New Roman" w:cs="Times New Roman"/>
          <w:color w:val="000000" w:themeColor="text1"/>
          <w:sz w:val="28"/>
          <w:szCs w:val="28"/>
        </w:rPr>
        <w:t>-2017 гг. (тыс.</w:t>
      </w:r>
      <w:r w:rsidR="00672818" w:rsidRPr="00DF7224">
        <w:rPr>
          <w:rFonts w:ascii="Times New Roman" w:hAnsi="Times New Roman" w:cs="Times New Roman"/>
          <w:color w:val="000000" w:themeColor="text1"/>
          <w:sz w:val="28"/>
          <w:szCs w:val="28"/>
        </w:rPr>
        <w:t xml:space="preserve"> чел</w:t>
      </w:r>
      <w:r w:rsidR="002F402F" w:rsidRPr="00DF7224">
        <w:rPr>
          <w:rFonts w:ascii="Times New Roman" w:hAnsi="Times New Roman" w:cs="Times New Roman"/>
          <w:color w:val="000000" w:themeColor="text1"/>
          <w:sz w:val="28"/>
          <w:szCs w:val="28"/>
        </w:rPr>
        <w:t>)</w:t>
      </w:r>
    </w:p>
    <w:tbl>
      <w:tblPr>
        <w:tblStyle w:val="7"/>
        <w:tblW w:w="3732" w:type="pct"/>
        <w:jc w:val="center"/>
        <w:tblLook w:val="04A0" w:firstRow="1" w:lastRow="0" w:firstColumn="1" w:lastColumn="0" w:noHBand="0" w:noVBand="1"/>
      </w:tblPr>
      <w:tblGrid>
        <w:gridCol w:w="1476"/>
        <w:gridCol w:w="1134"/>
        <w:gridCol w:w="1134"/>
        <w:gridCol w:w="1134"/>
        <w:gridCol w:w="1134"/>
        <w:gridCol w:w="1132"/>
      </w:tblGrid>
      <w:tr w:rsidR="00AD7A64" w:rsidRPr="00DF7224" w:rsidTr="00AD7A64">
        <w:trPr>
          <w:trHeight w:val="397"/>
          <w:jc w:val="center"/>
        </w:trPr>
        <w:tc>
          <w:tcPr>
            <w:tcW w:w="1032"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bCs/>
                <w:color w:val="000000" w:themeColor="text1"/>
                <w:sz w:val="24"/>
                <w:szCs w:val="28"/>
              </w:rPr>
            </w:pPr>
            <w:r w:rsidRPr="00DF7224">
              <w:rPr>
                <w:rFonts w:ascii="Times New Roman" w:hAnsi="Times New Roman" w:cs="Times New Roman"/>
                <w:bCs/>
                <w:color w:val="000000" w:themeColor="text1"/>
                <w:sz w:val="24"/>
                <w:szCs w:val="28"/>
              </w:rPr>
              <w:t>Сальдо/Год</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bCs/>
                <w:color w:val="000000" w:themeColor="text1"/>
                <w:sz w:val="24"/>
                <w:szCs w:val="28"/>
              </w:rPr>
            </w:pPr>
            <w:r w:rsidRPr="00DF7224">
              <w:rPr>
                <w:rFonts w:ascii="Times New Roman" w:hAnsi="Times New Roman" w:cs="Times New Roman"/>
                <w:bCs/>
                <w:color w:val="000000" w:themeColor="text1"/>
                <w:sz w:val="24"/>
                <w:szCs w:val="28"/>
              </w:rPr>
              <w:t>2013</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bCs/>
                <w:color w:val="000000" w:themeColor="text1"/>
                <w:sz w:val="24"/>
                <w:szCs w:val="28"/>
              </w:rPr>
            </w:pPr>
            <w:r w:rsidRPr="00DF7224">
              <w:rPr>
                <w:rFonts w:ascii="Times New Roman" w:hAnsi="Times New Roman" w:cs="Times New Roman"/>
                <w:bCs/>
                <w:color w:val="000000" w:themeColor="text1"/>
                <w:sz w:val="24"/>
                <w:szCs w:val="28"/>
              </w:rPr>
              <w:t>2014</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bCs/>
                <w:color w:val="000000" w:themeColor="text1"/>
                <w:sz w:val="24"/>
                <w:szCs w:val="28"/>
              </w:rPr>
            </w:pPr>
            <w:r w:rsidRPr="00DF7224">
              <w:rPr>
                <w:rFonts w:ascii="Times New Roman" w:hAnsi="Times New Roman" w:cs="Times New Roman"/>
                <w:bCs/>
                <w:color w:val="000000" w:themeColor="text1"/>
                <w:sz w:val="24"/>
                <w:szCs w:val="28"/>
              </w:rPr>
              <w:t>2015</w:t>
            </w:r>
          </w:p>
        </w:tc>
        <w:tc>
          <w:tcPr>
            <w:tcW w:w="793"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bCs/>
                <w:color w:val="000000" w:themeColor="text1"/>
                <w:sz w:val="24"/>
                <w:szCs w:val="28"/>
              </w:rPr>
            </w:pPr>
            <w:r w:rsidRPr="00DF7224">
              <w:rPr>
                <w:rFonts w:ascii="Times New Roman" w:hAnsi="Times New Roman" w:cs="Times New Roman"/>
                <w:bCs/>
                <w:color w:val="000000" w:themeColor="text1"/>
                <w:sz w:val="24"/>
                <w:szCs w:val="28"/>
              </w:rPr>
              <w:t>2016</w:t>
            </w:r>
          </w:p>
        </w:tc>
        <w:tc>
          <w:tcPr>
            <w:tcW w:w="793"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bCs/>
                <w:color w:val="000000" w:themeColor="text1"/>
                <w:sz w:val="24"/>
                <w:szCs w:val="28"/>
              </w:rPr>
            </w:pPr>
            <w:r w:rsidRPr="00DF7224">
              <w:rPr>
                <w:rFonts w:ascii="Times New Roman" w:hAnsi="Times New Roman" w:cs="Times New Roman"/>
                <w:bCs/>
                <w:color w:val="000000" w:themeColor="text1"/>
                <w:sz w:val="24"/>
                <w:szCs w:val="28"/>
              </w:rPr>
              <w:t>2017</w:t>
            </w:r>
          </w:p>
        </w:tc>
      </w:tr>
      <w:tr w:rsidR="00AD7A64" w:rsidRPr="00DF7224" w:rsidTr="00AD7A64">
        <w:trPr>
          <w:trHeight w:val="397"/>
          <w:jc w:val="center"/>
        </w:trPr>
        <w:tc>
          <w:tcPr>
            <w:tcW w:w="1032"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Всего</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-141.895</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-61.278</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-18.404</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20.098</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52.926</w:t>
            </w:r>
          </w:p>
        </w:tc>
      </w:tr>
      <w:tr w:rsidR="00AD7A64" w:rsidRPr="00DF7224" w:rsidTr="00AD7A64">
        <w:trPr>
          <w:trHeight w:val="397"/>
          <w:jc w:val="center"/>
        </w:trPr>
        <w:tc>
          <w:tcPr>
            <w:tcW w:w="1032"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Испанцы</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-22.116</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-21.828</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-25.963</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-19.915</w:t>
            </w:r>
          </w:p>
        </w:tc>
        <w:tc>
          <w:tcPr>
            <w:tcW w:w="794" w:type="pct"/>
            <w:noWrap/>
            <w:vAlign w:val="center"/>
            <w:hideMark/>
          </w:tcPr>
          <w:p w:rsidR="00D614E0" w:rsidRPr="00DF7224" w:rsidRDefault="00D614E0" w:rsidP="007E0CA0">
            <w:pPr>
              <w:tabs>
                <w:tab w:val="num" w:pos="142"/>
                <w:tab w:val="left" w:pos="426"/>
              </w:tabs>
              <w:spacing w:line="360" w:lineRule="auto"/>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-12.976</w:t>
            </w:r>
          </w:p>
        </w:tc>
      </w:tr>
    </w:tbl>
    <w:p w:rsidR="002F402F" w:rsidRPr="00DF7224" w:rsidRDefault="002F402F" w:rsidP="007E0CA0">
      <w:pPr>
        <w:tabs>
          <w:tab w:val="num" w:pos="142"/>
          <w:tab w:val="left" w:pos="426"/>
        </w:tabs>
        <w:spacing w:after="0" w:line="240" w:lineRule="auto"/>
        <w:ind w:firstLine="709"/>
        <w:rPr>
          <w:rFonts w:ascii="Times New Roman" w:hAnsi="Times New Roman" w:cs="Times New Roman"/>
          <w:color w:val="000000" w:themeColor="text1"/>
          <w:sz w:val="20"/>
          <w:szCs w:val="20"/>
          <w:shd w:val="clear" w:color="auto" w:fill="FFFFFF"/>
        </w:rPr>
      </w:pPr>
      <w:r w:rsidRPr="00DF7224">
        <w:rPr>
          <w:rFonts w:ascii="Times New Roman" w:hAnsi="Times New Roman" w:cs="Times New Roman"/>
          <w:i/>
          <w:color w:val="000000" w:themeColor="text1"/>
          <w:sz w:val="20"/>
          <w:szCs w:val="20"/>
        </w:rPr>
        <w:t>Источник:</w:t>
      </w:r>
      <w:r w:rsidRPr="00DF7224">
        <w:rPr>
          <w:rFonts w:ascii="Times New Roman" w:hAnsi="Times New Roman" w:cs="Times New Roman"/>
          <w:color w:val="000000" w:themeColor="text1"/>
          <w:sz w:val="20"/>
          <w:szCs w:val="20"/>
          <w:shd w:val="clear" w:color="auto" w:fill="FFFFFF"/>
        </w:rPr>
        <w:t xml:space="preserve"> составлено автором по данным:</w:t>
      </w:r>
      <w:r w:rsidRPr="00DF7224">
        <w:rPr>
          <w:rFonts w:ascii="Times New Roman" w:eastAsia="Times New Roman" w:hAnsi="Times New Roman" w:cs="Times New Roman"/>
          <w:color w:val="000000" w:themeColor="text1"/>
          <w:sz w:val="24"/>
          <w:szCs w:val="24"/>
          <w:lang w:eastAsia="ru-RU"/>
        </w:rPr>
        <w:t xml:space="preserve"> </w:t>
      </w:r>
      <w:r w:rsidRPr="00DF7224">
        <w:rPr>
          <w:rFonts w:ascii="Times New Roman" w:hAnsi="Times New Roman" w:cs="Times New Roman"/>
          <w:color w:val="000000" w:themeColor="text1"/>
          <w:sz w:val="20"/>
          <w:szCs w:val="20"/>
          <w:shd w:val="clear" w:color="auto" w:fill="FFFFFF"/>
        </w:rPr>
        <w:t xml:space="preserve">Total Nacional. </w:t>
      </w:r>
      <w:r w:rsidRPr="00DF7224">
        <w:rPr>
          <w:rFonts w:ascii="Times New Roman" w:hAnsi="Times New Roman" w:cs="Times New Roman"/>
          <w:color w:val="000000" w:themeColor="text1"/>
          <w:sz w:val="20"/>
          <w:szCs w:val="20"/>
          <w:shd w:val="clear" w:color="auto" w:fill="FFFFFF"/>
          <w:lang w:val="en-US"/>
        </w:rPr>
        <w:t xml:space="preserve">Saldo de migración con el extranjero. </w:t>
      </w:r>
      <w:r w:rsidRPr="00DF7224">
        <w:rPr>
          <w:rFonts w:ascii="Times New Roman" w:hAnsi="Times New Roman" w:cs="Times New Roman"/>
          <w:color w:val="000000" w:themeColor="text1"/>
          <w:sz w:val="20"/>
          <w:szCs w:val="20"/>
          <w:shd w:val="clear" w:color="auto" w:fill="FFFFFF"/>
        </w:rPr>
        <w:t>Total,</w:t>
      </w:r>
      <w:r w:rsidRPr="00DF7224">
        <w:rPr>
          <w:rFonts w:ascii="Times New Roman" w:eastAsia="Times New Roman" w:hAnsi="Times New Roman" w:cs="Times New Roman"/>
          <w:color w:val="000000" w:themeColor="text1"/>
          <w:sz w:val="24"/>
          <w:szCs w:val="24"/>
          <w:lang w:eastAsia="ru-RU"/>
        </w:rPr>
        <w:t xml:space="preserve"> </w:t>
      </w:r>
      <w:r w:rsidRPr="00DF7224">
        <w:rPr>
          <w:rFonts w:ascii="Times New Roman" w:hAnsi="Times New Roman" w:cs="Times New Roman"/>
          <w:color w:val="000000" w:themeColor="text1"/>
          <w:sz w:val="20"/>
          <w:szCs w:val="20"/>
          <w:shd w:val="clear" w:color="auto" w:fill="FFFFFF"/>
          <w:lang w:val="en-US"/>
        </w:rPr>
        <w:t>INE</w:t>
      </w:r>
      <w:r w:rsidRPr="00DF7224">
        <w:rPr>
          <w:rFonts w:ascii="Times New Roman" w:hAnsi="Times New Roman" w:cs="Times New Roman"/>
          <w:color w:val="000000" w:themeColor="text1"/>
          <w:sz w:val="20"/>
          <w:szCs w:val="20"/>
          <w:shd w:val="clear" w:color="auto" w:fill="FFFFFF"/>
        </w:rPr>
        <w:t xml:space="preserve"> </w:t>
      </w:r>
      <w:r w:rsidRPr="00DF7224">
        <w:rPr>
          <w:rFonts w:ascii="Times New Roman" w:hAnsi="Times New Roman" w:cs="Times New Roman"/>
          <w:color w:val="000000" w:themeColor="text1"/>
          <w:sz w:val="20"/>
          <w:szCs w:val="20"/>
          <w:shd w:val="clear" w:color="auto" w:fill="FFFFFF"/>
          <w:lang w:val="en-US"/>
        </w:rPr>
        <w:t>base</w:t>
      </w:r>
    </w:p>
    <w:p w:rsidR="00672818" w:rsidRPr="00DF7224" w:rsidRDefault="00672818" w:rsidP="007E0CA0">
      <w:pPr>
        <w:tabs>
          <w:tab w:val="num" w:pos="142"/>
          <w:tab w:val="left" w:pos="426"/>
        </w:tabs>
        <w:spacing w:after="0" w:line="240" w:lineRule="auto"/>
        <w:ind w:firstLine="709"/>
        <w:rPr>
          <w:rFonts w:ascii="Times New Roman" w:hAnsi="Times New Roman" w:cs="Times New Roman"/>
          <w:color w:val="000000" w:themeColor="text1"/>
          <w:sz w:val="24"/>
          <w:szCs w:val="20"/>
          <w:shd w:val="clear" w:color="auto" w:fill="FFFFFF"/>
        </w:rPr>
      </w:pPr>
    </w:p>
    <w:p w:rsidR="00AD7A64" w:rsidRPr="00DF7224" w:rsidRDefault="001021C9" w:rsidP="007E0CA0">
      <w:pPr>
        <w:tabs>
          <w:tab w:val="num" w:pos="142"/>
          <w:tab w:val="left" w:pos="426"/>
        </w:tabs>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С 2013</w:t>
      </w:r>
      <w:r w:rsidR="002F402F" w:rsidRPr="00DF7224">
        <w:rPr>
          <w:rFonts w:ascii="Times New Roman" w:hAnsi="Times New Roman" w:cs="Times New Roman"/>
          <w:color w:val="000000" w:themeColor="text1"/>
          <w:sz w:val="28"/>
          <w:szCs w:val="28"/>
        </w:rPr>
        <w:t xml:space="preserve"> по </w:t>
      </w:r>
      <w:r w:rsidRPr="00DF7224">
        <w:rPr>
          <w:rFonts w:ascii="Times New Roman" w:hAnsi="Times New Roman" w:cs="Times New Roman"/>
          <w:color w:val="000000" w:themeColor="text1"/>
          <w:sz w:val="28"/>
          <w:szCs w:val="28"/>
        </w:rPr>
        <w:t>2017</w:t>
      </w:r>
      <w:r w:rsidR="002F402F" w:rsidRPr="00DF7224">
        <w:rPr>
          <w:rFonts w:ascii="Times New Roman" w:hAnsi="Times New Roman" w:cs="Times New Roman"/>
          <w:color w:val="000000" w:themeColor="text1"/>
          <w:sz w:val="28"/>
          <w:szCs w:val="28"/>
        </w:rPr>
        <w:t xml:space="preserve"> наблюдается отрицательное сальдо</w:t>
      </w:r>
      <w:r w:rsidR="00672818" w:rsidRPr="00DF7224">
        <w:rPr>
          <w:rFonts w:ascii="Times New Roman" w:hAnsi="Times New Roman" w:cs="Times New Roman"/>
          <w:color w:val="000000" w:themeColor="text1"/>
          <w:sz w:val="28"/>
          <w:szCs w:val="28"/>
        </w:rPr>
        <w:t xml:space="preserve"> (Табл.</w:t>
      </w:r>
      <w:r w:rsidR="004D7F36" w:rsidRPr="00DF7224">
        <w:rPr>
          <w:rFonts w:ascii="Times New Roman" w:hAnsi="Times New Roman" w:cs="Times New Roman"/>
          <w:color w:val="000000" w:themeColor="text1"/>
          <w:sz w:val="28"/>
          <w:szCs w:val="28"/>
        </w:rPr>
        <w:t xml:space="preserve"> 1.3</w:t>
      </w:r>
      <w:r w:rsidRPr="00DF7224">
        <w:rPr>
          <w:rFonts w:ascii="Times New Roman" w:hAnsi="Times New Roman" w:cs="Times New Roman"/>
          <w:color w:val="000000" w:themeColor="text1"/>
          <w:sz w:val="28"/>
          <w:szCs w:val="28"/>
        </w:rPr>
        <w:t>)</w:t>
      </w:r>
      <w:r w:rsidR="002F402F" w:rsidRPr="00DF7224">
        <w:rPr>
          <w:rFonts w:ascii="Times New Roman" w:hAnsi="Times New Roman" w:cs="Times New Roman"/>
          <w:color w:val="000000" w:themeColor="text1"/>
          <w:sz w:val="28"/>
          <w:szCs w:val="28"/>
        </w:rPr>
        <w:t>, что говорит о сокращении населения страны. Но обратим внимание на показатели сальдо испанского населения. Все показатели отрицательные</w:t>
      </w:r>
      <w:r w:rsidRPr="00DF7224">
        <w:rPr>
          <w:rFonts w:ascii="Times New Roman" w:hAnsi="Times New Roman" w:cs="Times New Roman"/>
          <w:color w:val="000000" w:themeColor="text1"/>
          <w:sz w:val="28"/>
          <w:szCs w:val="28"/>
        </w:rPr>
        <w:t>, но</w:t>
      </w:r>
      <w:r w:rsidR="002F402F" w:rsidRPr="00DF7224">
        <w:rPr>
          <w:rFonts w:ascii="Times New Roman" w:hAnsi="Times New Roman" w:cs="Times New Roman"/>
          <w:color w:val="000000" w:themeColor="text1"/>
          <w:sz w:val="28"/>
          <w:szCs w:val="28"/>
        </w:rPr>
        <w:t xml:space="preserve"> </w:t>
      </w:r>
      <w:r w:rsidRPr="00DF7224">
        <w:rPr>
          <w:rFonts w:ascii="Times New Roman" w:hAnsi="Times New Roman" w:cs="Times New Roman"/>
          <w:color w:val="000000" w:themeColor="text1"/>
          <w:sz w:val="28"/>
          <w:szCs w:val="28"/>
        </w:rPr>
        <w:t xml:space="preserve">уменьшаются </w:t>
      </w:r>
      <w:r w:rsidR="002F402F" w:rsidRPr="00DF7224">
        <w:rPr>
          <w:rFonts w:ascii="Times New Roman" w:hAnsi="Times New Roman" w:cs="Times New Roman"/>
          <w:color w:val="000000" w:themeColor="text1"/>
          <w:sz w:val="28"/>
          <w:szCs w:val="28"/>
        </w:rPr>
        <w:t>ежегодно по модулю. Испанское население сокращается</w:t>
      </w:r>
      <w:r w:rsidRPr="00DF7224">
        <w:rPr>
          <w:rFonts w:ascii="Times New Roman" w:hAnsi="Times New Roman" w:cs="Times New Roman"/>
          <w:color w:val="000000" w:themeColor="text1"/>
          <w:sz w:val="28"/>
          <w:szCs w:val="28"/>
        </w:rPr>
        <w:t xml:space="preserve">, но имеет небольшую тенденцию к </w:t>
      </w:r>
      <w:r w:rsidR="00A35E02" w:rsidRPr="00DF7224">
        <w:rPr>
          <w:rFonts w:ascii="Times New Roman" w:hAnsi="Times New Roman" w:cs="Times New Roman"/>
          <w:color w:val="000000" w:themeColor="text1"/>
          <w:sz w:val="28"/>
          <w:szCs w:val="28"/>
        </w:rPr>
        <w:t>уменьшению миграции из Испании</w:t>
      </w:r>
      <w:r w:rsidR="002F402F" w:rsidRPr="00DF7224">
        <w:rPr>
          <w:rFonts w:ascii="Times New Roman" w:hAnsi="Times New Roman" w:cs="Times New Roman"/>
          <w:color w:val="000000" w:themeColor="text1"/>
          <w:sz w:val="28"/>
          <w:szCs w:val="28"/>
        </w:rPr>
        <w:t xml:space="preserve">. </w:t>
      </w:r>
      <w:r w:rsidR="00A35E02" w:rsidRPr="00DF7224">
        <w:rPr>
          <w:rFonts w:ascii="Times New Roman" w:hAnsi="Times New Roman" w:cs="Times New Roman"/>
          <w:color w:val="000000" w:themeColor="text1"/>
          <w:sz w:val="28"/>
          <w:szCs w:val="28"/>
        </w:rPr>
        <w:t>Говоря о общем миграционном сальдо, т</w:t>
      </w:r>
      <w:r w:rsidR="002F402F" w:rsidRPr="00DF7224">
        <w:rPr>
          <w:rFonts w:ascii="Times New Roman" w:hAnsi="Times New Roman" w:cs="Times New Roman"/>
          <w:color w:val="000000" w:themeColor="text1"/>
          <w:sz w:val="28"/>
          <w:szCs w:val="28"/>
        </w:rPr>
        <w:t>олько в 2016 году заметно некая позитивная динамика, но в целом ситуация отрицательная. Существует проблема в миграции испанцев, значительно уменьшается их числе</w:t>
      </w:r>
      <w:r w:rsidR="00AD7A64" w:rsidRPr="00DF7224">
        <w:rPr>
          <w:rFonts w:ascii="Times New Roman" w:hAnsi="Times New Roman" w:cs="Times New Roman"/>
          <w:color w:val="000000" w:themeColor="text1"/>
          <w:sz w:val="28"/>
          <w:szCs w:val="28"/>
        </w:rPr>
        <w:t>нность на территории Испании.</w:t>
      </w:r>
    </w:p>
    <w:p w:rsidR="002F402F" w:rsidRPr="00DF7224" w:rsidRDefault="002F402F" w:rsidP="007E0CA0">
      <w:pPr>
        <w:tabs>
          <w:tab w:val="num" w:pos="142"/>
          <w:tab w:val="left" w:pos="426"/>
        </w:tabs>
        <w:spacing w:after="0" w:line="360" w:lineRule="auto"/>
        <w:ind w:firstLine="709"/>
        <w:jc w:val="both"/>
        <w:rPr>
          <w:rFonts w:ascii="Times New Roman" w:eastAsia="Times New Roman" w:hAnsi="Times New Roman" w:cs="Times New Roman"/>
          <w:color w:val="000000" w:themeColor="text1"/>
          <w:sz w:val="28"/>
          <w:szCs w:val="24"/>
          <w:lang w:eastAsia="ru-RU"/>
        </w:rPr>
      </w:pPr>
      <w:r w:rsidRPr="00DF7224">
        <w:rPr>
          <w:rFonts w:ascii="Times New Roman" w:eastAsia="Times New Roman" w:hAnsi="Times New Roman" w:cs="Times New Roman"/>
          <w:color w:val="000000" w:themeColor="text1"/>
          <w:sz w:val="28"/>
          <w:szCs w:val="24"/>
          <w:lang w:eastAsia="ru-RU"/>
        </w:rPr>
        <w:lastRenderedPageBreak/>
        <w:t xml:space="preserve">За 2017 год в Испанию приехали в </w:t>
      </w:r>
      <w:r w:rsidR="008E6D7F" w:rsidRPr="00DF7224">
        <w:rPr>
          <w:rFonts w:ascii="Times New Roman" w:eastAsia="Times New Roman" w:hAnsi="Times New Roman" w:cs="Times New Roman"/>
          <w:color w:val="000000" w:themeColor="text1"/>
          <w:sz w:val="28"/>
          <w:szCs w:val="24"/>
          <w:lang w:eastAsia="ru-RU"/>
        </w:rPr>
        <w:t>два</w:t>
      </w:r>
      <w:r w:rsidRPr="00DF7224">
        <w:rPr>
          <w:rFonts w:ascii="Times New Roman" w:eastAsia="Times New Roman" w:hAnsi="Times New Roman" w:cs="Times New Roman"/>
          <w:color w:val="000000" w:themeColor="text1"/>
          <w:sz w:val="28"/>
          <w:szCs w:val="24"/>
          <w:lang w:eastAsia="ru-RU"/>
        </w:rPr>
        <w:t xml:space="preserve"> раза больше мигрантов, чем за </w:t>
      </w:r>
      <w:r w:rsidR="008E6D7F" w:rsidRPr="00DF7224">
        <w:rPr>
          <w:rFonts w:ascii="Times New Roman" w:eastAsia="Times New Roman" w:hAnsi="Times New Roman" w:cs="Times New Roman"/>
          <w:color w:val="000000" w:themeColor="text1"/>
          <w:sz w:val="28"/>
          <w:szCs w:val="24"/>
          <w:lang w:eastAsia="ru-RU"/>
        </w:rPr>
        <w:t>2016 год</w:t>
      </w:r>
      <w:r w:rsidRPr="00DF7224">
        <w:rPr>
          <w:rFonts w:ascii="Times New Roman" w:eastAsia="Times New Roman" w:hAnsi="Times New Roman" w:cs="Times New Roman"/>
          <w:color w:val="000000" w:themeColor="text1"/>
          <w:sz w:val="28"/>
          <w:szCs w:val="24"/>
          <w:lang w:eastAsia="ru-RU"/>
        </w:rPr>
        <w:t xml:space="preserve">, говорится в отчете Международной </w:t>
      </w:r>
      <w:r w:rsidR="00672818" w:rsidRPr="00DF7224">
        <w:rPr>
          <w:rFonts w:ascii="Times New Roman" w:eastAsia="Times New Roman" w:hAnsi="Times New Roman" w:cs="Times New Roman"/>
          <w:color w:val="000000" w:themeColor="text1"/>
          <w:sz w:val="28"/>
          <w:szCs w:val="24"/>
          <w:lang w:eastAsia="ru-RU"/>
        </w:rPr>
        <w:t xml:space="preserve">организации по миграции (МОМ) </w:t>
      </w:r>
      <w:r w:rsidR="00554DD3" w:rsidRPr="00DF7224">
        <w:rPr>
          <w:rFonts w:ascii="Times New Roman" w:eastAsia="Times New Roman" w:hAnsi="Times New Roman" w:cs="Times New Roman"/>
          <w:color w:val="000000" w:themeColor="text1"/>
          <w:sz w:val="28"/>
          <w:szCs w:val="24"/>
          <w:lang w:eastAsia="ru-RU"/>
        </w:rPr>
        <w:t>[</w:t>
      </w:r>
      <w:r w:rsidR="006212CE" w:rsidRPr="00DF7224">
        <w:rPr>
          <w:rFonts w:ascii="Times New Roman" w:eastAsia="Times New Roman" w:hAnsi="Times New Roman" w:cs="Times New Roman"/>
          <w:color w:val="000000" w:themeColor="text1"/>
          <w:sz w:val="28"/>
          <w:szCs w:val="24"/>
          <w:lang w:eastAsia="ru-RU"/>
        </w:rPr>
        <w:t>32</w:t>
      </w:r>
      <w:r w:rsidRPr="00DF7224">
        <w:rPr>
          <w:rFonts w:ascii="Times New Roman" w:eastAsia="Times New Roman" w:hAnsi="Times New Roman" w:cs="Times New Roman"/>
          <w:color w:val="000000" w:themeColor="text1"/>
          <w:sz w:val="28"/>
          <w:szCs w:val="24"/>
          <w:lang w:eastAsia="ru-RU"/>
        </w:rPr>
        <w:t>]</w:t>
      </w:r>
      <w:r w:rsidR="00672818" w:rsidRPr="00DF7224">
        <w:rPr>
          <w:rFonts w:ascii="Times New Roman" w:eastAsia="Times New Roman" w:hAnsi="Times New Roman" w:cs="Times New Roman"/>
          <w:color w:val="000000" w:themeColor="text1"/>
          <w:sz w:val="28"/>
          <w:szCs w:val="24"/>
          <w:lang w:eastAsia="ru-RU"/>
        </w:rPr>
        <w:t>.</w:t>
      </w:r>
      <w:r w:rsidRPr="00DF7224">
        <w:rPr>
          <w:rFonts w:ascii="Times New Roman" w:eastAsia="Times New Roman" w:hAnsi="Times New Roman" w:cs="Times New Roman"/>
          <w:color w:val="000000" w:themeColor="text1"/>
          <w:sz w:val="28"/>
          <w:szCs w:val="24"/>
          <w:lang w:eastAsia="ru-RU"/>
        </w:rPr>
        <w:t xml:space="preserve"> Такой рост может быть обусловлен тем, что беженцы считают испанский маршрут более безопасным. По данным МОМ, общее число прибывших в Испанию мигрантов за </w:t>
      </w:r>
      <w:r w:rsidR="00AD7A64" w:rsidRPr="00DF7224">
        <w:rPr>
          <w:rFonts w:ascii="Times New Roman" w:eastAsia="Times New Roman" w:hAnsi="Times New Roman" w:cs="Times New Roman"/>
          <w:color w:val="000000" w:themeColor="text1"/>
          <w:sz w:val="28"/>
          <w:szCs w:val="24"/>
          <w:lang w:eastAsia="ru-RU"/>
        </w:rPr>
        <w:t>2017</w:t>
      </w:r>
      <w:r w:rsidRPr="00DF7224">
        <w:rPr>
          <w:rFonts w:ascii="Times New Roman" w:eastAsia="Times New Roman" w:hAnsi="Times New Roman" w:cs="Times New Roman"/>
          <w:color w:val="000000" w:themeColor="text1"/>
          <w:sz w:val="28"/>
          <w:szCs w:val="24"/>
          <w:lang w:eastAsia="ru-RU"/>
        </w:rPr>
        <w:t xml:space="preserve"> год составляет </w:t>
      </w:r>
      <w:r w:rsidR="008E6D7F" w:rsidRPr="00DF7224">
        <w:rPr>
          <w:rFonts w:ascii="Times New Roman" w:eastAsia="Times New Roman" w:hAnsi="Times New Roman" w:cs="Times New Roman"/>
          <w:color w:val="000000" w:themeColor="text1"/>
          <w:sz w:val="28"/>
          <w:szCs w:val="24"/>
          <w:lang w:eastAsia="ru-RU"/>
        </w:rPr>
        <w:t>28707</w:t>
      </w:r>
      <w:r w:rsidRPr="00DF7224">
        <w:rPr>
          <w:rFonts w:ascii="Times New Roman" w:eastAsia="Times New Roman" w:hAnsi="Times New Roman" w:cs="Times New Roman"/>
          <w:color w:val="000000" w:themeColor="text1"/>
          <w:sz w:val="28"/>
          <w:szCs w:val="24"/>
          <w:lang w:eastAsia="ru-RU"/>
        </w:rPr>
        <w:t xml:space="preserve"> человек, в то время как за весь прошлый год их было </w:t>
      </w:r>
      <w:r w:rsidR="008E6D7F" w:rsidRPr="00DF7224">
        <w:rPr>
          <w:rFonts w:ascii="Times New Roman" w:eastAsia="Times New Roman" w:hAnsi="Times New Roman" w:cs="Times New Roman"/>
          <w:color w:val="000000" w:themeColor="text1"/>
          <w:sz w:val="28"/>
          <w:szCs w:val="24"/>
          <w:lang w:eastAsia="ru-RU"/>
        </w:rPr>
        <w:t>14558</w:t>
      </w:r>
      <w:r w:rsidRPr="00DF7224">
        <w:rPr>
          <w:rFonts w:ascii="Times New Roman" w:eastAsia="Times New Roman" w:hAnsi="Times New Roman" w:cs="Times New Roman"/>
          <w:color w:val="000000" w:themeColor="text1"/>
          <w:sz w:val="28"/>
          <w:szCs w:val="24"/>
          <w:lang w:eastAsia="ru-RU"/>
        </w:rPr>
        <w:t xml:space="preserve">. </w:t>
      </w:r>
      <w:r w:rsidR="008E6D7F" w:rsidRPr="00DF7224">
        <w:rPr>
          <w:rFonts w:ascii="Times New Roman" w:eastAsia="Times New Roman" w:hAnsi="Times New Roman" w:cs="Times New Roman"/>
          <w:color w:val="000000" w:themeColor="text1"/>
          <w:sz w:val="28"/>
          <w:szCs w:val="24"/>
          <w:lang w:eastAsia="ru-RU"/>
        </w:rPr>
        <w:t xml:space="preserve">В 2018 году прибыло в 2 раза больше чем в 2017 – 65325 человек. </w:t>
      </w:r>
      <w:r w:rsidRPr="00DF7224">
        <w:rPr>
          <w:rFonts w:ascii="Times New Roman" w:eastAsia="Times New Roman" w:hAnsi="Times New Roman" w:cs="Times New Roman"/>
          <w:color w:val="000000" w:themeColor="text1"/>
          <w:sz w:val="28"/>
          <w:szCs w:val="24"/>
          <w:lang w:eastAsia="ru-RU"/>
        </w:rPr>
        <w:t>В настоящее время из-за ситуации на Ближнем Востоке Европу охватывают проблемы, связанные с мигрантами и беженц</w:t>
      </w:r>
      <w:r w:rsidR="00AB150E" w:rsidRPr="00DF7224">
        <w:rPr>
          <w:rFonts w:ascii="Times New Roman" w:eastAsia="Times New Roman" w:hAnsi="Times New Roman" w:cs="Times New Roman"/>
          <w:color w:val="000000" w:themeColor="text1"/>
          <w:sz w:val="28"/>
          <w:szCs w:val="24"/>
          <w:lang w:eastAsia="ru-RU"/>
        </w:rPr>
        <w:t xml:space="preserve">ами. </w:t>
      </w:r>
      <w:r w:rsidRPr="00DF7224">
        <w:rPr>
          <w:rFonts w:ascii="Times New Roman" w:eastAsia="Times New Roman" w:hAnsi="Times New Roman" w:cs="Times New Roman"/>
          <w:color w:val="000000" w:themeColor="text1"/>
          <w:sz w:val="28"/>
          <w:szCs w:val="24"/>
          <w:lang w:eastAsia="ru-RU"/>
        </w:rPr>
        <w:t>Испания является одной из наиболее втянутых в эти проблемы стран. К сожалению, решить такую глобальную проблему очень сложно и потребуется много лет перед тем, как ситуация с населением сбалансируется.</w:t>
      </w:r>
    </w:p>
    <w:p w:rsidR="00A06F1A" w:rsidRPr="00DF7224" w:rsidRDefault="00A06F1A" w:rsidP="007E0CA0">
      <w:pPr>
        <w:spacing w:after="0" w:line="360" w:lineRule="auto"/>
        <w:ind w:firstLine="709"/>
        <w:jc w:val="both"/>
        <w:rPr>
          <w:rFonts w:ascii="Times New Roman" w:eastAsiaTheme="majorEastAsia" w:hAnsi="Times New Roman" w:cs="Times New Roman"/>
          <w:bCs/>
          <w:color w:val="000000" w:themeColor="text1"/>
          <w:sz w:val="28"/>
          <w:szCs w:val="28"/>
          <w:lang w:eastAsia="ru-RU"/>
        </w:rPr>
      </w:pPr>
      <w:r w:rsidRPr="00DF7224">
        <w:rPr>
          <w:rFonts w:ascii="Times New Roman" w:eastAsiaTheme="majorEastAsia" w:hAnsi="Times New Roman" w:cs="Times New Roman"/>
          <w:bCs/>
          <w:color w:val="000000" w:themeColor="text1"/>
          <w:sz w:val="28"/>
          <w:szCs w:val="28"/>
          <w:lang w:eastAsia="ru-RU"/>
        </w:rPr>
        <w:t>В настоящее время проблема миграции продолжает волновать правительство Испании. По последним данным, на официальном сайте, который следит за миграционными потоками предоставлено: с 19 апреля по 25 апреля 2018 в Испанию прибыло 107 человек, а с 26 апреля по 2 мая – 415 человек (официально зарегистрированных</w:t>
      </w:r>
      <w:r w:rsidR="008E6D7F" w:rsidRPr="00DF7224">
        <w:rPr>
          <w:rFonts w:ascii="Times New Roman" w:eastAsiaTheme="majorEastAsia" w:hAnsi="Times New Roman" w:cs="Times New Roman"/>
          <w:bCs/>
          <w:color w:val="000000" w:themeColor="text1"/>
          <w:sz w:val="28"/>
          <w:szCs w:val="28"/>
          <w:lang w:eastAsia="ru-RU"/>
        </w:rPr>
        <w:t xml:space="preserve">) </w:t>
      </w:r>
      <w:r w:rsidR="006212CE" w:rsidRPr="00DF7224">
        <w:rPr>
          <w:rFonts w:ascii="Times New Roman" w:eastAsiaTheme="majorEastAsia" w:hAnsi="Times New Roman" w:cs="Times New Roman"/>
          <w:bCs/>
          <w:color w:val="000000" w:themeColor="text1"/>
          <w:sz w:val="28"/>
          <w:szCs w:val="28"/>
          <w:lang w:eastAsia="ru-RU"/>
        </w:rPr>
        <w:t>[43</w:t>
      </w:r>
      <w:r w:rsidRPr="00DF7224">
        <w:rPr>
          <w:rFonts w:ascii="Times New Roman" w:eastAsiaTheme="majorEastAsia" w:hAnsi="Times New Roman" w:cs="Times New Roman"/>
          <w:bCs/>
          <w:color w:val="000000" w:themeColor="text1"/>
          <w:sz w:val="28"/>
          <w:szCs w:val="28"/>
          <w:lang w:eastAsia="ru-RU"/>
        </w:rPr>
        <w:t>]</w:t>
      </w:r>
      <w:r w:rsidR="008E6D7F" w:rsidRPr="00DF7224">
        <w:rPr>
          <w:rFonts w:ascii="Times New Roman" w:eastAsiaTheme="majorEastAsia" w:hAnsi="Times New Roman" w:cs="Times New Roman"/>
          <w:bCs/>
          <w:color w:val="000000" w:themeColor="text1"/>
          <w:sz w:val="28"/>
          <w:szCs w:val="28"/>
          <w:lang w:eastAsia="ru-RU"/>
        </w:rPr>
        <w:t>.</w:t>
      </w:r>
      <w:r w:rsidRPr="00DF7224">
        <w:rPr>
          <w:rFonts w:ascii="Times New Roman" w:eastAsiaTheme="majorEastAsia" w:hAnsi="Times New Roman" w:cs="Times New Roman"/>
          <w:bCs/>
          <w:color w:val="000000" w:themeColor="text1"/>
          <w:sz w:val="28"/>
          <w:szCs w:val="28"/>
          <w:lang w:eastAsia="ru-RU"/>
        </w:rPr>
        <w:t xml:space="preserve"> Изменение за неделю составило 288%.  За одну неделю такое </w:t>
      </w:r>
      <w:r w:rsidR="008E6D7F" w:rsidRPr="00DF7224">
        <w:rPr>
          <w:rFonts w:ascii="Times New Roman" w:eastAsiaTheme="majorEastAsia" w:hAnsi="Times New Roman" w:cs="Times New Roman"/>
          <w:bCs/>
          <w:color w:val="000000" w:themeColor="text1"/>
          <w:sz w:val="28"/>
          <w:szCs w:val="28"/>
          <w:lang w:eastAsia="ru-RU"/>
        </w:rPr>
        <w:t>количество зарегистрированных</w:t>
      </w:r>
      <w:r w:rsidRPr="00DF7224">
        <w:rPr>
          <w:rFonts w:ascii="Times New Roman" w:eastAsiaTheme="majorEastAsia" w:hAnsi="Times New Roman" w:cs="Times New Roman"/>
          <w:bCs/>
          <w:color w:val="000000" w:themeColor="text1"/>
          <w:sz w:val="28"/>
          <w:szCs w:val="28"/>
          <w:lang w:eastAsia="ru-RU"/>
        </w:rPr>
        <w:t xml:space="preserve"> мигрантов явно имеет негативные социально-экономические последствия для страны</w:t>
      </w:r>
      <w:r w:rsidR="008E6D7F" w:rsidRPr="00DF7224">
        <w:rPr>
          <w:rFonts w:ascii="Times New Roman" w:eastAsiaTheme="majorEastAsia" w:hAnsi="Times New Roman" w:cs="Times New Roman"/>
          <w:bCs/>
          <w:color w:val="000000" w:themeColor="text1"/>
          <w:sz w:val="28"/>
          <w:szCs w:val="28"/>
          <w:lang w:eastAsia="ru-RU"/>
        </w:rPr>
        <w:t xml:space="preserve"> – </w:t>
      </w:r>
      <w:r w:rsidRPr="00DF7224">
        <w:rPr>
          <w:rFonts w:ascii="Times New Roman" w:eastAsiaTheme="majorEastAsia" w:hAnsi="Times New Roman" w:cs="Times New Roman"/>
          <w:bCs/>
          <w:color w:val="000000" w:themeColor="text1"/>
          <w:sz w:val="28"/>
          <w:szCs w:val="28"/>
          <w:lang w:eastAsia="ru-RU"/>
        </w:rPr>
        <w:t>увеличение безработицы, скорее всего увеличение крими</w:t>
      </w:r>
      <w:r w:rsidR="008E6D7F" w:rsidRPr="00DF7224">
        <w:rPr>
          <w:rFonts w:ascii="Times New Roman" w:eastAsiaTheme="majorEastAsia" w:hAnsi="Times New Roman" w:cs="Times New Roman"/>
          <w:bCs/>
          <w:color w:val="000000" w:themeColor="text1"/>
          <w:sz w:val="28"/>
          <w:szCs w:val="28"/>
          <w:lang w:eastAsia="ru-RU"/>
        </w:rPr>
        <w:t>нала и социального беспокойства</w:t>
      </w:r>
      <w:r w:rsidRPr="00DF7224">
        <w:rPr>
          <w:rFonts w:ascii="Times New Roman" w:eastAsiaTheme="majorEastAsia" w:hAnsi="Times New Roman" w:cs="Times New Roman"/>
          <w:bCs/>
          <w:color w:val="000000" w:themeColor="text1"/>
          <w:sz w:val="28"/>
          <w:szCs w:val="28"/>
          <w:lang w:eastAsia="ru-RU"/>
        </w:rPr>
        <w:t xml:space="preserve"> и возмущения со стороны коренных испанцев</w:t>
      </w:r>
      <w:r w:rsidR="00A35E02" w:rsidRPr="00DF7224">
        <w:rPr>
          <w:rFonts w:ascii="Times New Roman" w:eastAsiaTheme="majorEastAsia" w:hAnsi="Times New Roman" w:cs="Times New Roman"/>
          <w:bCs/>
          <w:color w:val="000000" w:themeColor="text1"/>
          <w:sz w:val="28"/>
          <w:szCs w:val="28"/>
          <w:lang w:eastAsia="ru-RU"/>
        </w:rPr>
        <w:t>.</w:t>
      </w:r>
    </w:p>
    <w:p w:rsidR="00D76AB9" w:rsidRPr="00DF7224" w:rsidRDefault="00A06F1A" w:rsidP="007E0CA0">
      <w:pPr>
        <w:spacing w:after="0" w:line="360" w:lineRule="auto"/>
        <w:ind w:firstLine="709"/>
        <w:jc w:val="both"/>
        <w:rPr>
          <w:rFonts w:ascii="Times New Roman" w:eastAsia="Times New Roman" w:hAnsi="Times New Roman" w:cs="Times New Roman"/>
          <w:color w:val="000000" w:themeColor="text1"/>
          <w:sz w:val="28"/>
          <w:szCs w:val="24"/>
          <w:lang w:eastAsia="ru-RU"/>
        </w:rPr>
      </w:pPr>
      <w:r w:rsidRPr="00DF7224">
        <w:rPr>
          <w:rFonts w:ascii="Times New Roman" w:eastAsia="Times New Roman" w:hAnsi="Times New Roman" w:cs="Times New Roman"/>
          <w:color w:val="000000" w:themeColor="text1"/>
          <w:sz w:val="28"/>
          <w:szCs w:val="24"/>
          <w:lang w:eastAsia="ru-RU"/>
        </w:rPr>
        <w:t>В период с января по декабрь 2017 года испанские власти зарегистрировали 28 707 вновь прибывших мигрантов и лиц, ищущих убежище (из стран Ближнего Востока). Общее количество прибывших в 2017 году увеличилось в два раза по сравнению с 2016 годом, когда было зарегистрировано 14 558 мигрантов и просителей убежища. В 2017 году более 70% зарегистрированных в Испанию лиц прибыло из Марокко (19%), Алжир (18%), Гвинея Конакри (14%), Кот-д'Ивуар (13%) и Гамбия (10%). В 2016 году: Гвинея Конакри  (18%), Алжир (17%), Сирия (13%) и Кот-д'Ивуар (13</w:t>
      </w:r>
      <w:r w:rsidR="007E0CA0" w:rsidRPr="00DF7224">
        <w:rPr>
          <w:rFonts w:ascii="Times New Roman" w:eastAsia="Times New Roman" w:hAnsi="Times New Roman" w:cs="Times New Roman"/>
          <w:color w:val="000000" w:themeColor="text1"/>
          <w:sz w:val="28"/>
          <w:szCs w:val="24"/>
          <w:lang w:eastAsia="ru-RU"/>
        </w:rPr>
        <w:t xml:space="preserve">%) </w:t>
      </w:r>
      <w:r w:rsidR="00554DD3" w:rsidRPr="00DF7224">
        <w:rPr>
          <w:rFonts w:ascii="Times New Roman" w:eastAsia="Times New Roman" w:hAnsi="Times New Roman" w:cs="Times New Roman"/>
          <w:color w:val="000000" w:themeColor="text1"/>
          <w:sz w:val="28"/>
          <w:szCs w:val="24"/>
          <w:lang w:eastAsia="ru-RU"/>
        </w:rPr>
        <w:t>[</w:t>
      </w:r>
      <w:r w:rsidR="006212CE" w:rsidRPr="00DF7224">
        <w:rPr>
          <w:rFonts w:ascii="Times New Roman" w:eastAsia="Times New Roman" w:hAnsi="Times New Roman" w:cs="Times New Roman"/>
          <w:color w:val="000000" w:themeColor="text1"/>
          <w:sz w:val="28"/>
          <w:szCs w:val="24"/>
          <w:lang w:eastAsia="ru-RU"/>
        </w:rPr>
        <w:t>32</w:t>
      </w:r>
      <w:r w:rsidRPr="00DF7224">
        <w:rPr>
          <w:rFonts w:ascii="Times New Roman" w:eastAsia="Times New Roman" w:hAnsi="Times New Roman" w:cs="Times New Roman"/>
          <w:color w:val="000000" w:themeColor="text1"/>
          <w:sz w:val="28"/>
          <w:szCs w:val="24"/>
          <w:lang w:eastAsia="ru-RU"/>
        </w:rPr>
        <w:t>]</w:t>
      </w:r>
      <w:r w:rsidR="007E0CA0" w:rsidRPr="00DF7224">
        <w:rPr>
          <w:rFonts w:ascii="Times New Roman" w:eastAsia="Times New Roman" w:hAnsi="Times New Roman" w:cs="Times New Roman"/>
          <w:color w:val="000000" w:themeColor="text1"/>
          <w:sz w:val="28"/>
          <w:szCs w:val="24"/>
          <w:lang w:eastAsia="ru-RU"/>
        </w:rPr>
        <w:t>.</w:t>
      </w:r>
    </w:p>
    <w:p w:rsidR="002B4A64" w:rsidRPr="00DF7224" w:rsidRDefault="002B4A64" w:rsidP="007E0CA0">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lastRenderedPageBreak/>
        <w:t>Демографические проблемы являются актуальными для всей Евр</w:t>
      </w:r>
      <w:r w:rsidR="00A35E02" w:rsidRPr="00DF7224">
        <w:rPr>
          <w:rFonts w:ascii="Times New Roman" w:hAnsi="Times New Roman" w:cs="Times New Roman"/>
          <w:color w:val="000000" w:themeColor="text1"/>
          <w:sz w:val="28"/>
          <w:szCs w:val="28"/>
        </w:rPr>
        <w:t>опы в настоящее время. Испания –</w:t>
      </w:r>
      <w:r w:rsidRPr="00DF7224">
        <w:rPr>
          <w:rFonts w:ascii="Times New Roman" w:hAnsi="Times New Roman" w:cs="Times New Roman"/>
          <w:color w:val="000000" w:themeColor="text1"/>
          <w:sz w:val="28"/>
          <w:szCs w:val="28"/>
        </w:rPr>
        <w:t xml:space="preserve"> не исключение. Уменьшается численность населения, растет процент людей старше пенсионного возраста, Коэффициент рождаем</w:t>
      </w:r>
      <w:r w:rsidR="00AD7A64" w:rsidRPr="00DF7224">
        <w:rPr>
          <w:rFonts w:ascii="Times New Roman" w:hAnsi="Times New Roman" w:cs="Times New Roman"/>
          <w:color w:val="000000" w:themeColor="text1"/>
          <w:sz w:val="28"/>
          <w:szCs w:val="28"/>
        </w:rPr>
        <w:t>ости с каждым годом уменьшается, а коэффициент смертности увеличивается.</w:t>
      </w:r>
      <w:r w:rsidRPr="00DF7224">
        <w:rPr>
          <w:rFonts w:ascii="Times New Roman" w:hAnsi="Times New Roman" w:cs="Times New Roman"/>
          <w:color w:val="000000" w:themeColor="text1"/>
          <w:sz w:val="28"/>
          <w:szCs w:val="28"/>
        </w:rPr>
        <w:t xml:space="preserve"> </w:t>
      </w:r>
      <w:r w:rsidR="00AD7A64" w:rsidRPr="00DF7224">
        <w:rPr>
          <w:rFonts w:ascii="Times New Roman" w:hAnsi="Times New Roman" w:cs="Times New Roman"/>
          <w:color w:val="000000" w:themeColor="text1"/>
          <w:sz w:val="28"/>
          <w:szCs w:val="28"/>
        </w:rPr>
        <w:t>Испанские власти не игнорируют данные проблемы. Публикуя официальную и доступную статистику на национальном сайте статистики</w:t>
      </w:r>
      <w:r w:rsidR="00D475C2" w:rsidRPr="00DF7224">
        <w:rPr>
          <w:rFonts w:ascii="Times New Roman" w:hAnsi="Times New Roman" w:cs="Times New Roman"/>
          <w:color w:val="000000" w:themeColor="text1"/>
          <w:sz w:val="28"/>
          <w:szCs w:val="28"/>
        </w:rPr>
        <w:t xml:space="preserve"> (INE)</w:t>
      </w:r>
      <w:r w:rsidR="00AD7A64" w:rsidRPr="00DF7224">
        <w:rPr>
          <w:rFonts w:ascii="Times New Roman" w:hAnsi="Times New Roman" w:cs="Times New Roman"/>
          <w:color w:val="000000" w:themeColor="text1"/>
          <w:sz w:val="28"/>
          <w:szCs w:val="28"/>
        </w:rPr>
        <w:t xml:space="preserve">, власти не скрывают о существующих проблемах. </w:t>
      </w:r>
      <w:r w:rsidR="00D475C2" w:rsidRPr="00DF7224">
        <w:rPr>
          <w:rFonts w:ascii="Times New Roman" w:hAnsi="Times New Roman" w:cs="Times New Roman"/>
          <w:color w:val="000000" w:themeColor="text1"/>
          <w:sz w:val="28"/>
          <w:szCs w:val="28"/>
        </w:rPr>
        <w:t>Государство также проводит стимулирующую рождаемость политику, например, предоставляет молодым семьям различные субсидии и льготы.</w:t>
      </w:r>
    </w:p>
    <w:p w:rsidR="007E0CA0" w:rsidRPr="00DF7224" w:rsidRDefault="007E0CA0" w:rsidP="007E0CA0">
      <w:pPr>
        <w:spacing w:after="0" w:line="360" w:lineRule="auto"/>
        <w:ind w:firstLine="709"/>
        <w:jc w:val="both"/>
        <w:rPr>
          <w:rFonts w:ascii="Times New Roman" w:hAnsi="Times New Roman" w:cs="Times New Roman"/>
          <w:color w:val="000000" w:themeColor="text1"/>
          <w:sz w:val="28"/>
          <w:szCs w:val="28"/>
        </w:rPr>
      </w:pPr>
    </w:p>
    <w:p w:rsidR="00F8793A" w:rsidRPr="00DF7224" w:rsidRDefault="0019702D" w:rsidP="007E0CA0">
      <w:pPr>
        <w:pStyle w:val="1"/>
        <w:spacing w:before="0" w:line="360" w:lineRule="auto"/>
        <w:ind w:firstLine="709"/>
        <w:rPr>
          <w:rFonts w:ascii="Times New Roman" w:hAnsi="Times New Roman" w:cs="Times New Roman"/>
          <w:b w:val="0"/>
          <w:color w:val="auto"/>
        </w:rPr>
      </w:pPr>
      <w:bookmarkStart w:id="5" w:name="_Toc10992393"/>
      <w:r w:rsidRPr="00DF7224">
        <w:rPr>
          <w:rFonts w:ascii="Times New Roman" w:eastAsia="Calibri" w:hAnsi="Times New Roman" w:cs="Times New Roman"/>
          <w:b w:val="0"/>
          <w:color w:val="auto"/>
        </w:rPr>
        <w:t>1.3</w:t>
      </w:r>
      <w:r w:rsidR="00F8793A" w:rsidRPr="00DF7224">
        <w:rPr>
          <w:rFonts w:ascii="Times New Roman" w:eastAsia="Calibri" w:hAnsi="Times New Roman" w:cs="Times New Roman"/>
          <w:b w:val="0"/>
          <w:color w:val="auto"/>
        </w:rPr>
        <w:t xml:space="preserve"> Характеристика современного состояния экономики </w:t>
      </w:r>
      <w:r w:rsidR="00F8793A" w:rsidRPr="00DF7224">
        <w:rPr>
          <w:rFonts w:ascii="Times New Roman" w:hAnsi="Times New Roman" w:cs="Times New Roman"/>
          <w:b w:val="0"/>
          <w:color w:val="auto"/>
        </w:rPr>
        <w:t>Испании</w:t>
      </w:r>
      <w:bookmarkEnd w:id="5"/>
    </w:p>
    <w:p w:rsidR="007E0CA0" w:rsidRPr="00DF7224" w:rsidRDefault="007E0CA0" w:rsidP="007E0CA0">
      <w:pPr>
        <w:spacing w:after="0"/>
        <w:rPr>
          <w:rFonts w:ascii="Times New Roman" w:hAnsi="Times New Roman" w:cs="Times New Roman"/>
        </w:rPr>
      </w:pPr>
    </w:p>
    <w:p w:rsidR="00B5036F" w:rsidRPr="00DF7224" w:rsidRDefault="00B5036F" w:rsidP="007E0CA0">
      <w:pPr>
        <w:spacing w:after="0" w:line="360" w:lineRule="auto"/>
        <w:ind w:firstLine="709"/>
        <w:jc w:val="both"/>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В 2017 г. экономика Испании продолжала демонстрировать существенный динамизм, вот уже 4-й год находясь в стадии роста и 3-й год с уровнем роста выше 3%. Это стало лучшим показателем среди 4 ведущи</w:t>
      </w:r>
      <w:r w:rsidR="008D5B6E" w:rsidRPr="00DF7224">
        <w:rPr>
          <w:rFonts w:ascii="Times New Roman" w:hAnsi="Times New Roman" w:cs="Times New Roman"/>
          <w:color w:val="000000" w:themeColor="text1"/>
          <w:sz w:val="28"/>
          <w:szCs w:val="24"/>
        </w:rPr>
        <w:t xml:space="preserve">х экономик еврозоны за 2017 год. Рассмотрим ВВП Испании </w:t>
      </w:r>
      <w:r w:rsidR="004D7F36" w:rsidRPr="00DF7224">
        <w:rPr>
          <w:rFonts w:ascii="Times New Roman" w:hAnsi="Times New Roman" w:cs="Times New Roman"/>
          <w:color w:val="000000" w:themeColor="text1"/>
          <w:sz w:val="28"/>
          <w:szCs w:val="24"/>
        </w:rPr>
        <w:t>за последние 6 лет в Т</w:t>
      </w:r>
      <w:r w:rsidR="00FA0D3E" w:rsidRPr="00DF7224">
        <w:rPr>
          <w:rFonts w:ascii="Times New Roman" w:hAnsi="Times New Roman" w:cs="Times New Roman"/>
          <w:color w:val="000000" w:themeColor="text1"/>
          <w:sz w:val="28"/>
          <w:szCs w:val="24"/>
        </w:rPr>
        <w:t>аблице 1.4</w:t>
      </w:r>
      <w:r w:rsidR="008D5B6E" w:rsidRPr="00DF7224">
        <w:rPr>
          <w:rFonts w:ascii="Times New Roman" w:hAnsi="Times New Roman" w:cs="Times New Roman"/>
          <w:color w:val="000000" w:themeColor="text1"/>
          <w:sz w:val="28"/>
          <w:szCs w:val="24"/>
        </w:rPr>
        <w:t>.</w:t>
      </w:r>
    </w:p>
    <w:p w:rsidR="007E0CA0" w:rsidRPr="00DF7224" w:rsidRDefault="007E0CA0" w:rsidP="007E0CA0">
      <w:pPr>
        <w:spacing w:after="0" w:line="360" w:lineRule="auto"/>
        <w:ind w:firstLine="709"/>
        <w:jc w:val="both"/>
        <w:rPr>
          <w:rFonts w:ascii="Times New Roman" w:hAnsi="Times New Roman" w:cs="Times New Roman"/>
          <w:color w:val="000000" w:themeColor="text1"/>
          <w:sz w:val="28"/>
          <w:szCs w:val="24"/>
        </w:rPr>
      </w:pPr>
    </w:p>
    <w:p w:rsidR="006E2E8F" w:rsidRPr="00DF7224" w:rsidRDefault="00893921" w:rsidP="00E12056">
      <w:pPr>
        <w:spacing w:after="0" w:line="360" w:lineRule="auto"/>
        <w:ind w:firstLine="709"/>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Таблица 1</w:t>
      </w:r>
      <w:r w:rsidR="00AA5637" w:rsidRPr="00DF7224">
        <w:rPr>
          <w:rFonts w:ascii="Times New Roman" w:hAnsi="Times New Roman" w:cs="Times New Roman"/>
          <w:color w:val="000000" w:themeColor="text1"/>
          <w:sz w:val="28"/>
          <w:szCs w:val="24"/>
        </w:rPr>
        <w:t>.</w:t>
      </w:r>
      <w:r w:rsidR="008A28C6" w:rsidRPr="00DF7224">
        <w:rPr>
          <w:rFonts w:ascii="Times New Roman" w:hAnsi="Times New Roman" w:cs="Times New Roman"/>
          <w:color w:val="000000" w:themeColor="text1"/>
          <w:sz w:val="28"/>
          <w:szCs w:val="24"/>
        </w:rPr>
        <w:t>4</w:t>
      </w:r>
      <w:r w:rsidR="0069207A" w:rsidRPr="00DF7224">
        <w:rPr>
          <w:rFonts w:ascii="Times New Roman" w:hAnsi="Times New Roman" w:cs="Times New Roman"/>
          <w:color w:val="000000" w:themeColor="text1"/>
          <w:sz w:val="28"/>
          <w:szCs w:val="24"/>
        </w:rPr>
        <w:t xml:space="preserve"> –</w:t>
      </w:r>
      <w:r w:rsidR="00AA5637" w:rsidRPr="00DF7224">
        <w:rPr>
          <w:rFonts w:ascii="Times New Roman" w:hAnsi="Times New Roman" w:cs="Times New Roman"/>
          <w:color w:val="000000" w:themeColor="text1"/>
          <w:sz w:val="28"/>
          <w:szCs w:val="24"/>
        </w:rPr>
        <w:t xml:space="preserve"> </w:t>
      </w:r>
      <w:r w:rsidR="006E2E8F" w:rsidRPr="00DF7224">
        <w:rPr>
          <w:rFonts w:ascii="Times New Roman" w:hAnsi="Times New Roman" w:cs="Times New Roman"/>
          <w:color w:val="000000" w:themeColor="text1"/>
          <w:sz w:val="28"/>
          <w:szCs w:val="24"/>
        </w:rPr>
        <w:t xml:space="preserve"> Динамика ма</w:t>
      </w:r>
      <w:r w:rsidR="00D4608E" w:rsidRPr="00DF7224">
        <w:rPr>
          <w:rFonts w:ascii="Times New Roman" w:hAnsi="Times New Roman" w:cs="Times New Roman"/>
          <w:color w:val="000000" w:themeColor="text1"/>
          <w:sz w:val="28"/>
          <w:szCs w:val="24"/>
        </w:rPr>
        <w:t>кроэкономически</w:t>
      </w:r>
      <w:r w:rsidR="006E2E8F" w:rsidRPr="00DF7224">
        <w:rPr>
          <w:rFonts w:ascii="Times New Roman" w:hAnsi="Times New Roman" w:cs="Times New Roman"/>
          <w:color w:val="000000" w:themeColor="text1"/>
          <w:sz w:val="28"/>
          <w:szCs w:val="24"/>
        </w:rPr>
        <w:t>х</w:t>
      </w:r>
      <w:r w:rsidR="00D4608E" w:rsidRPr="00DF7224">
        <w:rPr>
          <w:rFonts w:ascii="Times New Roman" w:hAnsi="Times New Roman" w:cs="Times New Roman"/>
          <w:color w:val="000000" w:themeColor="text1"/>
          <w:sz w:val="28"/>
          <w:szCs w:val="24"/>
        </w:rPr>
        <w:t xml:space="preserve"> показател</w:t>
      </w:r>
      <w:r w:rsidR="006E2E8F" w:rsidRPr="00DF7224">
        <w:rPr>
          <w:rFonts w:ascii="Times New Roman" w:hAnsi="Times New Roman" w:cs="Times New Roman"/>
          <w:color w:val="000000" w:themeColor="text1"/>
          <w:sz w:val="28"/>
          <w:szCs w:val="24"/>
        </w:rPr>
        <w:t>ей Испании</w:t>
      </w:r>
    </w:p>
    <w:tbl>
      <w:tblPr>
        <w:tblStyle w:val="ab"/>
        <w:tblW w:w="4101" w:type="pct"/>
        <w:jc w:val="center"/>
        <w:tblInd w:w="0" w:type="dxa"/>
        <w:tblLook w:val="04A0" w:firstRow="1" w:lastRow="0" w:firstColumn="1" w:lastColumn="0" w:noHBand="0" w:noVBand="1"/>
      </w:tblPr>
      <w:tblGrid>
        <w:gridCol w:w="2474"/>
        <w:gridCol w:w="936"/>
        <w:gridCol w:w="936"/>
        <w:gridCol w:w="876"/>
        <w:gridCol w:w="876"/>
        <w:gridCol w:w="876"/>
        <w:gridCol w:w="876"/>
      </w:tblGrid>
      <w:tr w:rsidR="006B26FD" w:rsidRPr="00DF7224" w:rsidTr="00974584">
        <w:trPr>
          <w:trHeight w:val="425"/>
          <w:jc w:val="center"/>
        </w:trPr>
        <w:tc>
          <w:tcPr>
            <w:tcW w:w="1576"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Показатель/Год</w:t>
            </w:r>
          </w:p>
        </w:tc>
        <w:tc>
          <w:tcPr>
            <w:tcW w:w="596"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2013</w:t>
            </w:r>
          </w:p>
        </w:tc>
        <w:tc>
          <w:tcPr>
            <w:tcW w:w="596"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2014</w:t>
            </w:r>
          </w:p>
        </w:tc>
        <w:tc>
          <w:tcPr>
            <w:tcW w:w="558"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2015</w:t>
            </w:r>
          </w:p>
        </w:tc>
        <w:tc>
          <w:tcPr>
            <w:tcW w:w="558"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2016</w:t>
            </w:r>
          </w:p>
        </w:tc>
        <w:tc>
          <w:tcPr>
            <w:tcW w:w="558"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2017</w:t>
            </w:r>
          </w:p>
        </w:tc>
        <w:tc>
          <w:tcPr>
            <w:tcW w:w="558" w:type="pct"/>
            <w:tcBorders>
              <w:top w:val="single" w:sz="4" w:space="0" w:color="auto"/>
              <w:left w:val="single" w:sz="4" w:space="0" w:color="auto"/>
              <w:bottom w:val="single" w:sz="4" w:space="0" w:color="auto"/>
              <w:right w:val="single" w:sz="4" w:space="0" w:color="auto"/>
            </w:tcBorders>
            <w:vAlign w:val="center"/>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2018</w:t>
            </w:r>
          </w:p>
        </w:tc>
      </w:tr>
      <w:tr w:rsidR="006B26FD" w:rsidRPr="00DF7224" w:rsidTr="00974584">
        <w:trPr>
          <w:trHeight w:val="425"/>
          <w:jc w:val="center"/>
        </w:trPr>
        <w:tc>
          <w:tcPr>
            <w:tcW w:w="1576"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974584"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ВВП (млрд. евро</w:t>
            </w:r>
            <w:r w:rsidR="00D4608E" w:rsidRPr="00DF7224">
              <w:rPr>
                <w:rFonts w:ascii="Times New Roman" w:hAnsi="Times New Roman" w:cs="Times New Roman"/>
                <w:color w:val="000000" w:themeColor="text1"/>
                <w:sz w:val="24"/>
                <w:szCs w:val="24"/>
              </w:rPr>
              <w:t>)</w:t>
            </w:r>
          </w:p>
        </w:tc>
        <w:tc>
          <w:tcPr>
            <w:tcW w:w="596"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1025,7</w:t>
            </w:r>
          </w:p>
        </w:tc>
        <w:tc>
          <w:tcPr>
            <w:tcW w:w="596"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1037,8</w:t>
            </w:r>
          </w:p>
        </w:tc>
        <w:tc>
          <w:tcPr>
            <w:tcW w:w="558"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1081,2</w:t>
            </w:r>
          </w:p>
        </w:tc>
        <w:tc>
          <w:tcPr>
            <w:tcW w:w="558"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1118,7</w:t>
            </w:r>
          </w:p>
        </w:tc>
        <w:tc>
          <w:tcPr>
            <w:tcW w:w="558" w:type="pct"/>
            <w:tcBorders>
              <w:top w:val="single" w:sz="4" w:space="0" w:color="auto"/>
              <w:left w:val="single" w:sz="4" w:space="0" w:color="auto"/>
              <w:bottom w:val="single" w:sz="4" w:space="0" w:color="auto"/>
              <w:right w:val="single" w:sz="4" w:space="0" w:color="auto"/>
            </w:tcBorders>
            <w:vAlign w:val="center"/>
            <w:hideMark/>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1166,3</w:t>
            </w:r>
          </w:p>
        </w:tc>
        <w:tc>
          <w:tcPr>
            <w:tcW w:w="558" w:type="pct"/>
            <w:tcBorders>
              <w:top w:val="single" w:sz="4" w:space="0" w:color="auto"/>
              <w:left w:val="single" w:sz="4" w:space="0" w:color="auto"/>
              <w:bottom w:val="single" w:sz="4" w:space="0" w:color="auto"/>
              <w:right w:val="single" w:sz="4" w:space="0" w:color="auto"/>
            </w:tcBorders>
            <w:vAlign w:val="center"/>
          </w:tcPr>
          <w:p w:rsidR="006B26FD" w:rsidRPr="00DF7224" w:rsidRDefault="006B26FD"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1208,3</w:t>
            </w:r>
          </w:p>
        </w:tc>
      </w:tr>
      <w:tr w:rsidR="00D4608E" w:rsidRPr="00DF7224" w:rsidTr="00974584">
        <w:trPr>
          <w:trHeight w:val="425"/>
          <w:jc w:val="center"/>
        </w:trPr>
        <w:tc>
          <w:tcPr>
            <w:tcW w:w="1576" w:type="pct"/>
            <w:tcBorders>
              <w:top w:val="single" w:sz="4" w:space="0" w:color="auto"/>
              <w:left w:val="single" w:sz="4" w:space="0" w:color="auto"/>
              <w:bottom w:val="single" w:sz="4" w:space="0" w:color="auto"/>
              <w:right w:val="single" w:sz="4" w:space="0" w:color="auto"/>
            </w:tcBorders>
            <w:vAlign w:val="center"/>
          </w:tcPr>
          <w:p w:rsidR="00D4608E"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ВВП на душу населения</w:t>
            </w:r>
            <w:r w:rsidR="00974584" w:rsidRPr="00DF7224">
              <w:rPr>
                <w:rFonts w:ascii="Times New Roman" w:hAnsi="Times New Roman" w:cs="Times New Roman"/>
                <w:color w:val="000000" w:themeColor="text1"/>
                <w:sz w:val="24"/>
                <w:szCs w:val="24"/>
              </w:rPr>
              <w:t xml:space="preserve"> (тыс. евро)</w:t>
            </w:r>
          </w:p>
        </w:tc>
        <w:tc>
          <w:tcPr>
            <w:tcW w:w="596" w:type="pct"/>
            <w:tcBorders>
              <w:top w:val="single" w:sz="4" w:space="0" w:color="auto"/>
              <w:left w:val="single" w:sz="4" w:space="0" w:color="auto"/>
              <w:bottom w:val="single" w:sz="4" w:space="0" w:color="auto"/>
              <w:right w:val="single" w:sz="4" w:space="0" w:color="auto"/>
            </w:tcBorders>
            <w:vAlign w:val="center"/>
          </w:tcPr>
          <w:p w:rsidR="00D4608E"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22</w:t>
            </w:r>
          </w:p>
        </w:tc>
        <w:tc>
          <w:tcPr>
            <w:tcW w:w="596" w:type="pct"/>
            <w:tcBorders>
              <w:top w:val="single" w:sz="4" w:space="0" w:color="auto"/>
              <w:left w:val="single" w:sz="4" w:space="0" w:color="auto"/>
              <w:bottom w:val="single" w:sz="4" w:space="0" w:color="auto"/>
              <w:right w:val="single" w:sz="4" w:space="0" w:color="auto"/>
            </w:tcBorders>
            <w:vAlign w:val="center"/>
          </w:tcPr>
          <w:p w:rsidR="00D4608E"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22,3</w:t>
            </w:r>
          </w:p>
        </w:tc>
        <w:tc>
          <w:tcPr>
            <w:tcW w:w="558" w:type="pct"/>
            <w:tcBorders>
              <w:top w:val="single" w:sz="4" w:space="0" w:color="auto"/>
              <w:left w:val="single" w:sz="4" w:space="0" w:color="auto"/>
              <w:bottom w:val="single" w:sz="4" w:space="0" w:color="auto"/>
              <w:right w:val="single" w:sz="4" w:space="0" w:color="auto"/>
            </w:tcBorders>
            <w:vAlign w:val="center"/>
          </w:tcPr>
          <w:p w:rsidR="00D4608E"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23,3</w:t>
            </w:r>
          </w:p>
        </w:tc>
        <w:tc>
          <w:tcPr>
            <w:tcW w:w="558" w:type="pct"/>
            <w:tcBorders>
              <w:top w:val="single" w:sz="4" w:space="0" w:color="auto"/>
              <w:left w:val="single" w:sz="4" w:space="0" w:color="auto"/>
              <w:bottom w:val="single" w:sz="4" w:space="0" w:color="auto"/>
              <w:right w:val="single" w:sz="4" w:space="0" w:color="auto"/>
            </w:tcBorders>
            <w:vAlign w:val="center"/>
          </w:tcPr>
          <w:p w:rsidR="00D4608E"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24,1</w:t>
            </w:r>
          </w:p>
        </w:tc>
        <w:tc>
          <w:tcPr>
            <w:tcW w:w="558" w:type="pct"/>
            <w:tcBorders>
              <w:top w:val="single" w:sz="4" w:space="0" w:color="auto"/>
              <w:left w:val="single" w:sz="4" w:space="0" w:color="auto"/>
              <w:bottom w:val="single" w:sz="4" w:space="0" w:color="auto"/>
              <w:right w:val="single" w:sz="4" w:space="0" w:color="auto"/>
            </w:tcBorders>
            <w:vAlign w:val="center"/>
          </w:tcPr>
          <w:p w:rsidR="00D4608E"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25,1</w:t>
            </w:r>
          </w:p>
        </w:tc>
        <w:tc>
          <w:tcPr>
            <w:tcW w:w="558" w:type="pct"/>
            <w:tcBorders>
              <w:top w:val="single" w:sz="4" w:space="0" w:color="auto"/>
              <w:left w:val="single" w:sz="4" w:space="0" w:color="auto"/>
              <w:bottom w:val="single" w:sz="4" w:space="0" w:color="auto"/>
              <w:right w:val="single" w:sz="4" w:space="0" w:color="auto"/>
            </w:tcBorders>
            <w:vAlign w:val="center"/>
          </w:tcPr>
          <w:p w:rsidR="00D4608E" w:rsidRPr="00DF7224" w:rsidRDefault="00D4608E"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25,9</w:t>
            </w:r>
          </w:p>
        </w:tc>
      </w:tr>
      <w:tr w:rsidR="00974584" w:rsidRPr="00DF7224" w:rsidTr="00974584">
        <w:trPr>
          <w:trHeight w:val="425"/>
          <w:jc w:val="center"/>
        </w:trPr>
        <w:tc>
          <w:tcPr>
            <w:tcW w:w="1576" w:type="pct"/>
            <w:tcBorders>
              <w:top w:val="single" w:sz="4" w:space="0" w:color="auto"/>
              <w:left w:val="single" w:sz="4" w:space="0" w:color="auto"/>
              <w:bottom w:val="single" w:sz="4" w:space="0" w:color="auto"/>
              <w:right w:val="single" w:sz="4" w:space="0" w:color="auto"/>
            </w:tcBorders>
            <w:vAlign w:val="center"/>
          </w:tcPr>
          <w:p w:rsidR="00974584" w:rsidRPr="00DF7224" w:rsidRDefault="00974584"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Темпы прироста ВВП (%)</w:t>
            </w:r>
          </w:p>
        </w:tc>
        <w:tc>
          <w:tcPr>
            <w:tcW w:w="596" w:type="pct"/>
            <w:tcBorders>
              <w:top w:val="single" w:sz="4" w:space="0" w:color="auto"/>
              <w:left w:val="single" w:sz="4" w:space="0" w:color="auto"/>
              <w:bottom w:val="single" w:sz="4" w:space="0" w:color="auto"/>
              <w:right w:val="single" w:sz="4" w:space="0" w:color="auto"/>
            </w:tcBorders>
            <w:vAlign w:val="center"/>
          </w:tcPr>
          <w:p w:rsidR="00974584" w:rsidRPr="00DF7224" w:rsidRDefault="00974584" w:rsidP="007E0CA0">
            <w:pPr>
              <w:jc w:val="center"/>
              <w:rPr>
                <w:rFonts w:ascii="Times New Roman" w:eastAsia="Times New Roman" w:hAnsi="Times New Roman" w:cs="Times New Roman"/>
                <w:color w:val="000000"/>
                <w:sz w:val="24"/>
                <w:szCs w:val="20"/>
                <w:lang w:eastAsia="ru-RU"/>
              </w:rPr>
            </w:pPr>
            <w:r w:rsidRPr="00DF7224">
              <w:rPr>
                <w:rFonts w:ascii="Times New Roman" w:eastAsia="Times New Roman" w:hAnsi="Times New Roman" w:cs="Times New Roman"/>
                <w:color w:val="000000"/>
                <w:sz w:val="24"/>
                <w:szCs w:val="20"/>
                <w:lang w:eastAsia="ru-RU"/>
              </w:rPr>
              <w:t>-1,71</w:t>
            </w:r>
          </w:p>
        </w:tc>
        <w:tc>
          <w:tcPr>
            <w:tcW w:w="596" w:type="pct"/>
            <w:tcBorders>
              <w:top w:val="single" w:sz="4" w:space="0" w:color="auto"/>
              <w:left w:val="single" w:sz="4" w:space="0" w:color="auto"/>
              <w:bottom w:val="single" w:sz="4" w:space="0" w:color="auto"/>
              <w:right w:val="single" w:sz="4" w:space="0" w:color="auto"/>
            </w:tcBorders>
            <w:vAlign w:val="center"/>
          </w:tcPr>
          <w:p w:rsidR="00974584" w:rsidRPr="00DF7224" w:rsidRDefault="00974584" w:rsidP="007E0CA0">
            <w:pPr>
              <w:jc w:val="center"/>
              <w:rPr>
                <w:rFonts w:ascii="Times New Roman" w:eastAsia="Times New Roman" w:hAnsi="Times New Roman" w:cs="Times New Roman"/>
                <w:color w:val="000000"/>
                <w:sz w:val="24"/>
                <w:szCs w:val="20"/>
                <w:lang w:eastAsia="ru-RU"/>
              </w:rPr>
            </w:pPr>
            <w:r w:rsidRPr="00DF7224">
              <w:rPr>
                <w:rFonts w:ascii="Times New Roman" w:eastAsia="Times New Roman" w:hAnsi="Times New Roman" w:cs="Times New Roman"/>
                <w:color w:val="000000"/>
                <w:sz w:val="24"/>
                <w:szCs w:val="20"/>
                <w:lang w:eastAsia="ru-RU"/>
              </w:rPr>
              <w:t>1,38</w:t>
            </w:r>
          </w:p>
        </w:tc>
        <w:tc>
          <w:tcPr>
            <w:tcW w:w="558" w:type="pct"/>
            <w:tcBorders>
              <w:top w:val="single" w:sz="4" w:space="0" w:color="auto"/>
              <w:left w:val="single" w:sz="4" w:space="0" w:color="auto"/>
              <w:bottom w:val="single" w:sz="4" w:space="0" w:color="auto"/>
              <w:right w:val="single" w:sz="4" w:space="0" w:color="auto"/>
            </w:tcBorders>
            <w:vAlign w:val="center"/>
          </w:tcPr>
          <w:p w:rsidR="00974584" w:rsidRPr="00DF7224" w:rsidRDefault="00974584" w:rsidP="007E0CA0">
            <w:pPr>
              <w:jc w:val="center"/>
              <w:rPr>
                <w:rFonts w:ascii="Times New Roman" w:eastAsia="Times New Roman" w:hAnsi="Times New Roman" w:cs="Times New Roman"/>
                <w:color w:val="000000"/>
                <w:sz w:val="24"/>
                <w:szCs w:val="20"/>
                <w:lang w:eastAsia="ru-RU"/>
              </w:rPr>
            </w:pPr>
            <w:r w:rsidRPr="00DF7224">
              <w:rPr>
                <w:rFonts w:ascii="Times New Roman" w:eastAsia="Times New Roman" w:hAnsi="Times New Roman" w:cs="Times New Roman"/>
                <w:color w:val="000000"/>
                <w:sz w:val="24"/>
                <w:szCs w:val="20"/>
                <w:lang w:eastAsia="ru-RU"/>
              </w:rPr>
              <w:t>3,64</w:t>
            </w:r>
          </w:p>
        </w:tc>
        <w:tc>
          <w:tcPr>
            <w:tcW w:w="558" w:type="pct"/>
            <w:tcBorders>
              <w:top w:val="single" w:sz="4" w:space="0" w:color="auto"/>
              <w:left w:val="single" w:sz="4" w:space="0" w:color="auto"/>
              <w:bottom w:val="single" w:sz="4" w:space="0" w:color="auto"/>
              <w:right w:val="single" w:sz="4" w:space="0" w:color="auto"/>
            </w:tcBorders>
            <w:vAlign w:val="center"/>
          </w:tcPr>
          <w:p w:rsidR="00974584" w:rsidRPr="00DF7224" w:rsidRDefault="00974584" w:rsidP="007E0CA0">
            <w:pPr>
              <w:jc w:val="center"/>
              <w:rPr>
                <w:rFonts w:ascii="Times New Roman" w:eastAsia="Times New Roman" w:hAnsi="Times New Roman" w:cs="Times New Roman"/>
                <w:color w:val="000000"/>
                <w:sz w:val="24"/>
                <w:szCs w:val="20"/>
                <w:lang w:eastAsia="ru-RU"/>
              </w:rPr>
            </w:pPr>
            <w:r w:rsidRPr="00DF7224">
              <w:rPr>
                <w:rFonts w:ascii="Times New Roman" w:eastAsia="Times New Roman" w:hAnsi="Times New Roman" w:cs="Times New Roman"/>
                <w:color w:val="000000"/>
                <w:sz w:val="24"/>
                <w:szCs w:val="20"/>
                <w:lang w:eastAsia="ru-RU"/>
              </w:rPr>
              <w:t>3,17</w:t>
            </w:r>
          </w:p>
        </w:tc>
        <w:tc>
          <w:tcPr>
            <w:tcW w:w="558" w:type="pct"/>
            <w:tcBorders>
              <w:top w:val="single" w:sz="4" w:space="0" w:color="auto"/>
              <w:left w:val="single" w:sz="4" w:space="0" w:color="auto"/>
              <w:bottom w:val="single" w:sz="4" w:space="0" w:color="auto"/>
              <w:right w:val="single" w:sz="4" w:space="0" w:color="auto"/>
            </w:tcBorders>
            <w:vAlign w:val="center"/>
          </w:tcPr>
          <w:p w:rsidR="00974584" w:rsidRPr="00DF7224" w:rsidRDefault="00974584" w:rsidP="007E0CA0">
            <w:pPr>
              <w:jc w:val="center"/>
              <w:rPr>
                <w:rFonts w:ascii="Times New Roman" w:eastAsia="Times New Roman" w:hAnsi="Times New Roman" w:cs="Times New Roman"/>
                <w:color w:val="000000"/>
                <w:sz w:val="24"/>
                <w:szCs w:val="20"/>
                <w:lang w:eastAsia="ru-RU"/>
              </w:rPr>
            </w:pPr>
            <w:r w:rsidRPr="00DF7224">
              <w:rPr>
                <w:rFonts w:ascii="Times New Roman" w:eastAsia="Times New Roman" w:hAnsi="Times New Roman" w:cs="Times New Roman"/>
                <w:color w:val="000000"/>
                <w:sz w:val="24"/>
                <w:szCs w:val="20"/>
                <w:lang w:eastAsia="ru-RU"/>
              </w:rPr>
              <w:t>2,98</w:t>
            </w:r>
          </w:p>
        </w:tc>
        <w:tc>
          <w:tcPr>
            <w:tcW w:w="558" w:type="pct"/>
            <w:tcBorders>
              <w:top w:val="single" w:sz="4" w:space="0" w:color="auto"/>
              <w:left w:val="single" w:sz="4" w:space="0" w:color="auto"/>
              <w:bottom w:val="single" w:sz="4" w:space="0" w:color="auto"/>
              <w:right w:val="single" w:sz="4" w:space="0" w:color="auto"/>
            </w:tcBorders>
            <w:vAlign w:val="center"/>
          </w:tcPr>
          <w:p w:rsidR="00974584" w:rsidRPr="00DF7224" w:rsidRDefault="00974584" w:rsidP="007E0CA0">
            <w:pPr>
              <w:jc w:val="center"/>
              <w:rPr>
                <w:rFonts w:ascii="Times New Roman" w:hAnsi="Times New Roman" w:cs="Times New Roman"/>
                <w:color w:val="000000" w:themeColor="text1"/>
                <w:sz w:val="24"/>
                <w:szCs w:val="24"/>
              </w:rPr>
            </w:pPr>
            <w:r w:rsidRPr="00DF7224">
              <w:rPr>
                <w:rFonts w:ascii="Times New Roman" w:hAnsi="Times New Roman" w:cs="Times New Roman"/>
                <w:color w:val="000000" w:themeColor="text1"/>
                <w:sz w:val="24"/>
                <w:szCs w:val="24"/>
              </w:rPr>
              <w:t>2,97</w:t>
            </w:r>
          </w:p>
        </w:tc>
      </w:tr>
    </w:tbl>
    <w:p w:rsidR="00AA5637" w:rsidRPr="00DF7224" w:rsidRDefault="00AA5637" w:rsidP="007E0CA0">
      <w:pPr>
        <w:spacing w:after="0" w:line="240" w:lineRule="auto"/>
        <w:ind w:firstLine="709"/>
        <w:rPr>
          <w:rFonts w:ascii="Times New Roman" w:hAnsi="Times New Roman" w:cs="Times New Roman"/>
          <w:color w:val="000000" w:themeColor="text1"/>
          <w:sz w:val="20"/>
          <w:szCs w:val="24"/>
          <w:lang w:val="en-US"/>
        </w:rPr>
      </w:pPr>
      <w:r w:rsidRPr="00DF7224">
        <w:rPr>
          <w:rFonts w:ascii="Times New Roman" w:hAnsi="Times New Roman" w:cs="Times New Roman"/>
          <w:i/>
          <w:color w:val="000000" w:themeColor="text1"/>
          <w:sz w:val="20"/>
          <w:szCs w:val="24"/>
        </w:rPr>
        <w:t>Источник</w:t>
      </w:r>
      <w:r w:rsidRPr="00DF7224">
        <w:rPr>
          <w:rFonts w:ascii="Times New Roman" w:hAnsi="Times New Roman" w:cs="Times New Roman"/>
          <w:i/>
          <w:color w:val="000000" w:themeColor="text1"/>
          <w:sz w:val="20"/>
          <w:szCs w:val="24"/>
          <w:lang w:val="en-US"/>
        </w:rPr>
        <w:t>:</w:t>
      </w:r>
      <w:r w:rsidRPr="00DF7224">
        <w:rPr>
          <w:rFonts w:ascii="Times New Roman" w:hAnsi="Times New Roman" w:cs="Times New Roman"/>
          <w:color w:val="000000" w:themeColor="text1"/>
          <w:sz w:val="20"/>
          <w:szCs w:val="24"/>
          <w:lang w:val="en-US"/>
        </w:rPr>
        <w:t xml:space="preserve"> </w:t>
      </w:r>
      <w:r w:rsidR="00974584" w:rsidRPr="00DF7224">
        <w:rPr>
          <w:rFonts w:ascii="Times New Roman" w:hAnsi="Times New Roman" w:cs="Times New Roman"/>
          <w:color w:val="000000" w:themeColor="text1"/>
          <w:sz w:val="20"/>
          <w:szCs w:val="24"/>
          <w:lang w:val="en-US"/>
        </w:rPr>
        <w:t>http://appsso.eurostat.ec.europa.eu/nui/submitViewTableAction.do; Gross domestic product: Total and per capita, gross rates, annual, 1970-2017 UNCTADstat</w:t>
      </w:r>
    </w:p>
    <w:p w:rsidR="007E0CA0" w:rsidRPr="00DF7224" w:rsidRDefault="007E0CA0" w:rsidP="007E0CA0">
      <w:pPr>
        <w:spacing w:after="0" w:line="240" w:lineRule="auto"/>
        <w:ind w:firstLine="709"/>
        <w:rPr>
          <w:rFonts w:ascii="Times New Roman" w:hAnsi="Times New Roman" w:cs="Times New Roman"/>
          <w:color w:val="000000" w:themeColor="text1"/>
          <w:sz w:val="24"/>
          <w:szCs w:val="24"/>
          <w:lang w:val="en-US"/>
        </w:rPr>
      </w:pPr>
    </w:p>
    <w:p w:rsidR="00B1467E" w:rsidRPr="00DF7224" w:rsidRDefault="008D5B6E" w:rsidP="007E0CA0">
      <w:pPr>
        <w:spacing w:after="0" w:line="360" w:lineRule="auto"/>
        <w:ind w:firstLine="709"/>
        <w:jc w:val="both"/>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 xml:space="preserve">За 6 лет ВВП </w:t>
      </w:r>
      <w:r w:rsidR="007E0CA0" w:rsidRPr="00DF7224">
        <w:rPr>
          <w:rFonts w:ascii="Times New Roman" w:hAnsi="Times New Roman" w:cs="Times New Roman"/>
          <w:color w:val="000000" w:themeColor="text1"/>
          <w:sz w:val="28"/>
          <w:szCs w:val="24"/>
        </w:rPr>
        <w:t xml:space="preserve">Испании </w:t>
      </w:r>
      <w:r w:rsidRPr="00DF7224">
        <w:rPr>
          <w:rFonts w:ascii="Times New Roman" w:hAnsi="Times New Roman" w:cs="Times New Roman"/>
          <w:color w:val="000000" w:themeColor="text1"/>
          <w:sz w:val="28"/>
          <w:szCs w:val="24"/>
        </w:rPr>
        <w:t xml:space="preserve">увеличился на 182,6 миллиардов евро. </w:t>
      </w:r>
      <w:r w:rsidR="005D2AB7" w:rsidRPr="00DF7224">
        <w:rPr>
          <w:rFonts w:ascii="Times New Roman" w:hAnsi="Times New Roman" w:cs="Times New Roman"/>
          <w:color w:val="000000" w:themeColor="text1"/>
          <w:sz w:val="28"/>
          <w:szCs w:val="24"/>
        </w:rPr>
        <w:t>Рост ВВП за 6</w:t>
      </w:r>
      <w:r w:rsidRPr="00DF7224">
        <w:rPr>
          <w:rFonts w:ascii="Times New Roman" w:hAnsi="Times New Roman" w:cs="Times New Roman"/>
          <w:color w:val="000000" w:themeColor="text1"/>
          <w:sz w:val="28"/>
          <w:szCs w:val="24"/>
        </w:rPr>
        <w:t xml:space="preserve"> последних года более 3% говорит о сбалансированности и последовательности экономического роста.</w:t>
      </w:r>
      <w:r w:rsidR="00B1467E" w:rsidRPr="00DF7224">
        <w:rPr>
          <w:rFonts w:ascii="Times New Roman" w:hAnsi="Times New Roman" w:cs="Times New Roman"/>
          <w:color w:val="000000" w:themeColor="text1"/>
          <w:sz w:val="28"/>
          <w:szCs w:val="24"/>
        </w:rPr>
        <w:t xml:space="preserve"> Об этом также свидетельствуют </w:t>
      </w:r>
      <w:r w:rsidR="00B1467E" w:rsidRPr="00DF7224">
        <w:rPr>
          <w:rFonts w:ascii="Times New Roman" w:hAnsi="Times New Roman" w:cs="Times New Roman"/>
          <w:color w:val="000000" w:themeColor="text1"/>
          <w:sz w:val="28"/>
          <w:szCs w:val="24"/>
        </w:rPr>
        <w:lastRenderedPageBreak/>
        <w:t>данные ВВП н</w:t>
      </w:r>
      <w:r w:rsidR="004D7F36" w:rsidRPr="00DF7224">
        <w:rPr>
          <w:rFonts w:ascii="Times New Roman" w:hAnsi="Times New Roman" w:cs="Times New Roman"/>
          <w:color w:val="000000" w:themeColor="text1"/>
          <w:sz w:val="28"/>
          <w:szCs w:val="24"/>
        </w:rPr>
        <w:t>а душу населения в Т</w:t>
      </w:r>
      <w:r w:rsidR="00D4608E" w:rsidRPr="00DF7224">
        <w:rPr>
          <w:rFonts w:ascii="Times New Roman" w:hAnsi="Times New Roman" w:cs="Times New Roman"/>
          <w:color w:val="000000" w:themeColor="text1"/>
          <w:sz w:val="28"/>
          <w:szCs w:val="24"/>
        </w:rPr>
        <w:t>аблице 1.4</w:t>
      </w:r>
      <w:r w:rsidR="0069207A" w:rsidRPr="00DF7224">
        <w:rPr>
          <w:rFonts w:ascii="Times New Roman" w:hAnsi="Times New Roman" w:cs="Times New Roman"/>
          <w:color w:val="000000" w:themeColor="text1"/>
          <w:sz w:val="28"/>
          <w:szCs w:val="24"/>
        </w:rPr>
        <w:t>, где за рассматриваемый период ВВП на душу населения увеличился на 3,9 тысяч евро.</w:t>
      </w:r>
    </w:p>
    <w:p w:rsidR="00B1467E" w:rsidRPr="00DF7224" w:rsidRDefault="00090388" w:rsidP="007E0CA0">
      <w:pPr>
        <w:spacing w:after="0" w:line="360" w:lineRule="auto"/>
        <w:ind w:firstLine="709"/>
        <w:jc w:val="both"/>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 xml:space="preserve">Испания – одна из европейских стран с </w:t>
      </w:r>
      <w:r w:rsidR="007E0CA0" w:rsidRPr="00DF7224">
        <w:rPr>
          <w:rFonts w:ascii="Times New Roman" w:hAnsi="Times New Roman" w:cs="Times New Roman"/>
          <w:color w:val="000000" w:themeColor="text1"/>
          <w:sz w:val="28"/>
          <w:szCs w:val="24"/>
        </w:rPr>
        <w:t>наибольшим</w:t>
      </w:r>
      <w:r w:rsidR="004D7F36" w:rsidRPr="00DF7224">
        <w:rPr>
          <w:rFonts w:ascii="Times New Roman" w:hAnsi="Times New Roman" w:cs="Times New Roman"/>
          <w:color w:val="000000" w:themeColor="text1"/>
          <w:sz w:val="28"/>
          <w:szCs w:val="24"/>
        </w:rPr>
        <w:t xml:space="preserve"> темпом прироста (Т</w:t>
      </w:r>
      <w:r w:rsidRPr="00DF7224">
        <w:rPr>
          <w:rFonts w:ascii="Times New Roman" w:hAnsi="Times New Roman" w:cs="Times New Roman"/>
          <w:color w:val="000000" w:themeColor="text1"/>
          <w:sz w:val="28"/>
          <w:szCs w:val="24"/>
        </w:rPr>
        <w:t>абл</w:t>
      </w:r>
      <w:r w:rsidR="007E0CA0" w:rsidRPr="00DF7224">
        <w:rPr>
          <w:rFonts w:ascii="Times New Roman" w:hAnsi="Times New Roman" w:cs="Times New Roman"/>
          <w:color w:val="000000" w:themeColor="text1"/>
          <w:sz w:val="28"/>
          <w:szCs w:val="24"/>
        </w:rPr>
        <w:t>.</w:t>
      </w:r>
      <w:r w:rsidRPr="00DF7224">
        <w:rPr>
          <w:rFonts w:ascii="Times New Roman" w:hAnsi="Times New Roman" w:cs="Times New Roman"/>
          <w:color w:val="000000" w:themeColor="text1"/>
          <w:sz w:val="28"/>
          <w:szCs w:val="24"/>
        </w:rPr>
        <w:t xml:space="preserve"> 1</w:t>
      </w:r>
      <w:r w:rsidR="00974584" w:rsidRPr="00DF7224">
        <w:rPr>
          <w:rFonts w:ascii="Times New Roman" w:hAnsi="Times New Roman" w:cs="Times New Roman"/>
          <w:color w:val="000000" w:themeColor="text1"/>
          <w:sz w:val="28"/>
          <w:szCs w:val="24"/>
        </w:rPr>
        <w:t>.4</w:t>
      </w:r>
      <w:r w:rsidRPr="00DF7224">
        <w:rPr>
          <w:rFonts w:ascii="Times New Roman" w:hAnsi="Times New Roman" w:cs="Times New Roman"/>
          <w:color w:val="000000" w:themeColor="text1"/>
          <w:sz w:val="28"/>
          <w:szCs w:val="24"/>
        </w:rPr>
        <w:t xml:space="preserve">). Экономика Испании тенденцию к росту и является первой европейской страной  с наибольшим приростом ВВП в после кризисный период. С 2015 года темп прироста </w:t>
      </w:r>
      <w:r w:rsidR="00035E4B" w:rsidRPr="00DF7224">
        <w:rPr>
          <w:rFonts w:ascii="Times New Roman" w:hAnsi="Times New Roman" w:cs="Times New Roman"/>
          <w:color w:val="000000" w:themeColor="text1"/>
          <w:sz w:val="28"/>
          <w:szCs w:val="24"/>
        </w:rPr>
        <w:t>ВВП – больше 3 процентов, что говорит о восстановлении экономики и экономическом росте.</w:t>
      </w:r>
    </w:p>
    <w:p w:rsidR="008164E2" w:rsidRPr="00DF7224" w:rsidRDefault="00035E4B" w:rsidP="007E0CA0">
      <w:pPr>
        <w:spacing w:after="0" w:line="360" w:lineRule="auto"/>
        <w:ind w:firstLine="709"/>
        <w:jc w:val="both"/>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По классификации Международного валютного фонда Испания относится к странам с развитой экономикой. Как у всех развитых стран, большую часть ВВП с</w:t>
      </w:r>
      <w:r w:rsidR="004D7F36" w:rsidRPr="00DF7224">
        <w:rPr>
          <w:rFonts w:ascii="Times New Roman" w:hAnsi="Times New Roman" w:cs="Times New Roman"/>
          <w:color w:val="000000" w:themeColor="text1"/>
          <w:sz w:val="28"/>
          <w:szCs w:val="24"/>
        </w:rPr>
        <w:t>оставляют услуги. В Т</w:t>
      </w:r>
      <w:r w:rsidR="00974584" w:rsidRPr="00DF7224">
        <w:rPr>
          <w:rFonts w:ascii="Times New Roman" w:hAnsi="Times New Roman" w:cs="Times New Roman"/>
          <w:color w:val="000000" w:themeColor="text1"/>
          <w:sz w:val="28"/>
          <w:szCs w:val="24"/>
        </w:rPr>
        <w:t>аблице 1.5</w:t>
      </w:r>
      <w:r w:rsidRPr="00DF7224">
        <w:rPr>
          <w:rFonts w:ascii="Times New Roman" w:hAnsi="Times New Roman" w:cs="Times New Roman"/>
          <w:color w:val="000000" w:themeColor="text1"/>
          <w:sz w:val="28"/>
          <w:szCs w:val="24"/>
        </w:rPr>
        <w:t xml:space="preserve"> показана отраслевая структура ВВП Испании с 2013 по 2017 г</w:t>
      </w:r>
      <w:r w:rsidR="007E0CA0" w:rsidRPr="00DF7224">
        <w:rPr>
          <w:rFonts w:ascii="Times New Roman" w:hAnsi="Times New Roman" w:cs="Times New Roman"/>
          <w:color w:val="000000" w:themeColor="text1"/>
          <w:sz w:val="28"/>
          <w:szCs w:val="24"/>
        </w:rPr>
        <w:t>г</w:t>
      </w:r>
      <w:r w:rsidRPr="00DF7224">
        <w:rPr>
          <w:rFonts w:ascii="Times New Roman" w:hAnsi="Times New Roman" w:cs="Times New Roman"/>
          <w:color w:val="000000" w:themeColor="text1"/>
          <w:sz w:val="28"/>
          <w:szCs w:val="24"/>
        </w:rPr>
        <w:t>.</w:t>
      </w:r>
      <w:r w:rsidR="00F60838" w:rsidRPr="00DF7224">
        <w:rPr>
          <w:rFonts w:ascii="Times New Roman" w:hAnsi="Times New Roman" w:cs="Times New Roman"/>
          <w:color w:val="000000" w:themeColor="text1"/>
          <w:sz w:val="28"/>
          <w:szCs w:val="24"/>
        </w:rPr>
        <w:t xml:space="preserve"> За рассматриваемый период структура ВВП не изменилась. Услуги соста</w:t>
      </w:r>
      <w:r w:rsidR="00A35E02" w:rsidRPr="00DF7224">
        <w:rPr>
          <w:rFonts w:ascii="Times New Roman" w:hAnsi="Times New Roman" w:cs="Times New Roman"/>
          <w:color w:val="000000" w:themeColor="text1"/>
          <w:sz w:val="28"/>
          <w:szCs w:val="24"/>
        </w:rPr>
        <w:t xml:space="preserve">вляют около 73%, промышленность – </w:t>
      </w:r>
      <w:r w:rsidR="00DE3497" w:rsidRPr="00DF7224">
        <w:rPr>
          <w:rFonts w:ascii="Times New Roman" w:hAnsi="Times New Roman" w:cs="Times New Roman"/>
          <w:color w:val="000000" w:themeColor="text1"/>
          <w:sz w:val="28"/>
          <w:szCs w:val="24"/>
        </w:rPr>
        <w:t>24</w:t>
      </w:r>
      <w:r w:rsidR="00F60838" w:rsidRPr="00DF7224">
        <w:rPr>
          <w:rFonts w:ascii="Times New Roman" w:hAnsi="Times New Roman" w:cs="Times New Roman"/>
          <w:color w:val="000000" w:themeColor="text1"/>
          <w:sz w:val="28"/>
          <w:szCs w:val="24"/>
        </w:rPr>
        <w:t>%. Наименьшую долю в ВВП составляет сель</w:t>
      </w:r>
      <w:r w:rsidR="00DE3497" w:rsidRPr="00DF7224">
        <w:rPr>
          <w:rFonts w:ascii="Times New Roman" w:hAnsi="Times New Roman" w:cs="Times New Roman"/>
          <w:color w:val="000000" w:themeColor="text1"/>
          <w:sz w:val="28"/>
          <w:szCs w:val="24"/>
        </w:rPr>
        <w:t>ское хозяйство – около 3</w:t>
      </w:r>
      <w:r w:rsidR="00F60838" w:rsidRPr="00DF7224">
        <w:rPr>
          <w:rFonts w:ascii="Times New Roman" w:hAnsi="Times New Roman" w:cs="Times New Roman"/>
          <w:color w:val="000000" w:themeColor="text1"/>
          <w:sz w:val="28"/>
          <w:szCs w:val="24"/>
        </w:rPr>
        <w:t>%. Но, несмотря на такую маленькую долю в структуре ВВП, сельское хозяйство играет значимую роль в испанской экономике</w:t>
      </w:r>
      <w:r w:rsidR="00093EB1" w:rsidRPr="00DF7224">
        <w:rPr>
          <w:rFonts w:ascii="Times New Roman" w:hAnsi="Times New Roman" w:cs="Times New Roman"/>
          <w:color w:val="000000" w:themeColor="text1"/>
          <w:sz w:val="28"/>
          <w:szCs w:val="24"/>
        </w:rPr>
        <w:t xml:space="preserve"> – посевн</w:t>
      </w:r>
      <w:r w:rsidR="00DE3497" w:rsidRPr="00DF7224">
        <w:rPr>
          <w:rFonts w:ascii="Times New Roman" w:hAnsi="Times New Roman" w:cs="Times New Roman"/>
          <w:color w:val="000000" w:themeColor="text1"/>
          <w:sz w:val="28"/>
          <w:szCs w:val="24"/>
        </w:rPr>
        <w:t>ые площади занимают примерно 25</w:t>
      </w:r>
      <w:r w:rsidR="00093EB1" w:rsidRPr="00DF7224">
        <w:rPr>
          <w:rFonts w:ascii="Times New Roman" w:hAnsi="Times New Roman" w:cs="Times New Roman"/>
          <w:color w:val="000000" w:themeColor="text1"/>
          <w:sz w:val="28"/>
          <w:szCs w:val="24"/>
        </w:rPr>
        <w:t>% от земель</w:t>
      </w:r>
      <w:r w:rsidR="0037606A" w:rsidRPr="00DF7224">
        <w:rPr>
          <w:rFonts w:ascii="Times New Roman" w:hAnsi="Times New Roman" w:cs="Times New Roman"/>
          <w:color w:val="000000" w:themeColor="text1"/>
          <w:sz w:val="28"/>
          <w:szCs w:val="24"/>
        </w:rPr>
        <w:t>ной площади страны</w:t>
      </w:r>
      <w:r w:rsidR="00F60838" w:rsidRPr="00DF7224">
        <w:rPr>
          <w:rFonts w:ascii="Times New Roman" w:hAnsi="Times New Roman" w:cs="Times New Roman"/>
          <w:color w:val="000000" w:themeColor="text1"/>
          <w:sz w:val="28"/>
          <w:szCs w:val="24"/>
        </w:rPr>
        <w:t>.</w:t>
      </w:r>
    </w:p>
    <w:p w:rsidR="007E0CA0" w:rsidRPr="00DF7224" w:rsidRDefault="007E0CA0" w:rsidP="007E0CA0">
      <w:pPr>
        <w:spacing w:after="0" w:line="360" w:lineRule="auto"/>
        <w:ind w:firstLine="709"/>
        <w:jc w:val="both"/>
        <w:rPr>
          <w:rFonts w:ascii="Times New Roman" w:hAnsi="Times New Roman" w:cs="Times New Roman"/>
          <w:color w:val="000000" w:themeColor="text1"/>
          <w:sz w:val="28"/>
          <w:szCs w:val="24"/>
        </w:rPr>
      </w:pPr>
    </w:p>
    <w:p w:rsidR="007E0CA0" w:rsidRPr="00DF7224" w:rsidRDefault="000A31BD" w:rsidP="0062016E">
      <w:pPr>
        <w:spacing w:after="0" w:line="360" w:lineRule="auto"/>
        <w:ind w:firstLine="709"/>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Таблица 1.</w:t>
      </w:r>
      <w:r w:rsidR="00974584" w:rsidRPr="00DF7224">
        <w:rPr>
          <w:rFonts w:ascii="Times New Roman" w:hAnsi="Times New Roman" w:cs="Times New Roman"/>
          <w:color w:val="000000" w:themeColor="text1"/>
          <w:sz w:val="28"/>
          <w:szCs w:val="24"/>
        </w:rPr>
        <w:t>5</w:t>
      </w:r>
      <w:r w:rsidRPr="00DF7224">
        <w:rPr>
          <w:rFonts w:ascii="Times New Roman" w:hAnsi="Times New Roman" w:cs="Times New Roman"/>
          <w:color w:val="000000" w:themeColor="text1"/>
          <w:sz w:val="28"/>
          <w:szCs w:val="24"/>
        </w:rPr>
        <w:t xml:space="preserve"> – </w:t>
      </w:r>
      <w:r w:rsidR="004A3A75" w:rsidRPr="00DF7224">
        <w:rPr>
          <w:rFonts w:ascii="Times New Roman" w:hAnsi="Times New Roman" w:cs="Times New Roman"/>
          <w:color w:val="000000" w:themeColor="text1"/>
          <w:sz w:val="28"/>
          <w:szCs w:val="24"/>
        </w:rPr>
        <w:t>Отраслевая структура ВВП Исп</w:t>
      </w:r>
      <w:r w:rsidR="00875291" w:rsidRPr="00DF7224">
        <w:rPr>
          <w:rFonts w:ascii="Times New Roman" w:hAnsi="Times New Roman" w:cs="Times New Roman"/>
          <w:color w:val="000000" w:themeColor="text1"/>
          <w:sz w:val="28"/>
          <w:szCs w:val="24"/>
        </w:rPr>
        <w:t>ании</w:t>
      </w:r>
      <w:r w:rsidRPr="00DF7224">
        <w:rPr>
          <w:rFonts w:ascii="Times New Roman" w:hAnsi="Times New Roman" w:cs="Times New Roman"/>
          <w:color w:val="000000" w:themeColor="text1"/>
          <w:sz w:val="28"/>
          <w:szCs w:val="24"/>
        </w:rPr>
        <w:t>, 2013-2017</w:t>
      </w:r>
      <w:r w:rsidR="0042299A" w:rsidRPr="00DF7224">
        <w:rPr>
          <w:rFonts w:ascii="Times New Roman" w:hAnsi="Times New Roman" w:cs="Times New Roman"/>
          <w:color w:val="000000" w:themeColor="text1"/>
          <w:sz w:val="28"/>
          <w:szCs w:val="24"/>
        </w:rPr>
        <w:t xml:space="preserve"> гг.</w:t>
      </w:r>
      <w:r w:rsidR="001933B6" w:rsidRPr="00DF7224">
        <w:rPr>
          <w:rFonts w:ascii="Times New Roman" w:hAnsi="Times New Roman" w:cs="Times New Roman"/>
          <w:color w:val="000000" w:themeColor="text1"/>
          <w:sz w:val="28"/>
          <w:szCs w:val="24"/>
        </w:rPr>
        <w:t>(</w:t>
      </w:r>
      <w:r w:rsidR="004A3A75" w:rsidRPr="00DF7224">
        <w:rPr>
          <w:rFonts w:ascii="Times New Roman" w:hAnsi="Times New Roman" w:cs="Times New Roman"/>
          <w:color w:val="000000" w:themeColor="text1"/>
          <w:sz w:val="28"/>
          <w:szCs w:val="24"/>
        </w:rPr>
        <w:t>%)</w:t>
      </w:r>
    </w:p>
    <w:tbl>
      <w:tblPr>
        <w:tblStyle w:val="120"/>
        <w:tblW w:w="3145" w:type="pct"/>
        <w:jc w:val="center"/>
        <w:tblLook w:val="04A0" w:firstRow="1" w:lastRow="0" w:firstColumn="1" w:lastColumn="0" w:noHBand="0" w:noVBand="1"/>
      </w:tblPr>
      <w:tblGrid>
        <w:gridCol w:w="2240"/>
        <w:gridCol w:w="756"/>
        <w:gridCol w:w="756"/>
        <w:gridCol w:w="756"/>
        <w:gridCol w:w="756"/>
        <w:gridCol w:w="756"/>
      </w:tblGrid>
      <w:tr w:rsidR="00875291" w:rsidRPr="00DF7224" w:rsidTr="00846B31">
        <w:trPr>
          <w:trHeight w:val="315"/>
          <w:jc w:val="center"/>
        </w:trPr>
        <w:tc>
          <w:tcPr>
            <w:tcW w:w="1860" w:type="pct"/>
            <w:noWrap/>
            <w:vAlign w:val="center"/>
            <w:hideMark/>
          </w:tcPr>
          <w:p w:rsidR="00875291" w:rsidRPr="00DF7224" w:rsidRDefault="008164E2"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Отрасль/</w:t>
            </w:r>
            <w:r w:rsidR="00875291" w:rsidRPr="00DF7224">
              <w:rPr>
                <w:rFonts w:ascii="Times New Roman" w:hAnsi="Times New Roman" w:cs="Times New Roman"/>
                <w:bCs/>
                <w:sz w:val="24"/>
                <w:szCs w:val="20"/>
              </w:rPr>
              <w:t>Год</w:t>
            </w:r>
          </w:p>
        </w:tc>
        <w:tc>
          <w:tcPr>
            <w:tcW w:w="628" w:type="pct"/>
            <w:noWrap/>
            <w:vAlign w:val="center"/>
            <w:hideMark/>
          </w:tcPr>
          <w:p w:rsidR="00875291" w:rsidRPr="00DF7224" w:rsidRDefault="00875291"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2013</w:t>
            </w:r>
          </w:p>
        </w:tc>
        <w:tc>
          <w:tcPr>
            <w:tcW w:w="628" w:type="pct"/>
            <w:noWrap/>
            <w:vAlign w:val="center"/>
            <w:hideMark/>
          </w:tcPr>
          <w:p w:rsidR="00875291" w:rsidRPr="00DF7224" w:rsidRDefault="00875291"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2014</w:t>
            </w:r>
          </w:p>
        </w:tc>
        <w:tc>
          <w:tcPr>
            <w:tcW w:w="628" w:type="pct"/>
            <w:noWrap/>
            <w:vAlign w:val="center"/>
            <w:hideMark/>
          </w:tcPr>
          <w:p w:rsidR="00875291" w:rsidRPr="00DF7224" w:rsidRDefault="00875291"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2015</w:t>
            </w:r>
          </w:p>
        </w:tc>
        <w:tc>
          <w:tcPr>
            <w:tcW w:w="628" w:type="pct"/>
            <w:vAlign w:val="center"/>
          </w:tcPr>
          <w:p w:rsidR="00875291" w:rsidRPr="00DF7224" w:rsidRDefault="00875291"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2016</w:t>
            </w:r>
          </w:p>
        </w:tc>
        <w:tc>
          <w:tcPr>
            <w:tcW w:w="628" w:type="pct"/>
            <w:vAlign w:val="center"/>
          </w:tcPr>
          <w:p w:rsidR="00875291" w:rsidRPr="00DF7224" w:rsidRDefault="00875291"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2017</w:t>
            </w:r>
          </w:p>
        </w:tc>
      </w:tr>
      <w:tr w:rsidR="00652753" w:rsidRPr="00DF7224" w:rsidTr="00846B31">
        <w:trPr>
          <w:trHeight w:val="315"/>
          <w:jc w:val="center"/>
        </w:trPr>
        <w:tc>
          <w:tcPr>
            <w:tcW w:w="1860" w:type="pct"/>
            <w:noWrap/>
            <w:vAlign w:val="center"/>
            <w:hideMark/>
          </w:tcPr>
          <w:p w:rsidR="00652753" w:rsidRPr="00DF7224" w:rsidRDefault="00652753"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Сельское хозяйство</w:t>
            </w:r>
          </w:p>
        </w:tc>
        <w:tc>
          <w:tcPr>
            <w:tcW w:w="628" w:type="pct"/>
            <w:noWrap/>
            <w:vAlign w:val="center"/>
            <w:hideMark/>
          </w:tcPr>
          <w:p w:rsidR="00652753" w:rsidRPr="00DF7224" w:rsidRDefault="00652753"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w:t>
            </w:r>
            <w:r w:rsidR="008164E2" w:rsidRPr="00DF7224">
              <w:rPr>
                <w:rFonts w:ascii="Times New Roman" w:hAnsi="Times New Roman" w:cs="Times New Roman"/>
                <w:color w:val="000000"/>
                <w:sz w:val="24"/>
              </w:rPr>
              <w:t>7</w:t>
            </w:r>
            <w:r w:rsidRPr="00DF7224">
              <w:rPr>
                <w:rFonts w:ascii="Times New Roman" w:hAnsi="Times New Roman" w:cs="Times New Roman"/>
                <w:color w:val="000000"/>
                <w:sz w:val="24"/>
              </w:rPr>
              <w:t>5</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2,67</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2,87</w:t>
            </w:r>
          </w:p>
        </w:tc>
        <w:tc>
          <w:tcPr>
            <w:tcW w:w="628" w:type="pct"/>
            <w:vAlign w:val="center"/>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2,97</w:t>
            </w:r>
          </w:p>
        </w:tc>
        <w:tc>
          <w:tcPr>
            <w:tcW w:w="628" w:type="pct"/>
            <w:vAlign w:val="center"/>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w:t>
            </w:r>
            <w:r w:rsidR="00652753" w:rsidRPr="00DF7224">
              <w:rPr>
                <w:rFonts w:ascii="Times New Roman" w:hAnsi="Times New Roman" w:cs="Times New Roman"/>
                <w:color w:val="000000"/>
                <w:sz w:val="24"/>
              </w:rPr>
              <w:t>9</w:t>
            </w:r>
            <w:r w:rsidRPr="00DF7224">
              <w:rPr>
                <w:rFonts w:ascii="Times New Roman" w:hAnsi="Times New Roman" w:cs="Times New Roman"/>
                <w:color w:val="000000"/>
                <w:sz w:val="24"/>
              </w:rPr>
              <w:t>6</w:t>
            </w:r>
          </w:p>
        </w:tc>
      </w:tr>
      <w:tr w:rsidR="00652753" w:rsidRPr="00DF7224" w:rsidTr="00846B31">
        <w:trPr>
          <w:trHeight w:val="315"/>
          <w:jc w:val="center"/>
        </w:trPr>
        <w:tc>
          <w:tcPr>
            <w:tcW w:w="1860" w:type="pct"/>
            <w:noWrap/>
            <w:vAlign w:val="center"/>
            <w:hideMark/>
          </w:tcPr>
          <w:p w:rsidR="00652753" w:rsidRPr="00DF7224" w:rsidRDefault="00652753"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Промышленность</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23,29</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23,19</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23,27</w:t>
            </w:r>
          </w:p>
        </w:tc>
        <w:tc>
          <w:tcPr>
            <w:tcW w:w="628" w:type="pct"/>
            <w:vAlign w:val="center"/>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23,46</w:t>
            </w:r>
          </w:p>
        </w:tc>
        <w:tc>
          <w:tcPr>
            <w:tcW w:w="628" w:type="pct"/>
            <w:vAlign w:val="center"/>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24,13</w:t>
            </w:r>
          </w:p>
        </w:tc>
      </w:tr>
      <w:tr w:rsidR="00652753" w:rsidRPr="00DF7224" w:rsidTr="00846B31">
        <w:trPr>
          <w:trHeight w:val="315"/>
          <w:jc w:val="center"/>
        </w:trPr>
        <w:tc>
          <w:tcPr>
            <w:tcW w:w="1860" w:type="pct"/>
            <w:noWrap/>
            <w:vAlign w:val="center"/>
            <w:hideMark/>
          </w:tcPr>
          <w:p w:rsidR="00652753" w:rsidRPr="00DF7224" w:rsidRDefault="00652753" w:rsidP="007E0CA0">
            <w:pPr>
              <w:spacing w:line="360" w:lineRule="auto"/>
              <w:jc w:val="center"/>
              <w:rPr>
                <w:rFonts w:ascii="Times New Roman" w:hAnsi="Times New Roman" w:cs="Times New Roman"/>
                <w:bCs/>
                <w:sz w:val="24"/>
                <w:szCs w:val="20"/>
              </w:rPr>
            </w:pPr>
            <w:r w:rsidRPr="00DF7224">
              <w:rPr>
                <w:rFonts w:ascii="Times New Roman" w:hAnsi="Times New Roman" w:cs="Times New Roman"/>
                <w:bCs/>
                <w:sz w:val="24"/>
                <w:szCs w:val="20"/>
              </w:rPr>
              <w:t>Услуги</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lang w:val="en-US"/>
              </w:rPr>
            </w:pPr>
            <w:r w:rsidRPr="00DF7224">
              <w:rPr>
                <w:rFonts w:ascii="Times New Roman" w:hAnsi="Times New Roman" w:cs="Times New Roman"/>
                <w:color w:val="000000"/>
                <w:sz w:val="24"/>
              </w:rPr>
              <w:t>73,96</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74,14</w:t>
            </w:r>
          </w:p>
        </w:tc>
        <w:tc>
          <w:tcPr>
            <w:tcW w:w="628" w:type="pct"/>
            <w:noWrap/>
            <w:vAlign w:val="center"/>
            <w:hideMark/>
          </w:tcPr>
          <w:p w:rsidR="00652753" w:rsidRPr="00DF7224" w:rsidRDefault="008164E2"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73,86</w:t>
            </w:r>
          </w:p>
        </w:tc>
        <w:tc>
          <w:tcPr>
            <w:tcW w:w="628" w:type="pct"/>
            <w:vAlign w:val="center"/>
          </w:tcPr>
          <w:p w:rsidR="00652753" w:rsidRPr="00DF7224" w:rsidRDefault="007D5E75"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73,58</w:t>
            </w:r>
          </w:p>
        </w:tc>
        <w:tc>
          <w:tcPr>
            <w:tcW w:w="628" w:type="pct"/>
            <w:vAlign w:val="center"/>
          </w:tcPr>
          <w:p w:rsidR="00652753" w:rsidRPr="00DF7224" w:rsidRDefault="007D5E75" w:rsidP="007E0CA0">
            <w:pPr>
              <w:jc w:val="center"/>
              <w:rPr>
                <w:rFonts w:ascii="Times New Roman" w:hAnsi="Times New Roman" w:cs="Times New Roman"/>
                <w:color w:val="000000"/>
                <w:sz w:val="24"/>
                <w:szCs w:val="24"/>
              </w:rPr>
            </w:pPr>
            <w:r w:rsidRPr="00DF7224">
              <w:rPr>
                <w:rFonts w:ascii="Times New Roman" w:hAnsi="Times New Roman" w:cs="Times New Roman"/>
                <w:color w:val="000000"/>
                <w:sz w:val="24"/>
              </w:rPr>
              <w:t>72,91</w:t>
            </w:r>
          </w:p>
        </w:tc>
      </w:tr>
    </w:tbl>
    <w:p w:rsidR="00093EB1" w:rsidRPr="00DF7224" w:rsidRDefault="000A31BD" w:rsidP="007E0CA0">
      <w:pPr>
        <w:spacing w:after="0" w:line="240" w:lineRule="auto"/>
        <w:ind w:firstLine="709"/>
        <w:rPr>
          <w:rFonts w:ascii="Times New Roman" w:hAnsi="Times New Roman" w:cs="Times New Roman"/>
          <w:color w:val="000000" w:themeColor="text1"/>
          <w:sz w:val="20"/>
          <w:szCs w:val="24"/>
          <w:lang w:val="en-US"/>
        </w:rPr>
      </w:pPr>
      <w:r w:rsidRPr="00DF7224">
        <w:rPr>
          <w:rFonts w:ascii="Times New Roman" w:hAnsi="Times New Roman" w:cs="Times New Roman"/>
          <w:i/>
          <w:color w:val="000000" w:themeColor="text1"/>
          <w:sz w:val="20"/>
          <w:szCs w:val="24"/>
        </w:rPr>
        <w:t>Источник</w:t>
      </w:r>
      <w:r w:rsidRPr="00DF7224">
        <w:rPr>
          <w:rFonts w:ascii="Times New Roman" w:hAnsi="Times New Roman" w:cs="Times New Roman"/>
          <w:i/>
          <w:color w:val="000000" w:themeColor="text1"/>
          <w:sz w:val="20"/>
          <w:szCs w:val="24"/>
          <w:lang w:val="en-US"/>
        </w:rPr>
        <w:t>:</w:t>
      </w:r>
      <w:r w:rsidRPr="00DF7224">
        <w:rPr>
          <w:rFonts w:ascii="Times New Roman" w:hAnsi="Times New Roman" w:cs="Times New Roman"/>
          <w:color w:val="000000" w:themeColor="text1"/>
          <w:sz w:val="20"/>
          <w:szCs w:val="24"/>
          <w:lang w:val="en-US"/>
        </w:rPr>
        <w:t xml:space="preserve"> </w:t>
      </w:r>
      <w:r w:rsidR="007D5E75" w:rsidRPr="00DF7224">
        <w:rPr>
          <w:rFonts w:ascii="Times New Roman" w:hAnsi="Times New Roman" w:cs="Times New Roman"/>
          <w:color w:val="000000" w:themeColor="text1"/>
          <w:sz w:val="20"/>
          <w:szCs w:val="24"/>
          <w:lang w:val="en-US"/>
        </w:rPr>
        <w:t>The World Bank, G</w:t>
      </w:r>
      <w:r w:rsidR="009E7383" w:rsidRPr="00DF7224">
        <w:rPr>
          <w:rFonts w:ascii="Times New Roman" w:hAnsi="Times New Roman" w:cs="Times New Roman"/>
          <w:color w:val="000000" w:themeColor="text1"/>
          <w:sz w:val="20"/>
          <w:szCs w:val="24"/>
          <w:lang w:val="en-US"/>
        </w:rPr>
        <w:t>ross domestic product: GDP by type of expenditure, VA by kind of economic activity, total and shares, annual </w:t>
      </w:r>
    </w:p>
    <w:p w:rsidR="007E0CA0" w:rsidRPr="00DF7224" w:rsidRDefault="007E0CA0" w:rsidP="0037606A">
      <w:pPr>
        <w:spacing w:after="0" w:line="240" w:lineRule="auto"/>
        <w:rPr>
          <w:rFonts w:ascii="Times New Roman" w:hAnsi="Times New Roman" w:cs="Times New Roman"/>
          <w:color w:val="000000" w:themeColor="text1"/>
          <w:sz w:val="24"/>
          <w:szCs w:val="24"/>
          <w:lang w:val="en-US"/>
        </w:rPr>
      </w:pPr>
    </w:p>
    <w:p w:rsidR="00846B31" w:rsidRPr="00DF7224" w:rsidRDefault="00846B31" w:rsidP="007E0CA0">
      <w:pPr>
        <w:spacing w:after="0" w:line="360" w:lineRule="auto"/>
        <w:ind w:firstLine="709"/>
        <w:jc w:val="both"/>
        <w:rPr>
          <w:rFonts w:ascii="Times New Roman" w:hAnsi="Times New Roman" w:cs="Times New Roman"/>
          <w:sz w:val="28"/>
          <w:szCs w:val="28"/>
          <w:shd w:val="clear" w:color="auto" w:fill="FFFFFF"/>
        </w:rPr>
      </w:pPr>
      <w:r w:rsidRPr="00DF7224">
        <w:rPr>
          <w:rFonts w:ascii="Times New Roman" w:hAnsi="Times New Roman" w:cs="Times New Roman"/>
          <w:sz w:val="28"/>
          <w:szCs w:val="28"/>
          <w:shd w:val="clear" w:color="auto" w:fill="FFFFFF"/>
        </w:rPr>
        <w:t>Про</w:t>
      </w:r>
      <w:r w:rsidR="00DE3497" w:rsidRPr="00DF7224">
        <w:rPr>
          <w:rFonts w:ascii="Times New Roman" w:hAnsi="Times New Roman" w:cs="Times New Roman"/>
          <w:sz w:val="28"/>
          <w:szCs w:val="28"/>
          <w:shd w:val="clear" w:color="auto" w:fill="FFFFFF"/>
        </w:rPr>
        <w:t>мышленность составляет около 25</w:t>
      </w:r>
      <w:r w:rsidRPr="00DF7224">
        <w:rPr>
          <w:rFonts w:ascii="Times New Roman" w:hAnsi="Times New Roman" w:cs="Times New Roman"/>
          <w:sz w:val="28"/>
          <w:szCs w:val="28"/>
          <w:shd w:val="clear" w:color="auto" w:fill="FFFFFF"/>
        </w:rPr>
        <w:t xml:space="preserve">% в структуре ВВП. Секторами промышленности, которые вносят основной вклад в ВВП Испании, являются: автомобилестроение, аэрокосмическая промышленность, судостроение, химическая и фармацевтическая промышленность. Основной целью промышленной политики Испании в 2017 г. продолжал являться рост доли промышленного производства в ВВП и создание новых рабочих мест. Для </w:t>
      </w:r>
      <w:r w:rsidRPr="00DF7224">
        <w:rPr>
          <w:rFonts w:ascii="Times New Roman" w:hAnsi="Times New Roman" w:cs="Times New Roman"/>
          <w:sz w:val="28"/>
          <w:szCs w:val="28"/>
          <w:shd w:val="clear" w:color="auto" w:fill="FFFFFF"/>
        </w:rPr>
        <w:lastRenderedPageBreak/>
        <w:t>достижения вышеуказанных целей продолжал реализовываться План конкретных действий «Укрепление промышленного сектора Испании», принятый Советом министров Испании еще 11.06.2014 года[</w:t>
      </w:r>
      <w:r w:rsidR="00C71397" w:rsidRPr="00DF7224">
        <w:rPr>
          <w:rFonts w:ascii="Times New Roman" w:hAnsi="Times New Roman" w:cs="Times New Roman"/>
          <w:sz w:val="28"/>
          <w:szCs w:val="28"/>
          <w:shd w:val="clear" w:color="auto" w:fill="FFFFFF"/>
        </w:rPr>
        <w:t>24</w:t>
      </w:r>
      <w:r w:rsidRPr="00DF7224">
        <w:rPr>
          <w:rFonts w:ascii="Times New Roman" w:hAnsi="Times New Roman" w:cs="Times New Roman"/>
          <w:sz w:val="28"/>
          <w:szCs w:val="28"/>
          <w:shd w:val="clear" w:color="auto" w:fill="FFFFFF"/>
        </w:rPr>
        <w:t>], который содержит следующие основные задачи:</w:t>
      </w:r>
    </w:p>
    <w:p w:rsidR="00846B31" w:rsidRPr="00DF7224" w:rsidRDefault="00846B31" w:rsidP="007E0CA0">
      <w:pPr>
        <w:pStyle w:val="aa"/>
        <w:numPr>
          <w:ilvl w:val="0"/>
          <w:numId w:val="15"/>
        </w:numPr>
        <w:spacing w:after="0" w:line="360" w:lineRule="auto"/>
        <w:jc w:val="both"/>
        <w:rPr>
          <w:rFonts w:ascii="Times New Roman" w:hAnsi="Times New Roman" w:cs="Times New Roman"/>
          <w:sz w:val="28"/>
          <w:szCs w:val="28"/>
          <w:shd w:val="clear" w:color="auto" w:fill="FFFFFF"/>
        </w:rPr>
      </w:pPr>
      <w:r w:rsidRPr="00DF7224">
        <w:rPr>
          <w:rFonts w:ascii="Times New Roman" w:hAnsi="Times New Roman" w:cs="Times New Roman"/>
          <w:sz w:val="28"/>
          <w:szCs w:val="28"/>
          <w:shd w:val="clear" w:color="auto" w:fill="FFFFFF"/>
        </w:rPr>
        <w:t>Стимулирование спроса на промышленную продукцию (рост потребления продуктов «</w:t>
      </w:r>
      <w:r w:rsidRPr="00DF7224">
        <w:rPr>
          <w:rFonts w:ascii="Times New Roman" w:hAnsi="Times New Roman" w:cs="Times New Roman"/>
          <w:sz w:val="28"/>
          <w:szCs w:val="28"/>
          <w:shd w:val="clear" w:color="auto" w:fill="FFFFFF"/>
          <w:lang w:val="en-US"/>
        </w:rPr>
        <w:t>Made</w:t>
      </w:r>
      <w:r w:rsidRPr="00DF7224">
        <w:rPr>
          <w:rFonts w:ascii="Times New Roman" w:hAnsi="Times New Roman" w:cs="Times New Roman"/>
          <w:sz w:val="28"/>
          <w:szCs w:val="28"/>
          <w:shd w:val="clear" w:color="auto" w:fill="FFFFFF"/>
        </w:rPr>
        <w:t xml:space="preserve"> </w:t>
      </w:r>
      <w:r w:rsidRPr="00DF7224">
        <w:rPr>
          <w:rFonts w:ascii="Times New Roman" w:hAnsi="Times New Roman" w:cs="Times New Roman"/>
          <w:sz w:val="28"/>
          <w:szCs w:val="28"/>
          <w:shd w:val="clear" w:color="auto" w:fill="FFFFFF"/>
          <w:lang w:val="en-US"/>
        </w:rPr>
        <w:t>in</w:t>
      </w:r>
      <w:r w:rsidRPr="00DF7224">
        <w:rPr>
          <w:rFonts w:ascii="Times New Roman" w:hAnsi="Times New Roman" w:cs="Times New Roman"/>
          <w:sz w:val="28"/>
          <w:szCs w:val="28"/>
          <w:shd w:val="clear" w:color="auto" w:fill="FFFFFF"/>
        </w:rPr>
        <w:t xml:space="preserve"> </w:t>
      </w:r>
      <w:r w:rsidRPr="00DF7224">
        <w:rPr>
          <w:rFonts w:ascii="Times New Roman" w:hAnsi="Times New Roman" w:cs="Times New Roman"/>
          <w:sz w:val="28"/>
          <w:szCs w:val="28"/>
          <w:shd w:val="clear" w:color="auto" w:fill="FFFFFF"/>
          <w:lang w:val="en-US"/>
        </w:rPr>
        <w:t>Spain</w:t>
      </w:r>
      <w:r w:rsidRPr="00DF7224">
        <w:rPr>
          <w:rFonts w:ascii="Times New Roman" w:hAnsi="Times New Roman" w:cs="Times New Roman"/>
          <w:sz w:val="28"/>
          <w:szCs w:val="28"/>
          <w:shd w:val="clear" w:color="auto" w:fill="FFFFFF"/>
        </w:rPr>
        <w:t>»).</w:t>
      </w:r>
    </w:p>
    <w:p w:rsidR="00846B31" w:rsidRPr="00DF7224" w:rsidRDefault="00846B31" w:rsidP="007E0CA0">
      <w:pPr>
        <w:pStyle w:val="aa"/>
        <w:numPr>
          <w:ilvl w:val="0"/>
          <w:numId w:val="15"/>
        </w:numPr>
        <w:spacing w:after="0" w:line="360" w:lineRule="auto"/>
        <w:jc w:val="both"/>
        <w:rPr>
          <w:rFonts w:ascii="Times New Roman" w:hAnsi="Times New Roman" w:cs="Times New Roman"/>
          <w:sz w:val="28"/>
          <w:szCs w:val="28"/>
          <w:shd w:val="clear" w:color="auto" w:fill="FFFFFF"/>
        </w:rPr>
      </w:pPr>
      <w:r w:rsidRPr="00DF7224">
        <w:rPr>
          <w:rFonts w:ascii="Times New Roman" w:hAnsi="Times New Roman" w:cs="Times New Roman"/>
          <w:sz w:val="28"/>
          <w:szCs w:val="28"/>
          <w:shd w:val="clear" w:color="auto" w:fill="FFFFFF"/>
        </w:rPr>
        <w:t>Улучшение конкурентоспособности ключевых факторов (Испания должна использовать свое благоприятное географическое положение как мост между Европой и Северной Африкой, а также Латинской Америкой).</w:t>
      </w:r>
    </w:p>
    <w:p w:rsidR="00846B31" w:rsidRPr="00DF7224" w:rsidRDefault="00846B31" w:rsidP="007E0CA0">
      <w:pPr>
        <w:pStyle w:val="aa"/>
        <w:numPr>
          <w:ilvl w:val="0"/>
          <w:numId w:val="15"/>
        </w:numPr>
        <w:spacing w:after="0" w:line="360" w:lineRule="auto"/>
        <w:jc w:val="both"/>
        <w:rPr>
          <w:rFonts w:ascii="Times New Roman" w:hAnsi="Times New Roman" w:cs="Times New Roman"/>
          <w:sz w:val="28"/>
          <w:szCs w:val="28"/>
          <w:shd w:val="clear" w:color="auto" w:fill="FFFFFF"/>
        </w:rPr>
      </w:pPr>
      <w:r w:rsidRPr="00DF7224">
        <w:rPr>
          <w:rFonts w:ascii="Times New Roman" w:hAnsi="Times New Roman" w:cs="Times New Roman"/>
          <w:sz w:val="28"/>
          <w:szCs w:val="28"/>
          <w:shd w:val="clear" w:color="auto" w:fill="FFFFFF"/>
        </w:rPr>
        <w:t>Обеспечение стабильности энергетического рынка, конкурентоспособности энергетических продуктов (сокращение стоимости энергетических продуктов, которые в настоящее время в Испании одни из самых дорогих в Европе).</w:t>
      </w:r>
    </w:p>
    <w:p w:rsidR="00846B31" w:rsidRPr="00DF7224" w:rsidRDefault="00846B31" w:rsidP="007E0CA0">
      <w:pPr>
        <w:pStyle w:val="aa"/>
        <w:numPr>
          <w:ilvl w:val="0"/>
          <w:numId w:val="15"/>
        </w:numPr>
        <w:spacing w:after="0" w:line="360" w:lineRule="auto"/>
        <w:jc w:val="both"/>
        <w:rPr>
          <w:rFonts w:ascii="Times New Roman" w:hAnsi="Times New Roman" w:cs="Times New Roman"/>
          <w:sz w:val="28"/>
          <w:szCs w:val="28"/>
          <w:shd w:val="clear" w:color="auto" w:fill="FFFFFF"/>
        </w:rPr>
      </w:pPr>
      <w:r w:rsidRPr="00DF7224">
        <w:rPr>
          <w:rFonts w:ascii="Times New Roman" w:hAnsi="Times New Roman" w:cs="Times New Roman"/>
          <w:sz w:val="28"/>
          <w:szCs w:val="28"/>
          <w:shd w:val="clear" w:color="auto" w:fill="FFFFFF"/>
        </w:rPr>
        <w:t>Улучшение регуляторики (создание благоприятных условий для привлечения иностранных инвестиций в промышленность).</w:t>
      </w:r>
    </w:p>
    <w:p w:rsidR="00846B31" w:rsidRPr="00DF7224" w:rsidRDefault="00846B31" w:rsidP="007E0CA0">
      <w:pPr>
        <w:pStyle w:val="aa"/>
        <w:numPr>
          <w:ilvl w:val="0"/>
          <w:numId w:val="15"/>
        </w:numPr>
        <w:spacing w:after="0" w:line="360" w:lineRule="auto"/>
        <w:jc w:val="both"/>
        <w:rPr>
          <w:rFonts w:ascii="Times New Roman" w:hAnsi="Times New Roman" w:cs="Times New Roman"/>
          <w:sz w:val="28"/>
          <w:szCs w:val="28"/>
          <w:shd w:val="clear" w:color="auto" w:fill="FFFFFF"/>
        </w:rPr>
      </w:pPr>
      <w:r w:rsidRPr="00DF7224">
        <w:rPr>
          <w:rFonts w:ascii="Times New Roman" w:hAnsi="Times New Roman" w:cs="Times New Roman"/>
          <w:sz w:val="28"/>
          <w:szCs w:val="28"/>
          <w:shd w:val="clear" w:color="auto" w:fill="FFFFFF"/>
        </w:rPr>
        <w:t>Ориентация на инновации (доведение к 2020 году доли инвестиций в инновации до 60%).</w:t>
      </w:r>
    </w:p>
    <w:p w:rsidR="00FE1FA2" w:rsidRPr="00DF7224" w:rsidRDefault="00093EB1" w:rsidP="002C5BF7">
      <w:pPr>
        <w:spacing w:after="0" w:line="360" w:lineRule="auto"/>
        <w:ind w:firstLine="709"/>
        <w:jc w:val="both"/>
        <w:rPr>
          <w:rFonts w:ascii="Times New Roman" w:hAnsi="Times New Roman" w:cs="Times New Roman"/>
          <w:sz w:val="28"/>
          <w:szCs w:val="28"/>
          <w:shd w:val="clear" w:color="auto" w:fill="FFFFFF"/>
        </w:rPr>
      </w:pPr>
      <w:r w:rsidRPr="00DF7224">
        <w:rPr>
          <w:rFonts w:ascii="Times New Roman" w:hAnsi="Times New Roman" w:cs="Times New Roman"/>
          <w:sz w:val="28"/>
          <w:szCs w:val="28"/>
          <w:shd w:val="clear" w:color="auto" w:fill="FFFFFF"/>
        </w:rPr>
        <w:t>Одной из уязвим</w:t>
      </w:r>
      <w:r w:rsidR="006C519B" w:rsidRPr="00DF7224">
        <w:rPr>
          <w:rFonts w:ascii="Times New Roman" w:hAnsi="Times New Roman" w:cs="Times New Roman"/>
          <w:sz w:val="28"/>
          <w:szCs w:val="28"/>
          <w:shd w:val="clear" w:color="auto" w:fill="FFFFFF"/>
        </w:rPr>
        <w:t>ых</w:t>
      </w:r>
      <w:r w:rsidRPr="00DF7224">
        <w:rPr>
          <w:rFonts w:ascii="Times New Roman" w:hAnsi="Times New Roman" w:cs="Times New Roman"/>
          <w:sz w:val="28"/>
          <w:szCs w:val="28"/>
          <w:shd w:val="clear" w:color="auto" w:fill="FFFFFF"/>
        </w:rPr>
        <w:t xml:space="preserve"> проблем в экономике страны остается наличие </w:t>
      </w:r>
      <w:r w:rsidR="007E0CA0" w:rsidRPr="00DF7224">
        <w:rPr>
          <w:rFonts w:ascii="Times New Roman" w:hAnsi="Times New Roman" w:cs="Times New Roman"/>
          <w:sz w:val="28"/>
          <w:szCs w:val="28"/>
          <w:shd w:val="clear" w:color="auto" w:fill="FFFFFF"/>
        </w:rPr>
        <w:t xml:space="preserve">большого государственного долга – динамика которого представлена в Таблице </w:t>
      </w:r>
      <w:r w:rsidR="0037606A" w:rsidRPr="00DF7224">
        <w:rPr>
          <w:rFonts w:ascii="Times New Roman" w:hAnsi="Times New Roman" w:cs="Times New Roman"/>
          <w:sz w:val="28"/>
          <w:szCs w:val="28"/>
          <w:shd w:val="clear" w:color="auto" w:fill="FFFFFF"/>
        </w:rPr>
        <w:t>1.6</w:t>
      </w:r>
      <w:r w:rsidR="002F5125" w:rsidRPr="00DF7224">
        <w:rPr>
          <w:rFonts w:ascii="Times New Roman" w:hAnsi="Times New Roman" w:cs="Times New Roman"/>
          <w:sz w:val="28"/>
          <w:szCs w:val="28"/>
          <w:shd w:val="clear" w:color="auto" w:fill="FFFFFF"/>
        </w:rPr>
        <w:t>.</w:t>
      </w:r>
      <w:r w:rsidR="006C519B" w:rsidRPr="00DF7224">
        <w:rPr>
          <w:rFonts w:ascii="Times New Roman" w:hAnsi="Times New Roman" w:cs="Times New Roman"/>
          <w:sz w:val="28"/>
          <w:szCs w:val="28"/>
          <w:shd w:val="clear" w:color="auto" w:fill="FFFFFF"/>
        </w:rPr>
        <w:t xml:space="preserve"> За 6 лет государственный долг Испании увеличился на 192,2 миллиарда евро.</w:t>
      </w:r>
      <w:r w:rsidR="004D7F36" w:rsidRPr="00DF7224">
        <w:rPr>
          <w:rFonts w:ascii="Times New Roman" w:hAnsi="Times New Roman" w:cs="Times New Roman"/>
          <w:sz w:val="28"/>
          <w:szCs w:val="28"/>
          <w:shd w:val="clear" w:color="auto" w:fill="FFFFFF"/>
        </w:rPr>
        <w:t xml:space="preserve"> Но </w:t>
      </w:r>
      <w:r w:rsidR="00736547" w:rsidRPr="00DF7224">
        <w:rPr>
          <w:rFonts w:ascii="Times New Roman" w:hAnsi="Times New Roman" w:cs="Times New Roman"/>
          <w:sz w:val="28"/>
          <w:szCs w:val="28"/>
          <w:shd w:val="clear" w:color="auto" w:fill="FFFFFF"/>
        </w:rPr>
        <w:t>доля долга от ВВП страны с 2014 года имеет тенден</w:t>
      </w:r>
      <w:r w:rsidR="007E0CA0" w:rsidRPr="00DF7224">
        <w:rPr>
          <w:rFonts w:ascii="Times New Roman" w:hAnsi="Times New Roman" w:cs="Times New Roman"/>
          <w:sz w:val="28"/>
          <w:szCs w:val="28"/>
          <w:shd w:val="clear" w:color="auto" w:fill="FFFFFF"/>
        </w:rPr>
        <w:t>цию к уменьшению. Если в 2014 г. процент долга был равен 100</w:t>
      </w:r>
      <w:r w:rsidR="00736547" w:rsidRPr="00DF7224">
        <w:rPr>
          <w:rFonts w:ascii="Times New Roman" w:hAnsi="Times New Roman" w:cs="Times New Roman"/>
          <w:sz w:val="28"/>
          <w:szCs w:val="28"/>
          <w:shd w:val="clear" w:color="auto" w:fill="FFFFFF"/>
        </w:rPr>
        <w:t xml:space="preserve">, то в 2018 году </w:t>
      </w:r>
      <w:r w:rsidR="007E0CA0" w:rsidRPr="00DF7224">
        <w:rPr>
          <w:rFonts w:ascii="Times New Roman" w:hAnsi="Times New Roman" w:cs="Times New Roman"/>
          <w:sz w:val="28"/>
          <w:szCs w:val="28"/>
          <w:shd w:val="clear" w:color="auto" w:fill="FFFFFF"/>
        </w:rPr>
        <w:t>снизился до 96,9</w:t>
      </w:r>
      <w:r w:rsidR="00736547" w:rsidRPr="00DF7224">
        <w:rPr>
          <w:rFonts w:ascii="Times New Roman" w:hAnsi="Times New Roman" w:cs="Times New Roman"/>
          <w:sz w:val="28"/>
          <w:szCs w:val="28"/>
          <w:shd w:val="clear" w:color="auto" w:fill="FFFFFF"/>
        </w:rPr>
        <w:t xml:space="preserve">%. Стоить отметить, что в Европейском союзе Испания входит в список стран с наибольшим государственным долгом, </w:t>
      </w:r>
      <w:r w:rsidR="002C5BF7" w:rsidRPr="00DF7224">
        <w:rPr>
          <w:rFonts w:ascii="Times New Roman" w:hAnsi="Times New Roman" w:cs="Times New Roman"/>
          <w:sz w:val="28"/>
          <w:szCs w:val="28"/>
          <w:shd w:val="clear" w:color="auto" w:fill="FFFFFF"/>
        </w:rPr>
        <w:t>превышая Маастрихтский норматив ЕС на</w:t>
      </w:r>
      <w:r w:rsidR="004B0A09" w:rsidRPr="00DF7224">
        <w:rPr>
          <w:rFonts w:ascii="Times New Roman" w:hAnsi="Times New Roman" w:cs="Times New Roman"/>
          <w:sz w:val="28"/>
          <w:szCs w:val="28"/>
          <w:shd w:val="clear" w:color="auto" w:fill="FFFFFF"/>
        </w:rPr>
        <w:t xml:space="preserve"> </w:t>
      </w:r>
      <w:r w:rsidR="002C5BF7" w:rsidRPr="00DF7224">
        <w:rPr>
          <w:rFonts w:ascii="Times New Roman" w:hAnsi="Times New Roman" w:cs="Times New Roman"/>
          <w:sz w:val="28"/>
          <w:szCs w:val="28"/>
          <w:shd w:val="clear" w:color="auto" w:fill="FFFFFF"/>
        </w:rPr>
        <w:t xml:space="preserve">36,9%. </w:t>
      </w:r>
    </w:p>
    <w:p w:rsidR="002C5BF7" w:rsidRPr="00DF7224" w:rsidRDefault="002C5BF7" w:rsidP="00EE6DAB">
      <w:pPr>
        <w:spacing w:after="0" w:line="360" w:lineRule="auto"/>
        <w:ind w:firstLine="709"/>
        <w:jc w:val="both"/>
        <w:rPr>
          <w:rFonts w:ascii="Times New Roman" w:hAnsi="Times New Roman" w:cs="Times New Roman"/>
          <w:sz w:val="28"/>
          <w:szCs w:val="28"/>
          <w:shd w:val="clear" w:color="auto" w:fill="FFFFFF"/>
        </w:rPr>
      </w:pPr>
    </w:p>
    <w:p w:rsidR="00D9323E" w:rsidRPr="00DF7224" w:rsidRDefault="00D9323E" w:rsidP="00EE6DAB">
      <w:pPr>
        <w:spacing w:after="0" w:line="360" w:lineRule="auto"/>
        <w:ind w:firstLine="709"/>
        <w:jc w:val="both"/>
        <w:rPr>
          <w:rFonts w:ascii="Times New Roman" w:hAnsi="Times New Roman" w:cs="Times New Roman"/>
          <w:sz w:val="28"/>
          <w:szCs w:val="28"/>
          <w:shd w:val="clear" w:color="auto" w:fill="FFFFFF"/>
        </w:rPr>
      </w:pPr>
    </w:p>
    <w:p w:rsidR="00D9323E" w:rsidRPr="00DF7224" w:rsidRDefault="00D9323E" w:rsidP="00EE6DAB">
      <w:pPr>
        <w:spacing w:after="0" w:line="360" w:lineRule="auto"/>
        <w:ind w:firstLine="709"/>
        <w:jc w:val="both"/>
        <w:rPr>
          <w:rFonts w:ascii="Times New Roman" w:hAnsi="Times New Roman" w:cs="Times New Roman"/>
          <w:sz w:val="28"/>
          <w:szCs w:val="28"/>
          <w:shd w:val="clear" w:color="auto" w:fill="FFFFFF"/>
        </w:rPr>
      </w:pPr>
    </w:p>
    <w:p w:rsidR="00093EB1" w:rsidRPr="00DF7224" w:rsidRDefault="0037606A" w:rsidP="00D41C2B">
      <w:pPr>
        <w:spacing w:after="0" w:line="360" w:lineRule="auto"/>
        <w:ind w:firstLine="709"/>
        <w:rPr>
          <w:rFonts w:ascii="Times New Roman" w:eastAsia="Times New Roman" w:hAnsi="Times New Roman" w:cs="Times New Roman"/>
          <w:sz w:val="28"/>
          <w:szCs w:val="24"/>
          <w:lang w:eastAsia="ru-RU"/>
        </w:rPr>
      </w:pPr>
      <w:r w:rsidRPr="00DF7224">
        <w:rPr>
          <w:rFonts w:ascii="Times New Roman" w:hAnsi="Times New Roman" w:cs="Times New Roman"/>
          <w:sz w:val="28"/>
          <w:szCs w:val="24"/>
        </w:rPr>
        <w:lastRenderedPageBreak/>
        <w:t>Таблица 1.6</w:t>
      </w:r>
      <w:r w:rsidR="002F5125" w:rsidRPr="00DF7224">
        <w:rPr>
          <w:rFonts w:ascii="Times New Roman" w:hAnsi="Times New Roman" w:cs="Times New Roman"/>
          <w:sz w:val="28"/>
          <w:szCs w:val="24"/>
        </w:rPr>
        <w:t xml:space="preserve"> </w:t>
      </w:r>
      <w:r w:rsidR="00093EB1" w:rsidRPr="00DF7224">
        <w:rPr>
          <w:rFonts w:ascii="Times New Roman" w:hAnsi="Times New Roman" w:cs="Times New Roman"/>
          <w:sz w:val="28"/>
          <w:szCs w:val="24"/>
        </w:rPr>
        <w:t xml:space="preserve">– </w:t>
      </w:r>
      <w:r w:rsidR="004D7F36" w:rsidRPr="00DF7224">
        <w:rPr>
          <w:rFonts w:ascii="Times New Roman" w:eastAsia="Times New Roman" w:hAnsi="Times New Roman" w:cs="Times New Roman"/>
          <w:sz w:val="28"/>
          <w:szCs w:val="24"/>
          <w:lang w:eastAsia="ru-RU"/>
        </w:rPr>
        <w:t>Показатели</w:t>
      </w:r>
      <w:r w:rsidR="00093EB1" w:rsidRPr="00DF7224">
        <w:rPr>
          <w:rFonts w:ascii="Times New Roman" w:eastAsia="Times New Roman" w:hAnsi="Times New Roman" w:cs="Times New Roman"/>
          <w:sz w:val="28"/>
          <w:szCs w:val="24"/>
          <w:lang w:eastAsia="ru-RU"/>
        </w:rPr>
        <w:t xml:space="preserve"> Испании </w:t>
      </w:r>
      <w:r w:rsidR="002F5125" w:rsidRPr="00DF7224">
        <w:rPr>
          <w:rFonts w:ascii="Times New Roman" w:hAnsi="Times New Roman" w:cs="Times New Roman"/>
          <w:sz w:val="28"/>
          <w:szCs w:val="24"/>
        </w:rPr>
        <w:t>в 2013-2018</w:t>
      </w:r>
      <w:r w:rsidR="00093EB1" w:rsidRPr="00DF7224">
        <w:rPr>
          <w:rFonts w:ascii="Times New Roman" w:hAnsi="Times New Roman" w:cs="Times New Roman"/>
          <w:sz w:val="28"/>
          <w:szCs w:val="24"/>
        </w:rPr>
        <w:t xml:space="preserve"> гг.</w:t>
      </w:r>
      <w:r w:rsidR="00E12056" w:rsidRPr="00DF7224">
        <w:rPr>
          <w:rFonts w:ascii="Times New Roman" w:eastAsia="Times New Roman" w:hAnsi="Times New Roman" w:cs="Times New Roman"/>
          <w:sz w:val="28"/>
          <w:szCs w:val="24"/>
          <w:lang w:eastAsia="ru-RU"/>
        </w:rPr>
        <w:t xml:space="preserve"> </w:t>
      </w:r>
    </w:p>
    <w:tbl>
      <w:tblPr>
        <w:tblStyle w:val="ab"/>
        <w:tblW w:w="0" w:type="auto"/>
        <w:jc w:val="center"/>
        <w:tblInd w:w="0" w:type="dxa"/>
        <w:tblLook w:val="04A0" w:firstRow="1" w:lastRow="0" w:firstColumn="1" w:lastColumn="0" w:noHBand="0" w:noVBand="1"/>
      </w:tblPr>
      <w:tblGrid>
        <w:gridCol w:w="3862"/>
        <w:gridCol w:w="696"/>
        <w:gridCol w:w="876"/>
        <w:gridCol w:w="876"/>
        <w:gridCol w:w="696"/>
        <w:gridCol w:w="876"/>
        <w:gridCol w:w="876"/>
      </w:tblGrid>
      <w:tr w:rsidR="00093EB1" w:rsidRPr="00DF7224" w:rsidTr="00736547">
        <w:trPr>
          <w:trHeight w:val="41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Показатель</w:t>
            </w:r>
            <w:r w:rsidR="006C519B" w:rsidRPr="00DF7224">
              <w:rPr>
                <w:rFonts w:ascii="Times New Roman" w:eastAsia="Times New Roman" w:hAnsi="Times New Roman" w:cs="Times New Roman"/>
                <w:sz w:val="24"/>
                <w:szCs w:val="24"/>
                <w:lang w:eastAsia="ru-RU"/>
              </w:rPr>
              <w:t>/Год</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2017</w:t>
            </w:r>
          </w:p>
        </w:tc>
        <w:tc>
          <w:tcPr>
            <w:tcW w:w="0" w:type="auto"/>
            <w:tcBorders>
              <w:top w:val="single" w:sz="4" w:space="0" w:color="auto"/>
              <w:left w:val="single" w:sz="4" w:space="0" w:color="auto"/>
              <w:bottom w:val="single" w:sz="4" w:space="0" w:color="auto"/>
              <w:right w:val="single" w:sz="4" w:space="0" w:color="auto"/>
            </w:tcBorders>
            <w:vAlign w:val="center"/>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2018</w:t>
            </w:r>
          </w:p>
        </w:tc>
      </w:tr>
      <w:tr w:rsidR="00093EB1" w:rsidRPr="00DF7224" w:rsidTr="00736547">
        <w:trPr>
          <w:trHeight w:val="41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Государственный долг (млрд. евро)</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979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1041,6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1073,9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1107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1144,3</w:t>
            </w:r>
          </w:p>
        </w:tc>
        <w:tc>
          <w:tcPr>
            <w:tcW w:w="0" w:type="auto"/>
            <w:tcBorders>
              <w:top w:val="single" w:sz="4" w:space="0" w:color="auto"/>
              <w:left w:val="single" w:sz="4" w:space="0" w:color="auto"/>
              <w:bottom w:val="single" w:sz="4" w:space="0" w:color="auto"/>
              <w:right w:val="single" w:sz="4" w:space="0" w:color="auto"/>
            </w:tcBorders>
            <w:vAlign w:val="center"/>
          </w:tcPr>
          <w:p w:rsidR="00093EB1" w:rsidRPr="00DF7224" w:rsidRDefault="00093EB1"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1171,2</w:t>
            </w:r>
          </w:p>
        </w:tc>
      </w:tr>
      <w:tr w:rsidR="00974584" w:rsidRPr="00DF7224" w:rsidTr="00736547">
        <w:trPr>
          <w:trHeight w:val="417"/>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974584"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Государственный долг (% от ВВП)</w:t>
            </w:r>
          </w:p>
        </w:tc>
        <w:tc>
          <w:tcPr>
            <w:tcW w:w="0" w:type="auto"/>
            <w:tcBorders>
              <w:top w:val="single" w:sz="4" w:space="0" w:color="auto"/>
              <w:left w:val="single" w:sz="4" w:space="0" w:color="auto"/>
              <w:bottom w:val="single" w:sz="4" w:space="0" w:color="auto"/>
              <w:right w:val="single" w:sz="4" w:space="0" w:color="auto"/>
            </w:tcBorders>
            <w:noWrap/>
            <w:vAlign w:val="center"/>
          </w:tcPr>
          <w:p w:rsidR="00974584"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95,5</w:t>
            </w:r>
          </w:p>
        </w:tc>
        <w:tc>
          <w:tcPr>
            <w:tcW w:w="0" w:type="auto"/>
            <w:tcBorders>
              <w:top w:val="single" w:sz="4" w:space="0" w:color="auto"/>
              <w:left w:val="single" w:sz="4" w:space="0" w:color="auto"/>
              <w:bottom w:val="single" w:sz="4" w:space="0" w:color="auto"/>
              <w:right w:val="single" w:sz="4" w:space="0" w:color="auto"/>
            </w:tcBorders>
            <w:noWrap/>
            <w:vAlign w:val="center"/>
          </w:tcPr>
          <w:p w:rsidR="00974584"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noWrap/>
            <w:vAlign w:val="center"/>
          </w:tcPr>
          <w:p w:rsidR="00974584"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99,4</w:t>
            </w:r>
          </w:p>
        </w:tc>
        <w:tc>
          <w:tcPr>
            <w:tcW w:w="0" w:type="auto"/>
            <w:tcBorders>
              <w:top w:val="single" w:sz="4" w:space="0" w:color="auto"/>
              <w:left w:val="single" w:sz="4" w:space="0" w:color="auto"/>
              <w:bottom w:val="single" w:sz="4" w:space="0" w:color="auto"/>
              <w:right w:val="single" w:sz="4" w:space="0" w:color="auto"/>
            </w:tcBorders>
            <w:noWrap/>
            <w:vAlign w:val="center"/>
          </w:tcPr>
          <w:p w:rsidR="00974584"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99,0</w:t>
            </w:r>
          </w:p>
        </w:tc>
        <w:tc>
          <w:tcPr>
            <w:tcW w:w="0" w:type="auto"/>
            <w:tcBorders>
              <w:top w:val="single" w:sz="4" w:space="0" w:color="auto"/>
              <w:left w:val="single" w:sz="4" w:space="0" w:color="auto"/>
              <w:bottom w:val="single" w:sz="4" w:space="0" w:color="auto"/>
              <w:right w:val="single" w:sz="4" w:space="0" w:color="auto"/>
            </w:tcBorders>
            <w:noWrap/>
            <w:vAlign w:val="center"/>
          </w:tcPr>
          <w:p w:rsidR="00974584"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98,4</w:t>
            </w:r>
          </w:p>
        </w:tc>
        <w:tc>
          <w:tcPr>
            <w:tcW w:w="0" w:type="auto"/>
            <w:tcBorders>
              <w:top w:val="single" w:sz="4" w:space="0" w:color="auto"/>
              <w:left w:val="single" w:sz="4" w:space="0" w:color="auto"/>
              <w:bottom w:val="single" w:sz="4" w:space="0" w:color="auto"/>
              <w:right w:val="single" w:sz="4" w:space="0" w:color="auto"/>
            </w:tcBorders>
            <w:vAlign w:val="center"/>
          </w:tcPr>
          <w:p w:rsidR="00974584" w:rsidRPr="00DF7224" w:rsidRDefault="00974584"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96,9</w:t>
            </w:r>
          </w:p>
        </w:tc>
      </w:tr>
      <w:tr w:rsidR="004D7F36" w:rsidRPr="00DF7224" w:rsidTr="00736547">
        <w:trPr>
          <w:trHeight w:val="417"/>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Инфляция (%)</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1,5</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-0,2</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-0,6</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-0,3</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1,1</w:t>
            </w:r>
          </w:p>
        </w:tc>
        <w:tc>
          <w:tcPr>
            <w:tcW w:w="0" w:type="auto"/>
            <w:tcBorders>
              <w:top w:val="single" w:sz="4" w:space="0" w:color="auto"/>
              <w:left w:val="single" w:sz="4" w:space="0" w:color="auto"/>
              <w:bottom w:val="single" w:sz="4" w:space="0" w:color="auto"/>
              <w:right w:val="single" w:sz="4" w:space="0" w:color="auto"/>
            </w:tcBorders>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1,18</w:t>
            </w:r>
          </w:p>
        </w:tc>
      </w:tr>
      <w:tr w:rsidR="004D7F36" w:rsidRPr="00DF7224" w:rsidTr="00736547">
        <w:trPr>
          <w:trHeight w:val="417"/>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Безработица (%)</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26,1</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24,5</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22,1</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19,6</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17,4</w:t>
            </w:r>
          </w:p>
        </w:tc>
        <w:tc>
          <w:tcPr>
            <w:tcW w:w="0" w:type="auto"/>
            <w:tcBorders>
              <w:top w:val="single" w:sz="4" w:space="0" w:color="auto"/>
              <w:left w:val="single" w:sz="4" w:space="0" w:color="auto"/>
              <w:bottom w:val="single" w:sz="4" w:space="0" w:color="auto"/>
              <w:right w:val="single" w:sz="4" w:space="0" w:color="auto"/>
            </w:tcBorders>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15,6</w:t>
            </w:r>
          </w:p>
        </w:tc>
      </w:tr>
      <w:tr w:rsidR="004D7F36" w:rsidRPr="00DF7224" w:rsidTr="00736547">
        <w:trPr>
          <w:trHeight w:val="417"/>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К</w:t>
            </w:r>
            <w:r w:rsidR="0037606A" w:rsidRPr="00DF7224">
              <w:rPr>
                <w:rFonts w:ascii="Times New Roman" w:hAnsi="Times New Roman" w:cs="Times New Roman"/>
                <w:color w:val="000000" w:themeColor="text1"/>
                <w:sz w:val="24"/>
                <w:szCs w:val="28"/>
              </w:rPr>
              <w:t>оэффициент</w:t>
            </w:r>
            <w:r w:rsidRPr="00DF7224">
              <w:rPr>
                <w:rFonts w:ascii="Times New Roman" w:hAnsi="Times New Roman" w:cs="Times New Roman"/>
                <w:color w:val="000000" w:themeColor="text1"/>
                <w:sz w:val="24"/>
                <w:szCs w:val="28"/>
              </w:rPr>
              <w:t xml:space="preserve"> занятости</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43,5</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44,3</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45,5</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46,7</w:t>
            </w:r>
          </w:p>
        </w:tc>
        <w:tc>
          <w:tcPr>
            <w:tcW w:w="0" w:type="auto"/>
            <w:tcBorders>
              <w:top w:val="single" w:sz="4" w:space="0" w:color="auto"/>
              <w:left w:val="single" w:sz="4" w:space="0" w:color="auto"/>
              <w:bottom w:val="single" w:sz="4" w:space="0" w:color="auto"/>
              <w:right w:val="single" w:sz="4" w:space="0" w:color="auto"/>
            </w:tcBorders>
            <w:noWrap/>
            <w:vAlign w:val="center"/>
          </w:tcPr>
          <w:p w:rsidR="004D7F36" w:rsidRPr="00DF7224" w:rsidRDefault="004D7F36" w:rsidP="00EE6DAB">
            <w:pPr>
              <w:jc w:val="center"/>
              <w:rPr>
                <w:rFonts w:ascii="Times New Roman" w:hAnsi="Times New Roman" w:cs="Times New Roman"/>
                <w:color w:val="000000" w:themeColor="text1"/>
                <w:sz w:val="24"/>
                <w:szCs w:val="28"/>
              </w:rPr>
            </w:pPr>
            <w:r w:rsidRPr="00DF7224">
              <w:rPr>
                <w:rFonts w:ascii="Times New Roman" w:hAnsi="Times New Roman" w:cs="Times New Roman"/>
                <w:color w:val="000000" w:themeColor="text1"/>
                <w:sz w:val="24"/>
                <w:szCs w:val="28"/>
              </w:rPr>
              <w:t>47,8</w:t>
            </w:r>
          </w:p>
        </w:tc>
        <w:tc>
          <w:tcPr>
            <w:tcW w:w="0" w:type="auto"/>
            <w:tcBorders>
              <w:top w:val="single" w:sz="4" w:space="0" w:color="auto"/>
              <w:left w:val="single" w:sz="4" w:space="0" w:color="auto"/>
              <w:bottom w:val="single" w:sz="4" w:space="0" w:color="auto"/>
              <w:right w:val="single" w:sz="4" w:space="0" w:color="auto"/>
            </w:tcBorders>
            <w:vAlign w:val="center"/>
          </w:tcPr>
          <w:p w:rsidR="004D7F36" w:rsidRPr="00DF7224" w:rsidRDefault="004D7F36" w:rsidP="00EE6DAB">
            <w:pPr>
              <w:jc w:val="center"/>
              <w:rPr>
                <w:rFonts w:ascii="Times New Roman" w:eastAsia="Times New Roman" w:hAnsi="Times New Roman" w:cs="Times New Roman"/>
                <w:color w:val="000000" w:themeColor="text1"/>
                <w:sz w:val="24"/>
                <w:szCs w:val="24"/>
                <w:lang w:eastAsia="ru-RU"/>
              </w:rPr>
            </w:pPr>
            <w:r w:rsidRPr="00DF7224">
              <w:rPr>
                <w:rFonts w:ascii="Times New Roman" w:eastAsia="Times New Roman" w:hAnsi="Times New Roman" w:cs="Times New Roman"/>
                <w:color w:val="000000" w:themeColor="text1"/>
                <w:sz w:val="24"/>
                <w:szCs w:val="24"/>
                <w:lang w:eastAsia="ru-RU"/>
              </w:rPr>
              <w:t>47,9</w:t>
            </w:r>
          </w:p>
        </w:tc>
      </w:tr>
    </w:tbl>
    <w:p w:rsidR="00093EB1" w:rsidRPr="00DF7224" w:rsidRDefault="00093EB1" w:rsidP="00EE6DAB">
      <w:pPr>
        <w:spacing w:after="0" w:line="240" w:lineRule="auto"/>
        <w:ind w:firstLine="709"/>
        <w:rPr>
          <w:rFonts w:ascii="Times New Roman" w:hAnsi="Times New Roman" w:cs="Times New Roman"/>
          <w:sz w:val="18"/>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http://appsso.eurostat.ec.europa.eu/nui/show.do?dataset=gov_10dd_edpt1&amp;lang=en</w:t>
      </w:r>
    </w:p>
    <w:p w:rsidR="00EE6DAB" w:rsidRPr="00DF7224" w:rsidRDefault="00EE6DAB" w:rsidP="00EE6DAB">
      <w:pPr>
        <w:tabs>
          <w:tab w:val="num" w:pos="142"/>
          <w:tab w:val="left" w:pos="426"/>
        </w:tabs>
        <w:spacing w:after="0" w:line="360" w:lineRule="auto"/>
        <w:ind w:firstLine="709"/>
        <w:jc w:val="both"/>
        <w:rPr>
          <w:rFonts w:ascii="Times New Roman" w:hAnsi="Times New Roman" w:cs="Times New Roman"/>
          <w:sz w:val="28"/>
          <w:szCs w:val="28"/>
        </w:rPr>
      </w:pPr>
    </w:p>
    <w:p w:rsidR="002F5125" w:rsidRPr="00DF7224" w:rsidRDefault="00736547" w:rsidP="00EE6DAB">
      <w:pPr>
        <w:tabs>
          <w:tab w:val="num" w:pos="142"/>
          <w:tab w:val="left" w:pos="426"/>
        </w:tabs>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Инфляция не является серьезным поводом для беспокойства испанского правительства</w:t>
      </w:r>
      <w:r w:rsidR="0037606A" w:rsidRPr="00DF7224">
        <w:rPr>
          <w:rFonts w:ascii="Times New Roman" w:hAnsi="Times New Roman" w:cs="Times New Roman"/>
          <w:sz w:val="28"/>
          <w:szCs w:val="28"/>
        </w:rPr>
        <w:t xml:space="preserve"> (Табл. 1.6</w:t>
      </w:r>
      <w:r w:rsidR="002C5BF7" w:rsidRPr="00DF7224">
        <w:rPr>
          <w:rFonts w:ascii="Times New Roman" w:hAnsi="Times New Roman" w:cs="Times New Roman"/>
          <w:sz w:val="28"/>
          <w:szCs w:val="28"/>
        </w:rPr>
        <w:t>)</w:t>
      </w:r>
      <w:r w:rsidRPr="00DF7224">
        <w:rPr>
          <w:rFonts w:ascii="Times New Roman" w:hAnsi="Times New Roman" w:cs="Times New Roman"/>
          <w:sz w:val="28"/>
          <w:szCs w:val="28"/>
        </w:rPr>
        <w:t>.</w:t>
      </w:r>
      <w:r w:rsidR="002C5BF7" w:rsidRPr="00DF7224">
        <w:rPr>
          <w:rFonts w:ascii="Times New Roman" w:hAnsi="Times New Roman" w:cs="Times New Roman"/>
        </w:rPr>
        <w:t xml:space="preserve"> </w:t>
      </w:r>
      <w:r w:rsidR="002C5BF7" w:rsidRPr="00DF7224">
        <w:rPr>
          <w:rFonts w:ascii="Times New Roman" w:hAnsi="Times New Roman" w:cs="Times New Roman"/>
          <w:sz w:val="28"/>
          <w:szCs w:val="28"/>
        </w:rPr>
        <w:t>В 2018 Испания занимала 3 место по уровню инфляции в мире.</w:t>
      </w:r>
      <w:r w:rsidRPr="00DF7224">
        <w:rPr>
          <w:rFonts w:ascii="Times New Roman" w:hAnsi="Times New Roman" w:cs="Times New Roman"/>
          <w:sz w:val="28"/>
          <w:szCs w:val="28"/>
        </w:rPr>
        <w:t xml:space="preserve"> </w:t>
      </w:r>
      <w:r w:rsidR="002C5BF7" w:rsidRPr="00DF7224">
        <w:rPr>
          <w:rFonts w:ascii="Times New Roman" w:hAnsi="Times New Roman" w:cs="Times New Roman"/>
          <w:sz w:val="28"/>
          <w:szCs w:val="28"/>
        </w:rPr>
        <w:t>Значение показателя в</w:t>
      </w:r>
      <w:r w:rsidRPr="00DF7224">
        <w:rPr>
          <w:rFonts w:ascii="Times New Roman" w:hAnsi="Times New Roman" w:cs="Times New Roman"/>
          <w:sz w:val="28"/>
          <w:szCs w:val="28"/>
        </w:rPr>
        <w:t xml:space="preserve"> 2018 г. немного превыси</w:t>
      </w:r>
      <w:r w:rsidR="004631C7" w:rsidRPr="00DF7224">
        <w:rPr>
          <w:rFonts w:ascii="Times New Roman" w:hAnsi="Times New Roman" w:cs="Times New Roman"/>
          <w:sz w:val="28"/>
          <w:szCs w:val="28"/>
        </w:rPr>
        <w:t>л</w:t>
      </w:r>
      <w:r w:rsidR="002C5BF7" w:rsidRPr="00DF7224">
        <w:rPr>
          <w:rFonts w:ascii="Times New Roman" w:hAnsi="Times New Roman" w:cs="Times New Roman"/>
          <w:sz w:val="28"/>
          <w:szCs w:val="28"/>
        </w:rPr>
        <w:t>о</w:t>
      </w:r>
      <w:r w:rsidRPr="00DF7224">
        <w:rPr>
          <w:rFonts w:ascii="Times New Roman" w:hAnsi="Times New Roman" w:cs="Times New Roman"/>
          <w:sz w:val="28"/>
          <w:szCs w:val="28"/>
        </w:rPr>
        <w:t xml:space="preserve"> пока</w:t>
      </w:r>
      <w:r w:rsidR="004631C7" w:rsidRPr="00DF7224">
        <w:rPr>
          <w:rFonts w:ascii="Times New Roman" w:hAnsi="Times New Roman" w:cs="Times New Roman"/>
          <w:sz w:val="28"/>
          <w:szCs w:val="28"/>
        </w:rPr>
        <w:t>затель 2017 г. (1,1%) и составил около 1,2</w:t>
      </w:r>
      <w:r w:rsidRPr="00DF7224">
        <w:rPr>
          <w:rFonts w:ascii="Times New Roman" w:hAnsi="Times New Roman" w:cs="Times New Roman"/>
          <w:sz w:val="28"/>
          <w:szCs w:val="28"/>
        </w:rPr>
        <w:t xml:space="preserve">%. Однако в связи с тем, что Испания практически полностью зависит от импорта углеводородов, цена на нефть будет основным фактором, оказывающим влияние на </w:t>
      </w:r>
      <w:r w:rsidR="004631C7" w:rsidRPr="00DF7224">
        <w:rPr>
          <w:rFonts w:ascii="Times New Roman" w:hAnsi="Times New Roman" w:cs="Times New Roman"/>
          <w:sz w:val="28"/>
          <w:szCs w:val="28"/>
        </w:rPr>
        <w:t>индекс потребительских цен</w:t>
      </w:r>
      <w:r w:rsidRPr="00DF7224">
        <w:rPr>
          <w:rFonts w:ascii="Times New Roman" w:hAnsi="Times New Roman" w:cs="Times New Roman"/>
          <w:sz w:val="28"/>
          <w:szCs w:val="28"/>
        </w:rPr>
        <w:t>.</w:t>
      </w:r>
      <w:r w:rsidR="004631C7" w:rsidRPr="00DF7224">
        <w:rPr>
          <w:rFonts w:ascii="Times New Roman" w:hAnsi="Times New Roman" w:cs="Times New Roman"/>
          <w:sz w:val="28"/>
          <w:szCs w:val="28"/>
        </w:rPr>
        <w:t xml:space="preserve"> </w:t>
      </w:r>
    </w:p>
    <w:p w:rsidR="004631C7" w:rsidRPr="00DF7224" w:rsidRDefault="004631C7" w:rsidP="0085703B">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По данным Национального института статистики INE, первый показатель инфляции, индекс потребительских цен (IPC), в 2017 г. составил 1,1% из-за более низкого роста </w:t>
      </w:r>
      <w:r w:rsidR="0085703B" w:rsidRPr="00DF7224">
        <w:rPr>
          <w:rFonts w:ascii="Times New Roman" w:hAnsi="Times New Roman" w:cs="Times New Roman"/>
          <w:sz w:val="28"/>
          <w:szCs w:val="28"/>
        </w:rPr>
        <w:t>цен на топливо и электроэнергию</w:t>
      </w:r>
      <w:r w:rsidRPr="00DF7224">
        <w:rPr>
          <w:rFonts w:ascii="Times New Roman" w:hAnsi="Times New Roman" w:cs="Times New Roman"/>
          <w:sz w:val="28"/>
          <w:szCs w:val="28"/>
        </w:rPr>
        <w:t>. Умеренности инфляции за 2017 г. способствовали расширение спроса и цен на услуги в сфере досуга, а также цены на продовольствие и безалкогольные напитки. В первом случае ставка снизилась до дефляционных -0,6% из-за того, туристические поездки в конце 2017 г. сократились. В случае с продовольствием, показатель снизился с 2,2% до 1,7% из-за падения цен на фрукты и овощи. Средний гармонизированный показатель инфляции за 2017 г. в соответствии с данными Eurostat, составил 2,04%, что выше аналогичного показателя по Европе (1,35%).</w:t>
      </w:r>
    </w:p>
    <w:p w:rsidR="004631C7" w:rsidRPr="00DF7224" w:rsidRDefault="004631C7" w:rsidP="00EE6DAB">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sz w:val="28"/>
          <w:szCs w:val="28"/>
        </w:rPr>
        <w:t xml:space="preserve">Наряду с проблемой большого государственного долга Испания борется с большим показателем безработицы. Испанцам не хватает рабочих мест, на что испанское правительство  реагирует каждый год и создает дополнительные рабочие </w:t>
      </w:r>
      <w:r w:rsidR="004D7F36" w:rsidRPr="00DF7224">
        <w:rPr>
          <w:rFonts w:ascii="Times New Roman" w:hAnsi="Times New Roman" w:cs="Times New Roman"/>
          <w:sz w:val="28"/>
          <w:szCs w:val="28"/>
        </w:rPr>
        <w:t>места. Из Таблицы 1.</w:t>
      </w:r>
      <w:r w:rsidR="0037606A" w:rsidRPr="00DF7224">
        <w:rPr>
          <w:rFonts w:ascii="Times New Roman" w:hAnsi="Times New Roman" w:cs="Times New Roman"/>
          <w:sz w:val="28"/>
          <w:szCs w:val="28"/>
        </w:rPr>
        <w:t>6</w:t>
      </w:r>
      <w:r w:rsidRPr="00DF7224">
        <w:rPr>
          <w:rFonts w:ascii="Times New Roman" w:hAnsi="Times New Roman" w:cs="Times New Roman"/>
          <w:sz w:val="28"/>
          <w:szCs w:val="28"/>
        </w:rPr>
        <w:t xml:space="preserve"> видно, что показатель </w:t>
      </w:r>
      <w:r w:rsidRPr="00DF7224">
        <w:rPr>
          <w:rFonts w:ascii="Times New Roman" w:hAnsi="Times New Roman" w:cs="Times New Roman"/>
          <w:sz w:val="28"/>
          <w:szCs w:val="28"/>
        </w:rPr>
        <w:lastRenderedPageBreak/>
        <w:t xml:space="preserve">безработицы с 2013 года имеет тенденцию к уменьшению. </w:t>
      </w:r>
      <w:r w:rsidR="00E640F1" w:rsidRPr="00DF7224">
        <w:rPr>
          <w:rFonts w:ascii="Times New Roman" w:hAnsi="Times New Roman" w:cs="Times New Roman"/>
          <w:sz w:val="28"/>
          <w:szCs w:val="28"/>
        </w:rPr>
        <w:t>В 2018 году безработица составила 1</w:t>
      </w:r>
      <w:r w:rsidR="00DE3497" w:rsidRPr="00DF7224">
        <w:rPr>
          <w:rFonts w:ascii="Times New Roman" w:hAnsi="Times New Roman" w:cs="Times New Roman"/>
          <w:sz w:val="28"/>
          <w:szCs w:val="28"/>
        </w:rPr>
        <w:t>5,6</w:t>
      </w:r>
      <w:r w:rsidR="00E640F1" w:rsidRPr="00DF7224">
        <w:rPr>
          <w:rFonts w:ascii="Times New Roman" w:hAnsi="Times New Roman" w:cs="Times New Roman"/>
          <w:sz w:val="28"/>
          <w:szCs w:val="28"/>
        </w:rPr>
        <w:t xml:space="preserve">% - самый низкий показатель с 2008 года. </w:t>
      </w:r>
      <w:r w:rsidR="00E12821" w:rsidRPr="00DF7224">
        <w:rPr>
          <w:rFonts w:ascii="Times New Roman" w:hAnsi="Times New Roman" w:cs="Times New Roman"/>
          <w:sz w:val="28"/>
          <w:szCs w:val="28"/>
        </w:rPr>
        <w:t>С 2013 года</w:t>
      </w:r>
      <w:r w:rsidR="00024EEA" w:rsidRPr="00DF7224">
        <w:rPr>
          <w:rFonts w:ascii="Times New Roman" w:hAnsi="Times New Roman" w:cs="Times New Roman"/>
          <w:sz w:val="28"/>
          <w:szCs w:val="28"/>
        </w:rPr>
        <w:t xml:space="preserve"> увеличивалась доля занятог</w:t>
      </w:r>
      <w:r w:rsidR="0037606A" w:rsidRPr="00DF7224">
        <w:rPr>
          <w:rFonts w:ascii="Times New Roman" w:hAnsi="Times New Roman" w:cs="Times New Roman"/>
          <w:sz w:val="28"/>
          <w:szCs w:val="28"/>
        </w:rPr>
        <w:t>о населения страны (Таблица 1.6</w:t>
      </w:r>
      <w:r w:rsidR="00024EEA" w:rsidRPr="00DF7224">
        <w:rPr>
          <w:rFonts w:ascii="Times New Roman" w:hAnsi="Times New Roman" w:cs="Times New Roman"/>
          <w:sz w:val="28"/>
          <w:szCs w:val="28"/>
        </w:rPr>
        <w:t>). Коэффициент занятости населения Испании с 2013 и по настоящее время с каждым годом увеличивается.</w:t>
      </w:r>
      <w:r w:rsidR="00024EEA" w:rsidRPr="00DF7224">
        <w:rPr>
          <w:rFonts w:ascii="Times New Roman" w:hAnsi="Times New Roman" w:cs="Times New Roman"/>
        </w:rPr>
        <w:t xml:space="preserve"> </w:t>
      </w:r>
      <w:r w:rsidR="00024EEA" w:rsidRPr="00DF7224">
        <w:rPr>
          <w:rFonts w:ascii="Times New Roman" w:hAnsi="Times New Roman" w:cs="Times New Roman"/>
          <w:sz w:val="28"/>
          <w:szCs w:val="28"/>
        </w:rPr>
        <w:t>Так за  несколько лет показатель изменилс</w:t>
      </w:r>
      <w:r w:rsidR="00DE3497" w:rsidRPr="00DF7224">
        <w:rPr>
          <w:rFonts w:ascii="Times New Roman" w:hAnsi="Times New Roman" w:cs="Times New Roman"/>
          <w:sz w:val="28"/>
          <w:szCs w:val="28"/>
        </w:rPr>
        <w:t>я с 43,5% до 47,8</w:t>
      </w:r>
      <w:r w:rsidR="00024EEA" w:rsidRPr="00DF7224">
        <w:rPr>
          <w:rFonts w:ascii="Times New Roman" w:hAnsi="Times New Roman" w:cs="Times New Roman"/>
          <w:sz w:val="28"/>
          <w:szCs w:val="28"/>
        </w:rPr>
        <w:t xml:space="preserve">%. </w:t>
      </w:r>
      <w:r w:rsidR="00E640F1" w:rsidRPr="00DF7224">
        <w:rPr>
          <w:rFonts w:ascii="Times New Roman" w:hAnsi="Times New Roman" w:cs="Times New Roman"/>
          <w:sz w:val="28"/>
          <w:szCs w:val="28"/>
        </w:rPr>
        <w:t>Несмотря на сокраще</w:t>
      </w:r>
      <w:r w:rsidR="00E12821" w:rsidRPr="00DF7224">
        <w:rPr>
          <w:rFonts w:ascii="Times New Roman" w:hAnsi="Times New Roman" w:cs="Times New Roman"/>
          <w:sz w:val="28"/>
          <w:szCs w:val="28"/>
        </w:rPr>
        <w:t xml:space="preserve">ние числа безработных и увеличение коэффициента занятости в Испании </w:t>
      </w:r>
      <w:r w:rsidR="00E640F1" w:rsidRPr="00DF7224">
        <w:rPr>
          <w:rFonts w:ascii="Times New Roman" w:hAnsi="Times New Roman" w:cs="Times New Roman"/>
          <w:sz w:val="28"/>
          <w:szCs w:val="28"/>
        </w:rPr>
        <w:t xml:space="preserve">безработица продолжает оставаться серьезной проблемой </w:t>
      </w:r>
      <w:r w:rsidR="00E12821" w:rsidRPr="00DF7224">
        <w:rPr>
          <w:rFonts w:ascii="Times New Roman" w:hAnsi="Times New Roman" w:cs="Times New Roman"/>
          <w:sz w:val="28"/>
          <w:szCs w:val="28"/>
        </w:rPr>
        <w:t>в экономике</w:t>
      </w:r>
      <w:r w:rsidR="00E640F1" w:rsidRPr="00DF7224">
        <w:rPr>
          <w:rFonts w:ascii="Times New Roman" w:hAnsi="Times New Roman" w:cs="Times New Roman"/>
          <w:sz w:val="28"/>
          <w:szCs w:val="28"/>
        </w:rPr>
        <w:t xml:space="preserve"> страны.</w:t>
      </w:r>
    </w:p>
    <w:p w:rsidR="00024EEA" w:rsidRPr="00DF7224" w:rsidRDefault="00024EEA" w:rsidP="0085703B">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Основными </w:t>
      </w:r>
      <w:r w:rsidR="0085703B" w:rsidRPr="00DF7224">
        <w:rPr>
          <w:rFonts w:ascii="Times New Roman" w:hAnsi="Times New Roman" w:cs="Times New Roman"/>
          <w:sz w:val="28"/>
          <w:szCs w:val="28"/>
        </w:rPr>
        <w:t>факторами</w:t>
      </w:r>
      <w:r w:rsidRPr="00DF7224">
        <w:rPr>
          <w:rFonts w:ascii="Times New Roman" w:hAnsi="Times New Roman" w:cs="Times New Roman"/>
          <w:sz w:val="28"/>
          <w:szCs w:val="28"/>
        </w:rPr>
        <w:t xml:space="preserve"> экономического роста Испании в 2017 году были: создание новых рабочих мест (</w:t>
      </w:r>
      <w:r w:rsidR="0085703B" w:rsidRPr="00DF7224">
        <w:rPr>
          <w:rFonts w:ascii="Times New Roman" w:hAnsi="Times New Roman" w:cs="Times New Roman"/>
          <w:sz w:val="28"/>
          <w:szCs w:val="28"/>
        </w:rPr>
        <w:t>по данным Национального института статистики (INE) рост занятости с 2013 года наблюдается в гостиничном бизнесе, где было создано 271 тыс. рабочих мест, в сфере образования, здравоохранения и социальных услуг – 250 тыс. мест, в промышленности – 166 тыс. мест</w:t>
      </w:r>
      <w:r w:rsidRPr="00DF7224">
        <w:rPr>
          <w:rFonts w:ascii="Times New Roman" w:hAnsi="Times New Roman" w:cs="Times New Roman"/>
          <w:sz w:val="28"/>
          <w:szCs w:val="28"/>
        </w:rPr>
        <w:t>), оживление строительного сектора (по данным INE, 2017 год стал лучшим годом после 2008 г., когда было продано более 500 тыс. объектов недвижимости), благоприятные внешнеэкономические условия (высокие цены на основные экспортные товары Испании), а также приток иностранных инвестиций.</w:t>
      </w:r>
    </w:p>
    <w:p w:rsidR="00EC379D" w:rsidRPr="00DF7224" w:rsidRDefault="00A10D1E" w:rsidP="0085703B">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Испания является привлекательной страной для иностранных инвестиций и одним из основных реципиентов прямых иностранных капиталовложений в последние годы. По данным Ю</w:t>
      </w:r>
      <w:r w:rsidR="00E12821" w:rsidRPr="00DF7224">
        <w:rPr>
          <w:rFonts w:ascii="Times New Roman" w:hAnsi="Times New Roman" w:cs="Times New Roman"/>
          <w:sz w:val="28"/>
          <w:szCs w:val="28"/>
        </w:rPr>
        <w:t>нктада</w:t>
      </w:r>
      <w:r w:rsidRPr="00DF7224">
        <w:rPr>
          <w:rFonts w:ascii="Times New Roman" w:hAnsi="Times New Roman" w:cs="Times New Roman"/>
          <w:sz w:val="28"/>
          <w:szCs w:val="28"/>
        </w:rPr>
        <w:t>, в 2017 г. Испания занимала 13-е место в мире по притоку иностранных инвестиций, в 2016 г. находилась на 12-м месте по инвестиционной привлекательности.</w:t>
      </w:r>
      <w:r w:rsidR="007059B4" w:rsidRPr="00DF7224">
        <w:rPr>
          <w:rFonts w:ascii="Times New Roman" w:hAnsi="Times New Roman" w:cs="Times New Roman"/>
          <w:sz w:val="28"/>
          <w:szCs w:val="28"/>
        </w:rPr>
        <w:t xml:space="preserve"> </w:t>
      </w:r>
      <w:r w:rsidR="004D7F36" w:rsidRPr="00DF7224">
        <w:rPr>
          <w:rFonts w:ascii="Times New Roman" w:hAnsi="Times New Roman" w:cs="Times New Roman"/>
          <w:sz w:val="28"/>
          <w:szCs w:val="28"/>
        </w:rPr>
        <w:t>На Р</w:t>
      </w:r>
      <w:r w:rsidR="00EC379D" w:rsidRPr="00DF7224">
        <w:rPr>
          <w:rFonts w:ascii="Times New Roman" w:hAnsi="Times New Roman" w:cs="Times New Roman"/>
          <w:sz w:val="28"/>
          <w:szCs w:val="28"/>
        </w:rPr>
        <w:t>ис</w:t>
      </w:r>
      <w:r w:rsidR="0085703B" w:rsidRPr="00DF7224">
        <w:rPr>
          <w:rFonts w:ascii="Times New Roman" w:hAnsi="Times New Roman" w:cs="Times New Roman"/>
          <w:sz w:val="28"/>
          <w:szCs w:val="28"/>
        </w:rPr>
        <w:t>.</w:t>
      </w:r>
      <w:r w:rsidR="00EC379D" w:rsidRPr="00DF7224">
        <w:rPr>
          <w:rFonts w:ascii="Times New Roman" w:hAnsi="Times New Roman" w:cs="Times New Roman"/>
          <w:sz w:val="28"/>
          <w:szCs w:val="28"/>
        </w:rPr>
        <w:t xml:space="preserve"> </w:t>
      </w:r>
      <w:r w:rsidR="008B4C4C" w:rsidRPr="00DF7224">
        <w:rPr>
          <w:rFonts w:ascii="Times New Roman" w:hAnsi="Times New Roman" w:cs="Times New Roman"/>
          <w:sz w:val="28"/>
          <w:szCs w:val="28"/>
        </w:rPr>
        <w:t>1.</w:t>
      </w:r>
      <w:r w:rsidR="00EC379D" w:rsidRPr="00DF7224">
        <w:rPr>
          <w:rFonts w:ascii="Times New Roman" w:hAnsi="Times New Roman" w:cs="Times New Roman"/>
          <w:sz w:val="28"/>
          <w:szCs w:val="28"/>
        </w:rPr>
        <w:t xml:space="preserve">3 и </w:t>
      </w:r>
      <w:r w:rsidR="008B4C4C" w:rsidRPr="00DF7224">
        <w:rPr>
          <w:rFonts w:ascii="Times New Roman" w:hAnsi="Times New Roman" w:cs="Times New Roman"/>
          <w:sz w:val="28"/>
          <w:szCs w:val="28"/>
        </w:rPr>
        <w:t>1.</w:t>
      </w:r>
      <w:r w:rsidR="004D7F36" w:rsidRPr="00DF7224">
        <w:rPr>
          <w:rFonts w:ascii="Times New Roman" w:hAnsi="Times New Roman" w:cs="Times New Roman"/>
          <w:sz w:val="28"/>
          <w:szCs w:val="28"/>
        </w:rPr>
        <w:t>4 р</w:t>
      </w:r>
      <w:r w:rsidR="00EC379D" w:rsidRPr="00DF7224">
        <w:rPr>
          <w:rFonts w:ascii="Times New Roman" w:hAnsi="Times New Roman" w:cs="Times New Roman"/>
          <w:sz w:val="28"/>
          <w:szCs w:val="28"/>
        </w:rPr>
        <w:t xml:space="preserve">ассмотрим </w:t>
      </w:r>
      <w:r w:rsidR="0085703B" w:rsidRPr="00DF7224">
        <w:rPr>
          <w:rFonts w:ascii="Times New Roman" w:hAnsi="Times New Roman" w:cs="Times New Roman"/>
          <w:sz w:val="28"/>
          <w:szCs w:val="28"/>
        </w:rPr>
        <w:t>динамику</w:t>
      </w:r>
      <w:r w:rsidR="00EC379D" w:rsidRPr="00DF7224">
        <w:rPr>
          <w:rFonts w:ascii="Times New Roman" w:hAnsi="Times New Roman" w:cs="Times New Roman"/>
          <w:sz w:val="28"/>
          <w:szCs w:val="28"/>
        </w:rPr>
        <w:t xml:space="preserve"> притока и оттока прямых иностранных инв</w:t>
      </w:r>
      <w:r w:rsidR="0085703B" w:rsidRPr="00DF7224">
        <w:rPr>
          <w:rFonts w:ascii="Times New Roman" w:hAnsi="Times New Roman" w:cs="Times New Roman"/>
          <w:sz w:val="28"/>
          <w:szCs w:val="28"/>
        </w:rPr>
        <w:t>естиций в 2013-2018 г.</w:t>
      </w:r>
      <w:r w:rsidR="004D7F36" w:rsidRPr="00DF7224">
        <w:rPr>
          <w:rFonts w:ascii="Times New Roman" w:hAnsi="Times New Roman" w:cs="Times New Roman"/>
          <w:sz w:val="28"/>
          <w:szCs w:val="28"/>
        </w:rPr>
        <w:t>, а в Табл</w:t>
      </w:r>
      <w:r w:rsidR="0085703B" w:rsidRPr="00DF7224">
        <w:rPr>
          <w:rFonts w:ascii="Times New Roman" w:hAnsi="Times New Roman" w:cs="Times New Roman"/>
          <w:sz w:val="28"/>
          <w:szCs w:val="28"/>
        </w:rPr>
        <w:t>.</w:t>
      </w:r>
      <w:r w:rsidR="0037606A" w:rsidRPr="00DF7224">
        <w:rPr>
          <w:rFonts w:ascii="Times New Roman" w:hAnsi="Times New Roman" w:cs="Times New Roman"/>
          <w:sz w:val="28"/>
          <w:szCs w:val="28"/>
        </w:rPr>
        <w:t xml:space="preserve"> 1.7</w:t>
      </w:r>
      <w:r w:rsidR="004D7F36" w:rsidRPr="00DF7224">
        <w:rPr>
          <w:rFonts w:ascii="Times New Roman" w:hAnsi="Times New Roman" w:cs="Times New Roman"/>
          <w:sz w:val="28"/>
          <w:szCs w:val="28"/>
        </w:rPr>
        <w:t xml:space="preserve"> и 1.9</w:t>
      </w:r>
      <w:r w:rsidR="00EC379D" w:rsidRPr="00DF7224">
        <w:rPr>
          <w:rFonts w:ascii="Times New Roman" w:hAnsi="Times New Roman" w:cs="Times New Roman"/>
          <w:sz w:val="28"/>
          <w:szCs w:val="28"/>
        </w:rPr>
        <w:t xml:space="preserve"> </w:t>
      </w:r>
      <w:r w:rsidR="0085703B" w:rsidRPr="00DF7224">
        <w:rPr>
          <w:rFonts w:ascii="Times New Roman" w:hAnsi="Times New Roman" w:cs="Times New Roman"/>
          <w:sz w:val="28"/>
          <w:szCs w:val="28"/>
        </w:rPr>
        <w:t xml:space="preserve">– </w:t>
      </w:r>
      <w:r w:rsidR="00EC379D" w:rsidRPr="00DF7224">
        <w:rPr>
          <w:rFonts w:ascii="Times New Roman" w:hAnsi="Times New Roman" w:cs="Times New Roman"/>
          <w:sz w:val="28"/>
          <w:szCs w:val="28"/>
        </w:rPr>
        <w:t>долю притока и оттока ПИИ в ВВП Испании за этот же период.</w:t>
      </w:r>
    </w:p>
    <w:p w:rsidR="00EE6DAB" w:rsidRPr="00DF7224" w:rsidRDefault="00EE6DAB" w:rsidP="00EE6DAB">
      <w:pPr>
        <w:spacing w:after="0" w:line="360" w:lineRule="auto"/>
        <w:ind w:firstLine="709"/>
        <w:jc w:val="both"/>
        <w:rPr>
          <w:rFonts w:ascii="Times New Roman" w:hAnsi="Times New Roman" w:cs="Times New Roman"/>
          <w:sz w:val="28"/>
          <w:szCs w:val="28"/>
        </w:rPr>
      </w:pPr>
    </w:p>
    <w:p w:rsidR="001933B6" w:rsidRPr="00DF7224" w:rsidRDefault="000D1CD8" w:rsidP="007E0CA0">
      <w:pPr>
        <w:tabs>
          <w:tab w:val="left" w:pos="142"/>
        </w:tabs>
        <w:spacing w:after="0" w:line="240" w:lineRule="auto"/>
        <w:contextualSpacing/>
        <w:jc w:val="center"/>
        <w:rPr>
          <w:rFonts w:ascii="Times New Roman" w:eastAsia="Times New Roman" w:hAnsi="Times New Roman" w:cs="Times New Roman"/>
          <w:sz w:val="28"/>
          <w:szCs w:val="28"/>
          <w:lang w:eastAsia="ru-RU"/>
        </w:rPr>
      </w:pPr>
      <w:r w:rsidRPr="00DF7224">
        <w:rPr>
          <w:rFonts w:ascii="Times New Roman" w:hAnsi="Times New Roman" w:cs="Times New Roman"/>
          <w:noProof/>
          <w:lang w:eastAsia="ru-RU"/>
        </w:rPr>
        <w:lastRenderedPageBreak/>
        <w:drawing>
          <wp:inline distT="0" distB="0" distL="0" distR="0" wp14:anchorId="71A42404" wp14:editId="4106ACFB">
            <wp:extent cx="4572000" cy="2743200"/>
            <wp:effectExtent l="0" t="0" r="19050"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703B" w:rsidRPr="00DF7224" w:rsidRDefault="0085703B" w:rsidP="007E0CA0">
      <w:pPr>
        <w:tabs>
          <w:tab w:val="left" w:pos="142"/>
        </w:tabs>
        <w:spacing w:after="0" w:line="240" w:lineRule="auto"/>
        <w:contextualSpacing/>
        <w:jc w:val="center"/>
        <w:rPr>
          <w:rFonts w:ascii="Times New Roman" w:eastAsia="Times New Roman" w:hAnsi="Times New Roman" w:cs="Times New Roman"/>
          <w:sz w:val="28"/>
          <w:szCs w:val="28"/>
          <w:lang w:eastAsia="ru-RU"/>
        </w:rPr>
      </w:pPr>
    </w:p>
    <w:p w:rsidR="0085703B" w:rsidRPr="00DF7224" w:rsidRDefault="000D1CD8" w:rsidP="00D41C2B">
      <w:pPr>
        <w:tabs>
          <w:tab w:val="left" w:pos="142"/>
        </w:tabs>
        <w:spacing w:after="0" w:line="360" w:lineRule="auto"/>
        <w:contextualSpacing/>
        <w:jc w:val="center"/>
        <w:rPr>
          <w:rFonts w:ascii="Times New Roman" w:eastAsia="Times New Roman" w:hAnsi="Times New Roman" w:cs="Times New Roman"/>
          <w:sz w:val="28"/>
          <w:szCs w:val="28"/>
          <w:lang w:val="en-US" w:eastAsia="ru-RU"/>
        </w:rPr>
      </w:pPr>
      <w:r w:rsidRPr="00DF7224">
        <w:rPr>
          <w:rFonts w:ascii="Times New Roman" w:eastAsia="Times New Roman" w:hAnsi="Times New Roman" w:cs="Times New Roman"/>
          <w:sz w:val="28"/>
          <w:szCs w:val="28"/>
          <w:lang w:eastAsia="ru-RU"/>
        </w:rPr>
        <w:t>Рисунок –</w:t>
      </w:r>
      <w:r w:rsidR="000A31BD" w:rsidRPr="00DF7224">
        <w:rPr>
          <w:rFonts w:ascii="Times New Roman" w:eastAsia="Times New Roman" w:hAnsi="Times New Roman" w:cs="Times New Roman"/>
          <w:sz w:val="28"/>
          <w:szCs w:val="28"/>
          <w:lang w:eastAsia="ru-RU"/>
        </w:rPr>
        <w:t xml:space="preserve"> </w:t>
      </w:r>
      <w:r w:rsidR="008B4C4C" w:rsidRPr="00DF7224">
        <w:rPr>
          <w:rFonts w:ascii="Times New Roman" w:eastAsia="Times New Roman" w:hAnsi="Times New Roman" w:cs="Times New Roman"/>
          <w:sz w:val="28"/>
          <w:szCs w:val="28"/>
          <w:lang w:eastAsia="ru-RU"/>
        </w:rPr>
        <w:t>1.</w:t>
      </w:r>
      <w:r w:rsidR="000A31BD" w:rsidRPr="00DF7224">
        <w:rPr>
          <w:rFonts w:ascii="Times New Roman" w:eastAsia="Times New Roman" w:hAnsi="Times New Roman" w:cs="Times New Roman"/>
          <w:sz w:val="28"/>
          <w:szCs w:val="28"/>
          <w:lang w:eastAsia="ru-RU"/>
        </w:rPr>
        <w:t>3</w:t>
      </w:r>
      <w:r w:rsidRPr="00DF7224">
        <w:rPr>
          <w:rFonts w:ascii="Times New Roman" w:eastAsia="Times New Roman" w:hAnsi="Times New Roman" w:cs="Times New Roman"/>
          <w:sz w:val="28"/>
          <w:szCs w:val="28"/>
          <w:lang w:eastAsia="ru-RU"/>
        </w:rPr>
        <w:t xml:space="preserve"> Объем притока прямых иностранных инвестиций в Испанию </w:t>
      </w:r>
      <w:r w:rsidRPr="00DF7224">
        <w:rPr>
          <w:rFonts w:ascii="Times New Roman" w:eastAsia="Times New Roman" w:hAnsi="Times New Roman" w:cs="Times New Roman"/>
          <w:sz w:val="28"/>
          <w:szCs w:val="28"/>
          <w:lang w:val="en-US" w:eastAsia="ru-RU"/>
        </w:rPr>
        <w:t xml:space="preserve">2013-2018 </w:t>
      </w:r>
      <w:r w:rsidRPr="00DF7224">
        <w:rPr>
          <w:rFonts w:ascii="Times New Roman" w:eastAsia="Times New Roman" w:hAnsi="Times New Roman" w:cs="Times New Roman"/>
          <w:sz w:val="28"/>
          <w:szCs w:val="28"/>
          <w:lang w:eastAsia="ru-RU"/>
        </w:rPr>
        <w:t>гг</w:t>
      </w:r>
      <w:r w:rsidRPr="00DF7224">
        <w:rPr>
          <w:rFonts w:ascii="Times New Roman" w:eastAsia="Times New Roman" w:hAnsi="Times New Roman" w:cs="Times New Roman"/>
          <w:sz w:val="28"/>
          <w:szCs w:val="28"/>
          <w:lang w:val="en-US" w:eastAsia="ru-RU"/>
        </w:rPr>
        <w:t>. (</w:t>
      </w:r>
      <w:r w:rsidR="00EC379D" w:rsidRPr="00DF7224">
        <w:rPr>
          <w:rFonts w:ascii="Times New Roman" w:eastAsia="Times New Roman" w:hAnsi="Times New Roman" w:cs="Times New Roman"/>
          <w:sz w:val="28"/>
          <w:szCs w:val="28"/>
          <w:lang w:eastAsia="ru-RU"/>
        </w:rPr>
        <w:t>тыс</w:t>
      </w:r>
      <w:r w:rsidR="00EC379D" w:rsidRPr="00DF7224">
        <w:rPr>
          <w:rFonts w:ascii="Times New Roman" w:eastAsia="Times New Roman" w:hAnsi="Times New Roman" w:cs="Times New Roman"/>
          <w:sz w:val="28"/>
          <w:szCs w:val="28"/>
          <w:lang w:val="en-US" w:eastAsia="ru-RU"/>
        </w:rPr>
        <w:t>.</w:t>
      </w:r>
      <w:r w:rsidRPr="00DF7224">
        <w:rPr>
          <w:rFonts w:ascii="Times New Roman" w:eastAsia="Times New Roman" w:hAnsi="Times New Roman" w:cs="Times New Roman"/>
          <w:sz w:val="28"/>
          <w:szCs w:val="28"/>
          <w:lang w:val="en-US" w:eastAsia="ru-RU"/>
        </w:rPr>
        <w:t xml:space="preserve"> </w:t>
      </w:r>
      <w:r w:rsidR="00EC379D" w:rsidRPr="00DF7224">
        <w:rPr>
          <w:rFonts w:ascii="Times New Roman" w:eastAsia="Times New Roman" w:hAnsi="Times New Roman" w:cs="Times New Roman"/>
          <w:sz w:val="28"/>
          <w:szCs w:val="28"/>
          <w:lang w:eastAsia="ru-RU"/>
        </w:rPr>
        <w:t>долл</w:t>
      </w:r>
      <w:r w:rsidR="00EC379D" w:rsidRPr="00DF7224">
        <w:rPr>
          <w:rFonts w:ascii="Times New Roman" w:eastAsia="Times New Roman" w:hAnsi="Times New Roman" w:cs="Times New Roman"/>
          <w:sz w:val="28"/>
          <w:szCs w:val="28"/>
          <w:lang w:val="en-US" w:eastAsia="ru-RU"/>
        </w:rPr>
        <w:t>.</w:t>
      </w:r>
      <w:r w:rsidRPr="00DF7224">
        <w:rPr>
          <w:rFonts w:ascii="Times New Roman" w:eastAsia="Times New Roman" w:hAnsi="Times New Roman" w:cs="Times New Roman"/>
          <w:sz w:val="28"/>
          <w:szCs w:val="28"/>
          <w:lang w:val="en-US" w:eastAsia="ru-RU"/>
        </w:rPr>
        <w:t xml:space="preserve"> </w:t>
      </w:r>
      <w:r w:rsidRPr="00DF7224">
        <w:rPr>
          <w:rFonts w:ascii="Times New Roman" w:eastAsia="Times New Roman" w:hAnsi="Times New Roman" w:cs="Times New Roman"/>
          <w:sz w:val="28"/>
          <w:szCs w:val="28"/>
          <w:lang w:eastAsia="ru-RU"/>
        </w:rPr>
        <w:t>США</w:t>
      </w:r>
      <w:r w:rsidRPr="00DF7224">
        <w:rPr>
          <w:rFonts w:ascii="Times New Roman" w:eastAsia="Times New Roman" w:hAnsi="Times New Roman" w:cs="Times New Roman"/>
          <w:sz w:val="28"/>
          <w:szCs w:val="28"/>
          <w:lang w:val="en-US" w:eastAsia="ru-RU"/>
        </w:rPr>
        <w:t>)</w:t>
      </w:r>
    </w:p>
    <w:p w:rsidR="0062016E" w:rsidRPr="00DF7224" w:rsidRDefault="000D1CD8" w:rsidP="00D9323E">
      <w:pPr>
        <w:tabs>
          <w:tab w:val="left" w:pos="142"/>
        </w:tabs>
        <w:spacing w:after="0" w:line="240" w:lineRule="auto"/>
        <w:ind w:firstLine="709"/>
        <w:contextualSpacing/>
        <w:rPr>
          <w:rFonts w:ascii="Times New Roman" w:eastAsia="Times New Roman" w:hAnsi="Times New Roman" w:cs="Times New Roman"/>
          <w:sz w:val="20"/>
          <w:szCs w:val="28"/>
          <w:lang w:val="en-US" w:eastAsia="ru-RU"/>
        </w:rPr>
      </w:pPr>
      <w:r w:rsidRPr="00DF7224">
        <w:rPr>
          <w:rFonts w:ascii="Times New Roman" w:eastAsia="Times New Roman" w:hAnsi="Times New Roman" w:cs="Times New Roman"/>
          <w:i/>
          <w:sz w:val="20"/>
          <w:szCs w:val="28"/>
          <w:lang w:eastAsia="ru-RU"/>
        </w:rPr>
        <w:t>Источник</w:t>
      </w:r>
      <w:r w:rsidRPr="00DF7224">
        <w:rPr>
          <w:rFonts w:ascii="Times New Roman" w:eastAsia="Times New Roman" w:hAnsi="Times New Roman" w:cs="Times New Roman"/>
          <w:i/>
          <w:sz w:val="20"/>
          <w:szCs w:val="28"/>
          <w:lang w:val="en-US" w:eastAsia="ru-RU"/>
        </w:rPr>
        <w:t>:</w:t>
      </w:r>
      <w:r w:rsidRPr="00DF7224">
        <w:rPr>
          <w:rFonts w:ascii="Times New Roman" w:eastAsia="Times New Roman" w:hAnsi="Times New Roman" w:cs="Times New Roman"/>
          <w:sz w:val="20"/>
          <w:szCs w:val="28"/>
          <w:lang w:val="en-US" w:eastAsia="ru-RU"/>
        </w:rPr>
        <w:t xml:space="preserve"> FDI flows Inward,</w:t>
      </w:r>
      <w:r w:rsidR="00D36A66" w:rsidRPr="00DF7224">
        <w:rPr>
          <w:rFonts w:ascii="Times New Roman" w:eastAsia="Times New Roman" w:hAnsi="Times New Roman" w:cs="Times New Roman"/>
          <w:sz w:val="20"/>
          <w:szCs w:val="28"/>
          <w:lang w:val="en-US" w:eastAsia="ru-RU"/>
        </w:rPr>
        <w:t xml:space="preserve"> Million US dollars, 2005 – 2018</w:t>
      </w:r>
      <w:r w:rsidRPr="00DF7224">
        <w:rPr>
          <w:rFonts w:ascii="Times New Roman" w:eastAsia="Times New Roman" w:hAnsi="Times New Roman" w:cs="Times New Roman"/>
          <w:sz w:val="20"/>
          <w:szCs w:val="28"/>
          <w:lang w:val="en-US" w:eastAsia="ru-RU"/>
        </w:rPr>
        <w:t xml:space="preserve"> Source: Benchmark definition, 4th edition (BMD4): Foreign direct investment: financial flows, main aggregates</w:t>
      </w:r>
    </w:p>
    <w:p w:rsidR="00D9323E" w:rsidRPr="00DF7224" w:rsidRDefault="00D9323E" w:rsidP="00D9323E">
      <w:pPr>
        <w:tabs>
          <w:tab w:val="left" w:pos="142"/>
        </w:tabs>
        <w:spacing w:after="0" w:line="240" w:lineRule="auto"/>
        <w:ind w:firstLine="709"/>
        <w:contextualSpacing/>
        <w:rPr>
          <w:rFonts w:ascii="Times New Roman" w:eastAsia="Times New Roman" w:hAnsi="Times New Roman" w:cs="Times New Roman"/>
          <w:sz w:val="24"/>
          <w:szCs w:val="28"/>
          <w:lang w:val="en-US" w:eastAsia="ru-RU"/>
        </w:rPr>
      </w:pPr>
    </w:p>
    <w:p w:rsidR="00EE6DAB" w:rsidRPr="00DF7224" w:rsidRDefault="00EE6DAB" w:rsidP="00EE6DAB">
      <w:pPr>
        <w:spacing w:after="0" w:line="240" w:lineRule="auto"/>
        <w:ind w:firstLine="709"/>
        <w:rPr>
          <w:rFonts w:ascii="Times New Roman" w:hAnsi="Times New Roman" w:cs="Times New Roman"/>
          <w:sz w:val="24"/>
          <w:szCs w:val="24"/>
          <w:lang w:val="en-US"/>
        </w:rPr>
      </w:pPr>
    </w:p>
    <w:p w:rsidR="001933B6" w:rsidRPr="00DF7224" w:rsidRDefault="007059B4" w:rsidP="007E0CA0">
      <w:pPr>
        <w:spacing w:after="0" w:line="360" w:lineRule="auto"/>
        <w:ind w:firstLine="709"/>
        <w:jc w:val="both"/>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С 2013 года наблюдается снижение объема притока ПИИ в Испанию. В 2017 году</w:t>
      </w:r>
      <w:r w:rsidR="00DE3497" w:rsidRPr="00DF7224">
        <w:rPr>
          <w:rFonts w:ascii="Times New Roman" w:hAnsi="Times New Roman" w:cs="Times New Roman"/>
          <w:color w:val="000000" w:themeColor="text1"/>
          <w:sz w:val="28"/>
          <w:szCs w:val="24"/>
        </w:rPr>
        <w:t xml:space="preserve"> инвестиции составили лишь 0,57</w:t>
      </w:r>
      <w:r w:rsidRPr="00DF7224">
        <w:rPr>
          <w:rFonts w:ascii="Times New Roman" w:hAnsi="Times New Roman" w:cs="Times New Roman"/>
          <w:color w:val="000000" w:themeColor="text1"/>
          <w:sz w:val="28"/>
          <w:szCs w:val="24"/>
        </w:rPr>
        <w:t xml:space="preserve">% от ВВП страны и уменьшились в 5,2 раза по сравнению с инвестициями в 2016 году. Однако в 2018 году ПИИ вновь увеличились. Такое уменьшение инвестиций связано с общей нестабильностью в мировой экономике. В 2017 году прямые иностранные инвестиции сократились в мире на 16%, до 1,52 трлн. долларов, отмечается в докладе ООН по </w:t>
      </w:r>
      <w:r w:rsidRPr="00DF7224">
        <w:rPr>
          <w:rFonts w:ascii="Times New Roman" w:hAnsi="Times New Roman" w:cs="Times New Roman"/>
          <w:color w:val="000000" w:themeColor="text1"/>
          <w:sz w:val="28"/>
          <w:szCs w:val="28"/>
        </w:rPr>
        <w:t>торговле и развитию,</w:t>
      </w:r>
      <w:r w:rsidRPr="00DF7224">
        <w:rPr>
          <w:rFonts w:ascii="Times New Roman" w:hAnsi="Times New Roman" w:cs="Times New Roman"/>
          <w:sz w:val="28"/>
          <w:szCs w:val="28"/>
        </w:rPr>
        <w:t xml:space="preserve"> п</w:t>
      </w:r>
      <w:r w:rsidRPr="00DF7224">
        <w:rPr>
          <w:rFonts w:ascii="Times New Roman" w:hAnsi="Times New Roman" w:cs="Times New Roman"/>
          <w:color w:val="000000" w:themeColor="text1"/>
          <w:sz w:val="28"/>
          <w:szCs w:val="28"/>
        </w:rPr>
        <w:t>ри этом «сильное уменьшение» инвестиций от</w:t>
      </w:r>
      <w:r w:rsidR="00B4086F" w:rsidRPr="00DF7224">
        <w:rPr>
          <w:rFonts w:ascii="Times New Roman" w:hAnsi="Times New Roman" w:cs="Times New Roman"/>
          <w:color w:val="000000" w:themeColor="text1"/>
          <w:sz w:val="28"/>
          <w:szCs w:val="28"/>
        </w:rPr>
        <w:t xml:space="preserve">мечено в Европе (минус 27%) </w:t>
      </w:r>
      <w:r w:rsidRPr="00DF7224">
        <w:rPr>
          <w:rFonts w:ascii="Times New Roman" w:hAnsi="Times New Roman" w:cs="Times New Roman"/>
          <w:color w:val="000000" w:themeColor="text1"/>
          <w:sz w:val="28"/>
          <w:szCs w:val="28"/>
        </w:rPr>
        <w:t>[</w:t>
      </w:r>
      <w:r w:rsidR="006212CE" w:rsidRPr="00DF7224">
        <w:rPr>
          <w:rFonts w:ascii="Times New Roman" w:hAnsi="Times New Roman" w:cs="Times New Roman"/>
          <w:color w:val="000000" w:themeColor="text1"/>
          <w:sz w:val="28"/>
          <w:szCs w:val="28"/>
        </w:rPr>
        <w:t>43</w:t>
      </w:r>
      <w:r w:rsidRPr="00DF7224">
        <w:rPr>
          <w:rFonts w:ascii="Times New Roman" w:hAnsi="Times New Roman" w:cs="Times New Roman"/>
          <w:color w:val="000000" w:themeColor="text1"/>
          <w:sz w:val="28"/>
          <w:szCs w:val="28"/>
        </w:rPr>
        <w:t>]</w:t>
      </w:r>
      <w:r w:rsidR="00B4086F" w:rsidRPr="00DF7224">
        <w:rPr>
          <w:rFonts w:ascii="Times New Roman" w:hAnsi="Times New Roman" w:cs="Times New Roman"/>
          <w:color w:val="000000" w:themeColor="text1"/>
          <w:sz w:val="28"/>
          <w:szCs w:val="28"/>
        </w:rPr>
        <w:t>.</w:t>
      </w:r>
    </w:p>
    <w:p w:rsidR="007059B4" w:rsidRPr="00DF7224" w:rsidRDefault="007059B4" w:rsidP="007E0CA0">
      <w:pPr>
        <w:spacing w:after="0" w:line="360" w:lineRule="auto"/>
        <w:ind w:firstLine="709"/>
        <w:jc w:val="both"/>
        <w:rPr>
          <w:rFonts w:ascii="Times New Roman" w:hAnsi="Times New Roman" w:cs="Times New Roman"/>
          <w:color w:val="000000" w:themeColor="text1"/>
          <w:sz w:val="28"/>
          <w:szCs w:val="24"/>
        </w:rPr>
      </w:pPr>
      <w:r w:rsidRPr="00DF7224">
        <w:rPr>
          <w:rFonts w:ascii="Times New Roman" w:hAnsi="Times New Roman" w:cs="Times New Roman"/>
          <w:color w:val="000000" w:themeColor="text1"/>
          <w:sz w:val="28"/>
          <w:szCs w:val="24"/>
        </w:rPr>
        <w:t xml:space="preserve">По географии происхождения </w:t>
      </w:r>
      <w:r w:rsidR="00B4086F" w:rsidRPr="00DF7224">
        <w:rPr>
          <w:rFonts w:ascii="Times New Roman" w:hAnsi="Times New Roman" w:cs="Times New Roman"/>
          <w:color w:val="000000" w:themeColor="text1"/>
          <w:sz w:val="28"/>
          <w:szCs w:val="24"/>
        </w:rPr>
        <w:t xml:space="preserve">иностранных </w:t>
      </w:r>
      <w:r w:rsidRPr="00DF7224">
        <w:rPr>
          <w:rFonts w:ascii="Times New Roman" w:hAnsi="Times New Roman" w:cs="Times New Roman"/>
          <w:color w:val="000000" w:themeColor="text1"/>
          <w:sz w:val="28"/>
          <w:szCs w:val="24"/>
        </w:rPr>
        <w:t xml:space="preserve">инвестиций, более 80% от общего объема приходится на страны ЕС. Лидирующее положение занимает Люксембург (29,5% или 7,0 млрд. евро), далее следуют Нидерланды (17,0% или 4,0 млрд. евро), Германия (11,7% или 2,7 млрд. евро), Великобритания (13,3% или 3,1 млрд. евро), Франция (10,5% или 2,4 млрд. евро). В совокупности на эти 5 стран пришлось 82,0% всех иностранных инвестиций в Испанию в 2017 году. Высокая доля Люксембурга и Нидерландов в общем объеме </w:t>
      </w:r>
      <w:r w:rsidR="00D25283" w:rsidRPr="00DF7224">
        <w:rPr>
          <w:rFonts w:ascii="Times New Roman" w:hAnsi="Times New Roman" w:cs="Times New Roman"/>
          <w:color w:val="000000" w:themeColor="text1"/>
          <w:sz w:val="28"/>
          <w:szCs w:val="24"/>
        </w:rPr>
        <w:t>ПИИ</w:t>
      </w:r>
      <w:r w:rsidRPr="00DF7224">
        <w:rPr>
          <w:rFonts w:ascii="Times New Roman" w:hAnsi="Times New Roman" w:cs="Times New Roman"/>
          <w:color w:val="000000" w:themeColor="text1"/>
          <w:sz w:val="28"/>
          <w:szCs w:val="24"/>
        </w:rPr>
        <w:t xml:space="preserve"> в экономике Испании объясняется тем, что крупные </w:t>
      </w:r>
      <w:r w:rsidRPr="00DF7224">
        <w:rPr>
          <w:rFonts w:ascii="Times New Roman" w:hAnsi="Times New Roman" w:cs="Times New Roman"/>
          <w:color w:val="000000" w:themeColor="text1"/>
          <w:sz w:val="28"/>
          <w:szCs w:val="24"/>
        </w:rPr>
        <w:lastRenderedPageBreak/>
        <w:t>международные компании предпочитают проводить инвестиционные операции через эти страны, пользуясь специальным налоговым режимом.</w:t>
      </w:r>
    </w:p>
    <w:p w:rsidR="00B4086F" w:rsidRPr="00DF7224" w:rsidRDefault="00B4086F" w:rsidP="007E0CA0">
      <w:pPr>
        <w:spacing w:after="0" w:line="360" w:lineRule="auto"/>
        <w:ind w:firstLine="709"/>
        <w:jc w:val="both"/>
        <w:rPr>
          <w:rFonts w:ascii="Times New Roman" w:hAnsi="Times New Roman" w:cs="Times New Roman"/>
          <w:color w:val="000000" w:themeColor="text1"/>
          <w:sz w:val="28"/>
          <w:szCs w:val="24"/>
        </w:rPr>
      </w:pPr>
    </w:p>
    <w:p w:rsidR="001933B6" w:rsidRPr="00DF7224" w:rsidRDefault="000D1CD8" w:rsidP="007E0CA0">
      <w:pPr>
        <w:spacing w:after="0" w:line="240" w:lineRule="auto"/>
        <w:ind w:firstLine="709"/>
        <w:jc w:val="center"/>
        <w:rPr>
          <w:rFonts w:ascii="Times New Roman" w:hAnsi="Times New Roman" w:cs="Times New Roman"/>
          <w:color w:val="000000" w:themeColor="text1"/>
          <w:sz w:val="28"/>
          <w:szCs w:val="24"/>
        </w:rPr>
      </w:pPr>
      <w:r w:rsidRPr="00DF7224">
        <w:rPr>
          <w:rFonts w:ascii="Times New Roman" w:hAnsi="Times New Roman" w:cs="Times New Roman"/>
          <w:noProof/>
          <w:lang w:eastAsia="ru-RU"/>
        </w:rPr>
        <w:drawing>
          <wp:inline distT="0" distB="0" distL="0" distR="0" wp14:anchorId="3826F8DE" wp14:editId="4A2634C4">
            <wp:extent cx="4572000" cy="2743200"/>
            <wp:effectExtent l="0" t="0" r="1905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086F" w:rsidRPr="00DF7224" w:rsidRDefault="00B4086F" w:rsidP="007E0CA0">
      <w:pPr>
        <w:spacing w:after="0" w:line="240" w:lineRule="auto"/>
        <w:ind w:firstLine="709"/>
        <w:jc w:val="center"/>
        <w:rPr>
          <w:rFonts w:ascii="Times New Roman" w:hAnsi="Times New Roman" w:cs="Times New Roman"/>
          <w:color w:val="000000" w:themeColor="text1"/>
          <w:sz w:val="28"/>
          <w:szCs w:val="24"/>
        </w:rPr>
      </w:pPr>
    </w:p>
    <w:p w:rsidR="00B4086F" w:rsidRPr="00DF7224" w:rsidRDefault="000D1CD8" w:rsidP="00D41C2B">
      <w:pPr>
        <w:tabs>
          <w:tab w:val="left" w:pos="142"/>
        </w:tabs>
        <w:spacing w:after="0" w:line="360" w:lineRule="auto"/>
        <w:ind w:firstLine="142"/>
        <w:contextualSpacing/>
        <w:jc w:val="center"/>
        <w:rPr>
          <w:rFonts w:ascii="Times New Roman" w:eastAsia="Times New Roman" w:hAnsi="Times New Roman" w:cs="Times New Roman"/>
          <w:sz w:val="28"/>
          <w:szCs w:val="28"/>
          <w:lang w:val="en-US" w:eastAsia="ru-RU"/>
        </w:rPr>
      </w:pPr>
      <w:r w:rsidRPr="00DF7224">
        <w:rPr>
          <w:rFonts w:ascii="Times New Roman" w:eastAsia="Times New Roman" w:hAnsi="Times New Roman" w:cs="Times New Roman"/>
          <w:sz w:val="28"/>
          <w:szCs w:val="28"/>
          <w:lang w:eastAsia="ru-RU"/>
        </w:rPr>
        <w:t>Рисунок –</w:t>
      </w:r>
      <w:r w:rsidR="00D36A66" w:rsidRPr="00DF7224">
        <w:rPr>
          <w:rFonts w:ascii="Times New Roman" w:eastAsia="Times New Roman" w:hAnsi="Times New Roman" w:cs="Times New Roman"/>
          <w:sz w:val="28"/>
          <w:szCs w:val="28"/>
          <w:lang w:eastAsia="ru-RU"/>
        </w:rPr>
        <w:t xml:space="preserve"> </w:t>
      </w:r>
      <w:r w:rsidR="008B4C4C" w:rsidRPr="00DF7224">
        <w:rPr>
          <w:rFonts w:ascii="Times New Roman" w:eastAsia="Times New Roman" w:hAnsi="Times New Roman" w:cs="Times New Roman"/>
          <w:sz w:val="28"/>
          <w:szCs w:val="28"/>
          <w:lang w:eastAsia="ru-RU"/>
        </w:rPr>
        <w:t>1.</w:t>
      </w:r>
      <w:r w:rsidR="000A31BD" w:rsidRPr="00DF7224">
        <w:rPr>
          <w:rFonts w:ascii="Times New Roman" w:eastAsia="Times New Roman" w:hAnsi="Times New Roman" w:cs="Times New Roman"/>
          <w:sz w:val="28"/>
          <w:szCs w:val="28"/>
          <w:lang w:eastAsia="ru-RU"/>
        </w:rPr>
        <w:t>4</w:t>
      </w:r>
      <w:r w:rsidRPr="00DF7224">
        <w:rPr>
          <w:rFonts w:ascii="Times New Roman" w:eastAsia="Times New Roman" w:hAnsi="Times New Roman" w:cs="Times New Roman"/>
          <w:sz w:val="28"/>
          <w:szCs w:val="28"/>
          <w:lang w:eastAsia="ru-RU"/>
        </w:rPr>
        <w:t xml:space="preserve"> Объем </w:t>
      </w:r>
      <w:r w:rsidR="00EC379D" w:rsidRPr="00DF7224">
        <w:rPr>
          <w:rFonts w:ascii="Times New Roman" w:eastAsia="Times New Roman" w:hAnsi="Times New Roman" w:cs="Times New Roman"/>
          <w:sz w:val="28"/>
          <w:szCs w:val="28"/>
          <w:lang w:eastAsia="ru-RU"/>
        </w:rPr>
        <w:t>оттока прямых иностранных инвестиций из Испании</w:t>
      </w:r>
      <w:r w:rsidRPr="00DF7224">
        <w:rPr>
          <w:rFonts w:ascii="Times New Roman" w:eastAsia="Times New Roman" w:hAnsi="Times New Roman" w:cs="Times New Roman"/>
          <w:sz w:val="28"/>
          <w:szCs w:val="28"/>
          <w:lang w:eastAsia="ru-RU"/>
        </w:rPr>
        <w:t xml:space="preserve"> 2013-2018 гг. </w:t>
      </w:r>
      <w:r w:rsidRPr="00DF7224">
        <w:rPr>
          <w:rFonts w:ascii="Times New Roman" w:eastAsia="Times New Roman" w:hAnsi="Times New Roman" w:cs="Times New Roman"/>
          <w:sz w:val="28"/>
          <w:szCs w:val="28"/>
          <w:lang w:val="en-US" w:eastAsia="ru-RU"/>
        </w:rPr>
        <w:t>(</w:t>
      </w:r>
      <w:r w:rsidRPr="00DF7224">
        <w:rPr>
          <w:rFonts w:ascii="Times New Roman" w:eastAsia="Times New Roman" w:hAnsi="Times New Roman" w:cs="Times New Roman"/>
          <w:sz w:val="28"/>
          <w:szCs w:val="28"/>
          <w:lang w:eastAsia="ru-RU"/>
        </w:rPr>
        <w:t>тыс</w:t>
      </w:r>
      <w:r w:rsidRPr="00DF7224">
        <w:rPr>
          <w:rFonts w:ascii="Times New Roman" w:eastAsia="Times New Roman" w:hAnsi="Times New Roman" w:cs="Times New Roman"/>
          <w:sz w:val="28"/>
          <w:szCs w:val="28"/>
          <w:lang w:val="en-US" w:eastAsia="ru-RU"/>
        </w:rPr>
        <w:t xml:space="preserve">. </w:t>
      </w:r>
      <w:r w:rsidRPr="00DF7224">
        <w:rPr>
          <w:rFonts w:ascii="Times New Roman" w:eastAsia="Times New Roman" w:hAnsi="Times New Roman" w:cs="Times New Roman"/>
          <w:sz w:val="28"/>
          <w:szCs w:val="28"/>
          <w:lang w:eastAsia="ru-RU"/>
        </w:rPr>
        <w:t>долл</w:t>
      </w:r>
      <w:r w:rsidRPr="00DF7224">
        <w:rPr>
          <w:rFonts w:ascii="Times New Roman" w:eastAsia="Times New Roman" w:hAnsi="Times New Roman" w:cs="Times New Roman"/>
          <w:sz w:val="28"/>
          <w:szCs w:val="28"/>
          <w:lang w:val="en-US" w:eastAsia="ru-RU"/>
        </w:rPr>
        <w:t xml:space="preserve">. </w:t>
      </w:r>
      <w:r w:rsidRPr="00DF7224">
        <w:rPr>
          <w:rFonts w:ascii="Times New Roman" w:eastAsia="Times New Roman" w:hAnsi="Times New Roman" w:cs="Times New Roman"/>
          <w:sz w:val="28"/>
          <w:szCs w:val="28"/>
          <w:lang w:eastAsia="ru-RU"/>
        </w:rPr>
        <w:t>США</w:t>
      </w:r>
      <w:r w:rsidRPr="00DF7224">
        <w:rPr>
          <w:rFonts w:ascii="Times New Roman" w:eastAsia="Times New Roman" w:hAnsi="Times New Roman" w:cs="Times New Roman"/>
          <w:sz w:val="28"/>
          <w:szCs w:val="28"/>
          <w:lang w:val="en-US" w:eastAsia="ru-RU"/>
        </w:rPr>
        <w:t>)</w:t>
      </w:r>
    </w:p>
    <w:p w:rsidR="000D1CD8" w:rsidRPr="00DF7224" w:rsidRDefault="000D1CD8" w:rsidP="00D9323E">
      <w:pPr>
        <w:tabs>
          <w:tab w:val="left" w:pos="142"/>
        </w:tabs>
        <w:spacing w:after="0" w:line="240" w:lineRule="auto"/>
        <w:ind w:firstLine="709"/>
        <w:contextualSpacing/>
        <w:rPr>
          <w:rFonts w:ascii="Times New Roman" w:eastAsia="Times New Roman" w:hAnsi="Times New Roman" w:cs="Times New Roman"/>
          <w:sz w:val="20"/>
          <w:szCs w:val="28"/>
          <w:lang w:val="en-US" w:eastAsia="ru-RU"/>
        </w:rPr>
      </w:pPr>
      <w:r w:rsidRPr="00DF7224">
        <w:rPr>
          <w:rFonts w:ascii="Times New Roman" w:eastAsia="Times New Roman" w:hAnsi="Times New Roman" w:cs="Times New Roman"/>
          <w:i/>
          <w:sz w:val="20"/>
          <w:szCs w:val="28"/>
          <w:lang w:eastAsia="ru-RU"/>
        </w:rPr>
        <w:t>Источник</w:t>
      </w:r>
      <w:r w:rsidRPr="00DF7224">
        <w:rPr>
          <w:rFonts w:ascii="Times New Roman" w:eastAsia="Times New Roman" w:hAnsi="Times New Roman" w:cs="Times New Roman"/>
          <w:i/>
          <w:sz w:val="20"/>
          <w:szCs w:val="28"/>
          <w:lang w:val="en-US" w:eastAsia="ru-RU"/>
        </w:rPr>
        <w:t>:</w:t>
      </w:r>
      <w:r w:rsidRPr="00DF7224">
        <w:rPr>
          <w:rFonts w:ascii="Times New Roman" w:eastAsia="Times New Roman" w:hAnsi="Times New Roman" w:cs="Times New Roman"/>
          <w:sz w:val="20"/>
          <w:szCs w:val="28"/>
          <w:lang w:val="en-US" w:eastAsia="ru-RU"/>
        </w:rPr>
        <w:t xml:space="preserve"> FDI flows Outward,</w:t>
      </w:r>
      <w:r w:rsidR="00D36A66" w:rsidRPr="00DF7224">
        <w:rPr>
          <w:rFonts w:ascii="Times New Roman" w:eastAsia="Times New Roman" w:hAnsi="Times New Roman" w:cs="Times New Roman"/>
          <w:sz w:val="20"/>
          <w:szCs w:val="28"/>
          <w:lang w:val="en-US" w:eastAsia="ru-RU"/>
        </w:rPr>
        <w:t xml:space="preserve"> Million US dollars, 2005 – 2018</w:t>
      </w:r>
      <w:r w:rsidRPr="00DF7224">
        <w:rPr>
          <w:rFonts w:ascii="Times New Roman" w:eastAsia="Times New Roman" w:hAnsi="Times New Roman" w:cs="Times New Roman"/>
          <w:sz w:val="20"/>
          <w:szCs w:val="28"/>
          <w:lang w:val="en-US" w:eastAsia="ru-RU"/>
        </w:rPr>
        <w:t xml:space="preserve"> Source: Benchmark definition, 4th edition (BMD4): Foreign direct investment: financial flows, main aggregates</w:t>
      </w:r>
    </w:p>
    <w:p w:rsidR="00D9323E" w:rsidRPr="00DF7224" w:rsidRDefault="00D9323E" w:rsidP="00D9323E">
      <w:pPr>
        <w:tabs>
          <w:tab w:val="left" w:pos="142"/>
        </w:tabs>
        <w:spacing w:after="0" w:line="240" w:lineRule="auto"/>
        <w:ind w:firstLine="709"/>
        <w:contextualSpacing/>
        <w:rPr>
          <w:rFonts w:ascii="Times New Roman" w:eastAsia="Times New Roman" w:hAnsi="Times New Roman" w:cs="Times New Roman"/>
          <w:sz w:val="24"/>
          <w:szCs w:val="28"/>
          <w:lang w:val="en-US" w:eastAsia="ru-RU"/>
        </w:rPr>
      </w:pPr>
    </w:p>
    <w:p w:rsidR="00B4086F" w:rsidRPr="00DF7224" w:rsidRDefault="00B4086F" w:rsidP="00B4086F">
      <w:pPr>
        <w:spacing w:after="0" w:line="240" w:lineRule="auto"/>
        <w:ind w:firstLine="709"/>
        <w:rPr>
          <w:rFonts w:ascii="Times New Roman" w:hAnsi="Times New Roman" w:cs="Times New Roman"/>
          <w:sz w:val="24"/>
          <w:szCs w:val="24"/>
          <w:lang w:val="en-US"/>
        </w:rPr>
      </w:pPr>
    </w:p>
    <w:p w:rsidR="002E15A7" w:rsidRPr="00DF7224" w:rsidRDefault="00281FFD" w:rsidP="007E0CA0">
      <w:pPr>
        <w:spacing w:after="0" w:line="360" w:lineRule="auto"/>
        <w:ind w:firstLine="709"/>
        <w:jc w:val="both"/>
        <w:rPr>
          <w:rFonts w:ascii="Times New Roman" w:hAnsi="Times New Roman" w:cs="Times New Roman"/>
          <w:sz w:val="28"/>
          <w:szCs w:val="24"/>
        </w:rPr>
      </w:pPr>
      <w:r w:rsidRPr="00DF7224">
        <w:rPr>
          <w:rFonts w:ascii="Times New Roman" w:hAnsi="Times New Roman" w:cs="Times New Roman"/>
          <w:color w:val="000000" w:themeColor="text1"/>
          <w:sz w:val="28"/>
          <w:szCs w:val="24"/>
        </w:rPr>
        <w:t>С 20013 по 2016 года наблюдается тенденция увеличение объёма оттока ПИИ из Испании – ПИИ увеличились на 27665 тыс. долл. США. В 2017 году на фоне мирового уменьшения ПИИ испанские инвестиции также сократились в 2 раза. В 2018 году ПИИ увеличились, но не достигли уровня 2016 года и составили только 2,3% от ВВП.</w:t>
      </w:r>
    </w:p>
    <w:p w:rsidR="00281FFD" w:rsidRPr="00DF7224" w:rsidRDefault="00281FFD"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Наибольший объем испанских инвестиций в 2017 г. был направлен в такие страны, как США – 2,80 млрд. евро (14,2%), Францию – 2,79 млрд. евро (14,1%), Мексику – 1,70 млрд. евро (8,7%), Канаду – 1,56 млрд. евро (7,9%), Нидерланды – 1,48 млрд. евро (7,5%) и Колумбию – 1,47 млрд. евро (7,5%), а также Бразилию – 1,05 млрд. евро (5,3%), Португалию – 0,97 млрд. евро (4,9%) и Ирландию – 0,94 млрд. евро (4,8%).</w:t>
      </w:r>
    </w:p>
    <w:p w:rsidR="00B4086F" w:rsidRPr="00DF7224" w:rsidRDefault="00281FFD" w:rsidP="00BD1278">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ПИИ привлекаются за счёт введения новой, направленной на привлечение, экономической политики. </w:t>
      </w:r>
      <w:r w:rsidR="00EC379D" w:rsidRPr="00DF7224">
        <w:rPr>
          <w:rFonts w:ascii="Times New Roman" w:hAnsi="Times New Roman" w:cs="Times New Roman"/>
          <w:sz w:val="28"/>
          <w:szCs w:val="28"/>
        </w:rPr>
        <w:t xml:space="preserve">Испания последовательно и </w:t>
      </w:r>
      <w:r w:rsidR="00EC379D" w:rsidRPr="00DF7224">
        <w:rPr>
          <w:rFonts w:ascii="Times New Roman" w:hAnsi="Times New Roman" w:cs="Times New Roman"/>
          <w:sz w:val="28"/>
          <w:szCs w:val="28"/>
        </w:rPr>
        <w:lastRenderedPageBreak/>
        <w:t>динамично реализует стратегию внешнеэкономического развития страны, направленную на усиление роли Испании в мире, как надежного и перспективного экономического партнера</w:t>
      </w:r>
      <w:r w:rsidR="00C74A0C" w:rsidRPr="00DF7224">
        <w:rPr>
          <w:rFonts w:ascii="Times New Roman" w:hAnsi="Times New Roman" w:cs="Times New Roman"/>
          <w:sz w:val="28"/>
          <w:szCs w:val="28"/>
        </w:rPr>
        <w:t>. О</w:t>
      </w:r>
      <w:r w:rsidR="00EC379D" w:rsidRPr="00DF7224">
        <w:rPr>
          <w:rFonts w:ascii="Times New Roman" w:hAnsi="Times New Roman" w:cs="Times New Roman"/>
          <w:sz w:val="28"/>
          <w:szCs w:val="28"/>
        </w:rPr>
        <w:t xml:space="preserve">сновные аспекты </w:t>
      </w:r>
      <w:r w:rsidR="00C74A0C" w:rsidRPr="00DF7224">
        <w:rPr>
          <w:rFonts w:ascii="Times New Roman" w:hAnsi="Times New Roman" w:cs="Times New Roman"/>
          <w:sz w:val="28"/>
          <w:szCs w:val="28"/>
        </w:rPr>
        <w:t xml:space="preserve">стратегии </w:t>
      </w:r>
      <w:r w:rsidR="00EC379D" w:rsidRPr="00DF7224">
        <w:rPr>
          <w:rFonts w:ascii="Times New Roman" w:hAnsi="Times New Roman" w:cs="Times New Roman"/>
          <w:sz w:val="28"/>
          <w:szCs w:val="28"/>
        </w:rPr>
        <w:t>были отражены в «Стратегии международной деятельности» («Estrategia de acción exterior»), принятой Правительством страны в 2015 г</w:t>
      </w:r>
      <w:r w:rsidR="00C74A0C" w:rsidRPr="00DF7224">
        <w:rPr>
          <w:rFonts w:ascii="Times New Roman" w:hAnsi="Times New Roman" w:cs="Times New Roman"/>
          <w:sz w:val="28"/>
          <w:szCs w:val="28"/>
        </w:rPr>
        <w:t>.</w:t>
      </w:r>
      <w:r w:rsidRPr="00DF7224">
        <w:rPr>
          <w:rFonts w:ascii="Times New Roman" w:hAnsi="Times New Roman" w:cs="Times New Roman"/>
          <w:sz w:val="28"/>
          <w:szCs w:val="28"/>
        </w:rPr>
        <w:t xml:space="preserve"> Большинство секторов Испании открыты для пря</w:t>
      </w:r>
      <w:r w:rsidR="00C74A0C" w:rsidRPr="00DF7224">
        <w:rPr>
          <w:rFonts w:ascii="Times New Roman" w:hAnsi="Times New Roman" w:cs="Times New Roman"/>
          <w:sz w:val="28"/>
          <w:szCs w:val="28"/>
        </w:rPr>
        <w:t>мых иностранных инвестиций</w:t>
      </w:r>
      <w:r w:rsidRPr="00DF7224">
        <w:rPr>
          <w:rFonts w:ascii="Times New Roman" w:hAnsi="Times New Roman" w:cs="Times New Roman"/>
          <w:sz w:val="28"/>
          <w:szCs w:val="28"/>
        </w:rPr>
        <w:t xml:space="preserve">, за исключением средств массовой информации и транспорта. </w:t>
      </w:r>
    </w:p>
    <w:p w:rsidR="00281FFD" w:rsidRPr="00DF7224" w:rsidRDefault="00C74A0C"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 Испании также развита система помощи и субсидий, предоставляемых компаниям через различные учреждения: </w:t>
      </w:r>
    </w:p>
    <w:p w:rsidR="00C74A0C" w:rsidRPr="00DF7224" w:rsidRDefault="00EC379D" w:rsidP="007E0CA0">
      <w:pPr>
        <w:pStyle w:val="aa"/>
        <w:numPr>
          <w:ilvl w:val="0"/>
          <w:numId w:val="1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 xml:space="preserve">CDTI – государственный центр по промышленному и технологическому развитию. Предоставляет широкий спектр субсидий и кредитов для технологических проектов; </w:t>
      </w:r>
    </w:p>
    <w:p w:rsidR="00C74A0C" w:rsidRPr="00DF7224" w:rsidRDefault="00EC379D" w:rsidP="007E0CA0">
      <w:pPr>
        <w:pStyle w:val="aa"/>
        <w:numPr>
          <w:ilvl w:val="0"/>
          <w:numId w:val="1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 xml:space="preserve">Государственный секретариат по инновациям Министерства экономики, промышленности и конкурентоспособности. </w:t>
      </w:r>
      <w:r w:rsidR="00222081" w:rsidRPr="00DF7224">
        <w:rPr>
          <w:rFonts w:ascii="Times New Roman" w:hAnsi="Times New Roman" w:cs="Times New Roman"/>
          <w:sz w:val="28"/>
          <w:szCs w:val="28"/>
        </w:rPr>
        <w:t>П</w:t>
      </w:r>
      <w:r w:rsidRPr="00DF7224">
        <w:rPr>
          <w:rFonts w:ascii="Times New Roman" w:hAnsi="Times New Roman" w:cs="Times New Roman"/>
          <w:sz w:val="28"/>
          <w:szCs w:val="28"/>
        </w:rPr>
        <w:t>редоставляет гранты и кредиты проектам как государственных, так и част</w:t>
      </w:r>
      <w:r w:rsidR="00C74A0C" w:rsidRPr="00DF7224">
        <w:rPr>
          <w:rFonts w:ascii="Times New Roman" w:hAnsi="Times New Roman" w:cs="Times New Roman"/>
          <w:sz w:val="28"/>
          <w:szCs w:val="28"/>
        </w:rPr>
        <w:t>ных компаний;</w:t>
      </w:r>
    </w:p>
    <w:p w:rsidR="00C74A0C" w:rsidRPr="00DF7224" w:rsidRDefault="00EC379D" w:rsidP="007E0CA0">
      <w:pPr>
        <w:pStyle w:val="aa"/>
        <w:numPr>
          <w:ilvl w:val="0"/>
          <w:numId w:val="1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 xml:space="preserve">«INVEST IN SPAIN» разработал программу поддержки иностранных компаний за счёт выделения до 200000 евро на проекты, связанные с высокой степенью инноваций; </w:t>
      </w:r>
    </w:p>
    <w:p w:rsidR="00C74A0C" w:rsidRPr="00DF7224" w:rsidRDefault="00EC379D" w:rsidP="007E0CA0">
      <w:pPr>
        <w:pStyle w:val="aa"/>
        <w:numPr>
          <w:ilvl w:val="0"/>
          <w:numId w:val="1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ENISA – Национальный институт по инновациям. Финансирует МСП до 1,5 млн. евро по льготным процентным ставкам, не</w:t>
      </w:r>
      <w:r w:rsidR="00C74A0C" w:rsidRPr="00DF7224">
        <w:rPr>
          <w:rFonts w:ascii="Times New Roman" w:hAnsi="Times New Roman" w:cs="Times New Roman"/>
          <w:sz w:val="28"/>
          <w:szCs w:val="28"/>
        </w:rPr>
        <w:t xml:space="preserve"> требуя финансовых гарантий;</w:t>
      </w:r>
    </w:p>
    <w:p w:rsidR="00C74A0C" w:rsidRPr="00DF7224" w:rsidRDefault="00EC379D" w:rsidP="007E0CA0">
      <w:pPr>
        <w:pStyle w:val="aa"/>
        <w:numPr>
          <w:ilvl w:val="0"/>
          <w:numId w:val="1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Общественная организация RED.ES занимается продвижением проектов и стартапов в сек</w:t>
      </w:r>
      <w:r w:rsidR="00C74A0C" w:rsidRPr="00DF7224">
        <w:rPr>
          <w:rFonts w:ascii="Times New Roman" w:hAnsi="Times New Roman" w:cs="Times New Roman"/>
          <w:sz w:val="28"/>
          <w:szCs w:val="28"/>
        </w:rPr>
        <w:t>торе информационных технологий;</w:t>
      </w:r>
    </w:p>
    <w:p w:rsidR="00C74A0C" w:rsidRPr="00DF7224" w:rsidRDefault="00EC379D" w:rsidP="007E0CA0">
      <w:pPr>
        <w:pStyle w:val="aa"/>
        <w:numPr>
          <w:ilvl w:val="0"/>
          <w:numId w:val="1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 xml:space="preserve">ICO – </w:t>
      </w:r>
      <w:r w:rsidR="00C74A0C" w:rsidRPr="00DF7224">
        <w:rPr>
          <w:rFonts w:ascii="Times New Roman" w:hAnsi="Times New Roman" w:cs="Times New Roman"/>
          <w:sz w:val="28"/>
          <w:szCs w:val="28"/>
        </w:rPr>
        <w:t>Официальный Кредитный институт;</w:t>
      </w:r>
    </w:p>
    <w:p w:rsidR="00EC379D" w:rsidRPr="00DF7224" w:rsidRDefault="00EC379D" w:rsidP="007E0CA0">
      <w:pPr>
        <w:pStyle w:val="aa"/>
        <w:numPr>
          <w:ilvl w:val="0"/>
          <w:numId w:val="1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IDAE – Институт энергетической диверсификации и энергосбережения финансирует высокотехнологичные энергетические проекты. Возможность получить финансовую помощь имеют компании, объем инвестиций которых превышает 500 тыс. евро.</w:t>
      </w:r>
    </w:p>
    <w:p w:rsidR="00C74A0C" w:rsidRPr="00DF7224" w:rsidRDefault="005B7DA4"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lastRenderedPageBreak/>
        <w:t>Одной из главных составляющих экономики Испании является туризм. По состоянию на февраль 2019 года испанская туристическая индустрия занимает первое место в мире в рейтинге международного туризма «The TourismRank».</w:t>
      </w:r>
      <w:r w:rsidRPr="00DF7224">
        <w:rPr>
          <w:rFonts w:ascii="Times New Roman" w:hAnsi="Times New Roman" w:cs="Times New Roman"/>
        </w:rPr>
        <w:t xml:space="preserve"> </w:t>
      </w:r>
      <w:r w:rsidRPr="00DF7224">
        <w:rPr>
          <w:rFonts w:ascii="Times New Roman" w:hAnsi="Times New Roman" w:cs="Times New Roman"/>
          <w:sz w:val="28"/>
          <w:szCs w:val="28"/>
        </w:rPr>
        <w:t>Благодаря развитию туристической инфраструктуры, улучшению транспортного, воздушного сообщения и надлежащей заботе об историческом наследии, Испания совершила в последнее время прорыв в мировом рейтинге наиболее популярных направлений для отдыха. В 2017 г. Испания приняла 82,2 млн. туристов (на 8,6% больше, чем в 2016 г.), которые потратили в стране более 86 млрд. евро, что на 12,2% больше, чем в 2016 г. В 2017 году Испания вышла на 2-ое место в мире по количеству иностранных туристов, опередив США в списке самых посещаемых стран мира, и в 2018 вытеснила с 1-го места Францию.</w:t>
      </w:r>
    </w:p>
    <w:p w:rsidR="00C74A0C" w:rsidRPr="00DF7224" w:rsidRDefault="005B7DA4"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Число иностранных туристов, прибывающих в Испанию, в марте 2019 года выросло на 4,7 процента в годовом исчислении до 5,65 миллиона, после роста на 3,8 процента в предыдущем месяце. Посетители прибыли в основном из Франции (рост на 4,6 процента до 678 тысяч), Италии (рост на 13,5 процента до 321 тысячи), США (рост на 18,4 процента до 245 тысяч), Португалии (рост на 23,6 процента до 186 тысяч) и Ирландии (рост на 5,1 процента до 124 тысяч). Канария была основным пунктом назначения (23,7 процента от общего числа прибывших), затем следовали Каталония (22,6 процента) и Андалусия (15,1 процента). С учетом первого квартала года количество иностранных туристов увеличилось на 3,7 процента по сравнению с предыдущим годом и составило 14,22 миллиона. Количество туристов, прибывших в Испанию, составило в среднем 4626,58 тысячи человек с 1995 по 2019 год, достигнув рекордного уровня в 10493,44 тысячи человек в июле 2017 года.</w:t>
      </w:r>
    </w:p>
    <w:p w:rsidR="006D26B3" w:rsidRPr="00DF7224" w:rsidRDefault="005A7393" w:rsidP="00B4086F">
      <w:pPr>
        <w:spacing w:after="0" w:line="360" w:lineRule="auto"/>
        <w:ind w:firstLine="709"/>
        <w:jc w:val="both"/>
        <w:rPr>
          <w:rFonts w:ascii="Times New Roman" w:hAnsi="Times New Roman" w:cs="Times New Roman"/>
          <w:sz w:val="28"/>
        </w:rPr>
      </w:pPr>
      <w:r w:rsidRPr="00DF7224">
        <w:rPr>
          <w:rFonts w:ascii="Times New Roman" w:hAnsi="Times New Roman" w:cs="Times New Roman"/>
          <w:sz w:val="28"/>
        </w:rPr>
        <w:t>Основным драйвером роста испанск</w:t>
      </w:r>
      <w:r w:rsidR="00222081" w:rsidRPr="00DF7224">
        <w:rPr>
          <w:rFonts w:ascii="Times New Roman" w:hAnsi="Times New Roman" w:cs="Times New Roman"/>
          <w:sz w:val="28"/>
        </w:rPr>
        <w:t>ой экономики в 2017 г. я</w:t>
      </w:r>
      <w:r w:rsidR="00C12C54" w:rsidRPr="00DF7224">
        <w:rPr>
          <w:rFonts w:ascii="Times New Roman" w:hAnsi="Times New Roman" w:cs="Times New Roman"/>
          <w:sz w:val="28"/>
        </w:rPr>
        <w:t xml:space="preserve">влялась </w:t>
      </w:r>
      <w:r w:rsidRPr="00DF7224">
        <w:rPr>
          <w:rFonts w:ascii="Times New Roman" w:hAnsi="Times New Roman" w:cs="Times New Roman"/>
          <w:sz w:val="28"/>
        </w:rPr>
        <w:t>активизация внутреннего спроса. Так</w:t>
      </w:r>
      <w:r w:rsidR="00C12C54" w:rsidRPr="00DF7224">
        <w:rPr>
          <w:rFonts w:ascii="Times New Roman" w:hAnsi="Times New Roman" w:cs="Times New Roman"/>
          <w:sz w:val="28"/>
        </w:rPr>
        <w:t xml:space="preserve">же среди положительных факторов </w:t>
      </w:r>
      <w:r w:rsidRPr="00DF7224">
        <w:rPr>
          <w:rFonts w:ascii="Times New Roman" w:hAnsi="Times New Roman" w:cs="Times New Roman"/>
          <w:sz w:val="28"/>
        </w:rPr>
        <w:t>можно отметить сохранение высоких темп</w:t>
      </w:r>
      <w:r w:rsidR="00C12C54" w:rsidRPr="00DF7224">
        <w:rPr>
          <w:rFonts w:ascii="Times New Roman" w:hAnsi="Times New Roman" w:cs="Times New Roman"/>
          <w:sz w:val="28"/>
        </w:rPr>
        <w:t xml:space="preserve">ов создания рабочих мест (более </w:t>
      </w:r>
      <w:r w:rsidRPr="00DF7224">
        <w:rPr>
          <w:rFonts w:ascii="Times New Roman" w:hAnsi="Times New Roman" w:cs="Times New Roman"/>
          <w:sz w:val="28"/>
        </w:rPr>
        <w:lastRenderedPageBreak/>
        <w:t>500 тыс. в год), постепенное сокращение бюджетного дефиц</w:t>
      </w:r>
      <w:r w:rsidR="00C12C54" w:rsidRPr="00DF7224">
        <w:rPr>
          <w:rFonts w:ascii="Times New Roman" w:hAnsi="Times New Roman" w:cs="Times New Roman"/>
          <w:sz w:val="28"/>
        </w:rPr>
        <w:t xml:space="preserve">ита и рост </w:t>
      </w:r>
      <w:r w:rsidRPr="00DF7224">
        <w:rPr>
          <w:rFonts w:ascii="Times New Roman" w:hAnsi="Times New Roman" w:cs="Times New Roman"/>
          <w:sz w:val="28"/>
        </w:rPr>
        <w:t xml:space="preserve">инвестиций </w:t>
      </w:r>
      <w:r w:rsidR="00C12C54" w:rsidRPr="00DF7224">
        <w:rPr>
          <w:rFonts w:ascii="Times New Roman" w:hAnsi="Times New Roman" w:cs="Times New Roman"/>
          <w:sz w:val="28"/>
        </w:rPr>
        <w:t xml:space="preserve">в строительство и производство. </w:t>
      </w:r>
      <w:r w:rsidRPr="00DF7224">
        <w:rPr>
          <w:rFonts w:ascii="Times New Roman" w:hAnsi="Times New Roman" w:cs="Times New Roman"/>
          <w:sz w:val="28"/>
        </w:rPr>
        <w:t>Испания по-прежнему находится на эт</w:t>
      </w:r>
      <w:r w:rsidR="00C12C54" w:rsidRPr="00DF7224">
        <w:rPr>
          <w:rFonts w:ascii="Times New Roman" w:hAnsi="Times New Roman" w:cs="Times New Roman"/>
          <w:sz w:val="28"/>
        </w:rPr>
        <w:t xml:space="preserve">апе интенсивного восстановления </w:t>
      </w:r>
      <w:r w:rsidRPr="00DF7224">
        <w:rPr>
          <w:rFonts w:ascii="Times New Roman" w:hAnsi="Times New Roman" w:cs="Times New Roman"/>
          <w:sz w:val="28"/>
        </w:rPr>
        <w:t>экономики, однако гораздо более сбалансиро</w:t>
      </w:r>
      <w:r w:rsidR="00C12C54" w:rsidRPr="00DF7224">
        <w:rPr>
          <w:rFonts w:ascii="Times New Roman" w:hAnsi="Times New Roman" w:cs="Times New Roman"/>
          <w:sz w:val="28"/>
        </w:rPr>
        <w:t xml:space="preserve">ванном, чем в предыдущих фазах  </w:t>
      </w:r>
      <w:r w:rsidRPr="00DF7224">
        <w:rPr>
          <w:rFonts w:ascii="Times New Roman" w:hAnsi="Times New Roman" w:cs="Times New Roman"/>
          <w:sz w:val="28"/>
        </w:rPr>
        <w:t xml:space="preserve">подъема, что выразилось в положительном балансе </w:t>
      </w:r>
      <w:r w:rsidR="00C12C54" w:rsidRPr="00DF7224">
        <w:rPr>
          <w:rFonts w:ascii="Times New Roman" w:hAnsi="Times New Roman" w:cs="Times New Roman"/>
          <w:sz w:val="28"/>
        </w:rPr>
        <w:t xml:space="preserve">из-за </w:t>
      </w:r>
      <w:r w:rsidRPr="00DF7224">
        <w:rPr>
          <w:rFonts w:ascii="Times New Roman" w:hAnsi="Times New Roman" w:cs="Times New Roman"/>
          <w:sz w:val="28"/>
        </w:rPr>
        <w:t>хорошей динамики экспорта и</w:t>
      </w:r>
      <w:r w:rsidR="00C12C54" w:rsidRPr="00DF7224">
        <w:rPr>
          <w:rFonts w:ascii="Times New Roman" w:hAnsi="Times New Roman" w:cs="Times New Roman"/>
          <w:sz w:val="28"/>
        </w:rPr>
        <w:t xml:space="preserve"> доходов туристической сферы.</w:t>
      </w:r>
    </w:p>
    <w:p w:rsidR="006D26B3" w:rsidRPr="00DF7224" w:rsidRDefault="006D26B3">
      <w:pPr>
        <w:rPr>
          <w:rFonts w:ascii="Times New Roman" w:hAnsi="Times New Roman" w:cs="Times New Roman"/>
          <w:sz w:val="28"/>
        </w:rPr>
      </w:pPr>
      <w:r w:rsidRPr="00DF7224">
        <w:rPr>
          <w:rFonts w:ascii="Times New Roman" w:hAnsi="Times New Roman" w:cs="Times New Roman"/>
          <w:sz w:val="28"/>
        </w:rPr>
        <w:br w:type="page"/>
      </w:r>
    </w:p>
    <w:p w:rsidR="00F8793A" w:rsidRPr="00DF7224" w:rsidRDefault="00590FAA" w:rsidP="00B4086F">
      <w:pPr>
        <w:pStyle w:val="1"/>
        <w:spacing w:before="0" w:after="200" w:line="360" w:lineRule="auto"/>
        <w:ind w:firstLine="357"/>
        <w:jc w:val="center"/>
        <w:rPr>
          <w:rFonts w:ascii="Times New Roman" w:eastAsia="Calibri" w:hAnsi="Times New Roman" w:cs="Times New Roman"/>
          <w:b w:val="0"/>
          <w:color w:val="auto"/>
        </w:rPr>
      </w:pPr>
      <w:bookmarkStart w:id="6" w:name="_Toc10992394"/>
      <w:r w:rsidRPr="00DF7224">
        <w:rPr>
          <w:rFonts w:ascii="Times New Roman" w:eastAsia="Calibri" w:hAnsi="Times New Roman" w:cs="Times New Roman"/>
          <w:b w:val="0"/>
          <w:color w:val="auto"/>
        </w:rPr>
        <w:lastRenderedPageBreak/>
        <w:t xml:space="preserve">ГЛАВА </w:t>
      </w:r>
      <w:r w:rsidR="00A60862" w:rsidRPr="00DF7224">
        <w:rPr>
          <w:rFonts w:ascii="Times New Roman" w:eastAsia="Calibri" w:hAnsi="Times New Roman" w:cs="Times New Roman"/>
          <w:b w:val="0"/>
          <w:color w:val="auto"/>
        </w:rPr>
        <w:t xml:space="preserve">2. </w:t>
      </w:r>
      <w:r w:rsidR="00FD5285" w:rsidRPr="00DF7224">
        <w:rPr>
          <w:rFonts w:ascii="Times New Roman" w:eastAsia="Calibri" w:hAnsi="Times New Roman" w:cs="Times New Roman"/>
          <w:b w:val="0"/>
          <w:color w:val="auto"/>
        </w:rPr>
        <w:t xml:space="preserve">АНАЛИЗ УЧАСТИЯ </w:t>
      </w:r>
      <w:r w:rsidR="00FD5285" w:rsidRPr="00DF7224">
        <w:rPr>
          <w:rFonts w:ascii="Times New Roman" w:hAnsi="Times New Roman" w:cs="Times New Roman"/>
          <w:b w:val="0"/>
          <w:color w:val="auto"/>
        </w:rPr>
        <w:t>ИСПАНИИ</w:t>
      </w:r>
      <w:r w:rsidR="00FD5285" w:rsidRPr="00DF7224">
        <w:rPr>
          <w:rFonts w:ascii="Times New Roman" w:eastAsia="Calibri" w:hAnsi="Times New Roman" w:cs="Times New Roman"/>
          <w:b w:val="0"/>
          <w:color w:val="auto"/>
        </w:rPr>
        <w:t xml:space="preserve"> В СИСТЕМЕ МИРОХОЗЯЙСТВЕННЫХ СВЯЗЕЙ</w:t>
      </w:r>
      <w:bookmarkEnd w:id="6"/>
    </w:p>
    <w:p w:rsidR="00D41C2B" w:rsidRPr="00DF7224" w:rsidRDefault="00F8793A" w:rsidP="00D41C2B">
      <w:pPr>
        <w:pStyle w:val="1"/>
        <w:spacing w:before="0" w:line="360" w:lineRule="auto"/>
        <w:ind w:firstLine="709"/>
        <w:rPr>
          <w:rFonts w:ascii="Times New Roman" w:hAnsi="Times New Roman" w:cs="Times New Roman"/>
          <w:b w:val="0"/>
          <w:color w:val="auto"/>
        </w:rPr>
      </w:pPr>
      <w:bookmarkStart w:id="7" w:name="_Toc10992395"/>
      <w:r w:rsidRPr="00DF7224">
        <w:rPr>
          <w:rFonts w:ascii="Times New Roman" w:eastAsia="Calibri" w:hAnsi="Times New Roman" w:cs="Times New Roman"/>
          <w:b w:val="0"/>
          <w:color w:val="auto"/>
        </w:rPr>
        <w:t xml:space="preserve">2.1 Анализ международной торговли </w:t>
      </w:r>
      <w:r w:rsidRPr="00DF7224">
        <w:rPr>
          <w:rFonts w:ascii="Times New Roman" w:hAnsi="Times New Roman" w:cs="Times New Roman"/>
          <w:b w:val="0"/>
          <w:color w:val="auto"/>
        </w:rPr>
        <w:t>Испании</w:t>
      </w:r>
      <w:bookmarkEnd w:id="7"/>
    </w:p>
    <w:p w:rsidR="00D41C2B" w:rsidRPr="00DF7224" w:rsidRDefault="00D41C2B" w:rsidP="00D41C2B"/>
    <w:p w:rsidR="00D9323E" w:rsidRPr="00DF7224" w:rsidRDefault="00222081" w:rsidP="00D0049C">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Испани</w:t>
      </w:r>
      <w:r w:rsidR="00D41C2B" w:rsidRPr="00DF7224">
        <w:rPr>
          <w:rFonts w:ascii="Times New Roman" w:hAnsi="Times New Roman" w:cs="Times New Roman"/>
          <w:sz w:val="28"/>
          <w:szCs w:val="28"/>
        </w:rPr>
        <w:t>я является активным участником международной торговли</w:t>
      </w:r>
      <w:r w:rsidRPr="00DF7224">
        <w:rPr>
          <w:rFonts w:ascii="Times New Roman" w:hAnsi="Times New Roman" w:cs="Times New Roman"/>
          <w:sz w:val="28"/>
          <w:szCs w:val="28"/>
        </w:rPr>
        <w:t xml:space="preserve">. </w:t>
      </w:r>
      <w:r w:rsidR="004650E3" w:rsidRPr="00DF7224">
        <w:rPr>
          <w:rFonts w:ascii="Times New Roman" w:hAnsi="Times New Roman" w:cs="Times New Roman"/>
          <w:sz w:val="28"/>
          <w:szCs w:val="28"/>
        </w:rPr>
        <w:t>Страна занимает одно из ведущих мест в ми</w:t>
      </w:r>
      <w:r w:rsidR="00E9126A" w:rsidRPr="00DF7224">
        <w:rPr>
          <w:rFonts w:ascii="Times New Roman" w:hAnsi="Times New Roman" w:cs="Times New Roman"/>
          <w:sz w:val="28"/>
          <w:szCs w:val="28"/>
        </w:rPr>
        <w:t>ровой экономике: по объему ВВП –</w:t>
      </w:r>
      <w:r w:rsidR="004650E3" w:rsidRPr="00DF7224">
        <w:rPr>
          <w:rFonts w:ascii="Times New Roman" w:hAnsi="Times New Roman" w:cs="Times New Roman"/>
          <w:sz w:val="28"/>
          <w:szCs w:val="28"/>
        </w:rPr>
        <w:t xml:space="preserve"> 12-я в мире. Значительный рост объемов испанского экспорта и импорта за последние годы превратил ее в одну из наиболее интернационализированных стран: по экспорту товаров находится на 18-м месте в мире, по импорту товаров – на 15-м, по экспорту услуг – на 11-м, по импорту услуг – на 21-м. По объему привлеченных прямых инвестиций (557 млрд. евро) Испания находится на 14-м месте </w:t>
      </w:r>
      <w:r w:rsidR="00D63321" w:rsidRPr="00DF7224">
        <w:rPr>
          <w:rFonts w:ascii="Times New Roman" w:hAnsi="Times New Roman" w:cs="Times New Roman"/>
          <w:sz w:val="28"/>
          <w:szCs w:val="28"/>
        </w:rPr>
        <w:t>в мире и на 5-м среди стран ЕС.</w:t>
      </w:r>
      <w:r w:rsidR="004650E3" w:rsidRPr="00DF7224">
        <w:rPr>
          <w:rFonts w:ascii="Times New Roman" w:hAnsi="Times New Roman" w:cs="Times New Roman"/>
          <w:sz w:val="28"/>
          <w:szCs w:val="28"/>
        </w:rPr>
        <w:t xml:space="preserve"> В соответствии с данными Министерства экономики, промышленности и конкурентоспособности Испа</w:t>
      </w:r>
      <w:r w:rsidR="00D63321" w:rsidRPr="00DF7224">
        <w:rPr>
          <w:rFonts w:ascii="Times New Roman" w:hAnsi="Times New Roman" w:cs="Times New Roman"/>
          <w:sz w:val="28"/>
          <w:szCs w:val="28"/>
        </w:rPr>
        <w:t>нии, по итогам 2018</w:t>
      </w:r>
      <w:r w:rsidR="004650E3" w:rsidRPr="00DF7224">
        <w:rPr>
          <w:rFonts w:ascii="Times New Roman" w:hAnsi="Times New Roman" w:cs="Times New Roman"/>
          <w:sz w:val="28"/>
          <w:szCs w:val="28"/>
        </w:rPr>
        <w:t xml:space="preserve"> г. экспорт испанских товаров достиг нового исторического максимума</w:t>
      </w:r>
      <w:r w:rsidR="00D63321" w:rsidRPr="00DF7224">
        <w:rPr>
          <w:rFonts w:ascii="Times New Roman" w:hAnsi="Times New Roman" w:cs="Times New Roman"/>
          <w:sz w:val="28"/>
          <w:szCs w:val="28"/>
        </w:rPr>
        <w:t xml:space="preserve"> -414,16 млрд. евро. </w:t>
      </w:r>
      <w:r w:rsidR="00A24E83" w:rsidRPr="00DF7224">
        <w:rPr>
          <w:rFonts w:ascii="Times New Roman" w:hAnsi="Times New Roman" w:cs="Times New Roman"/>
          <w:sz w:val="28"/>
          <w:szCs w:val="28"/>
        </w:rPr>
        <w:t>В Т</w:t>
      </w:r>
      <w:r w:rsidRPr="00DF7224">
        <w:rPr>
          <w:rFonts w:ascii="Times New Roman" w:hAnsi="Times New Roman" w:cs="Times New Roman"/>
          <w:sz w:val="28"/>
          <w:szCs w:val="28"/>
        </w:rPr>
        <w:t>аблице 2.1 рассмотрим экспорт и импорт товаров и услуг Испании.</w:t>
      </w:r>
    </w:p>
    <w:p w:rsidR="00D9323E" w:rsidRPr="00DF7224" w:rsidRDefault="00D9323E" w:rsidP="00D41C2B">
      <w:pPr>
        <w:spacing w:after="0" w:line="360" w:lineRule="auto"/>
        <w:ind w:firstLine="709"/>
        <w:jc w:val="both"/>
        <w:rPr>
          <w:rFonts w:ascii="Times New Roman" w:hAnsi="Times New Roman" w:cs="Times New Roman"/>
          <w:sz w:val="28"/>
          <w:szCs w:val="28"/>
        </w:rPr>
      </w:pPr>
    </w:p>
    <w:p w:rsidR="00D41C2B" w:rsidRPr="00DF7224" w:rsidRDefault="00272B78" w:rsidP="0062016E">
      <w:pPr>
        <w:spacing w:after="0" w:line="360" w:lineRule="auto"/>
        <w:ind w:firstLine="709"/>
        <w:rPr>
          <w:rFonts w:ascii="Times New Roman" w:hAnsi="Times New Roman" w:cs="Times New Roman"/>
          <w:sz w:val="28"/>
        </w:rPr>
      </w:pPr>
      <w:r w:rsidRPr="00DF7224">
        <w:rPr>
          <w:rFonts w:ascii="Times New Roman" w:hAnsi="Times New Roman" w:cs="Times New Roman"/>
          <w:sz w:val="28"/>
        </w:rPr>
        <w:t>Таблица 2.</w:t>
      </w:r>
      <w:r w:rsidR="00222081" w:rsidRPr="00DF7224">
        <w:rPr>
          <w:rFonts w:ascii="Times New Roman" w:hAnsi="Times New Roman" w:cs="Times New Roman"/>
          <w:sz w:val="28"/>
        </w:rPr>
        <w:t>1</w:t>
      </w:r>
      <w:r w:rsidRPr="00DF7224">
        <w:rPr>
          <w:rFonts w:ascii="Times New Roman" w:hAnsi="Times New Roman" w:cs="Times New Roman"/>
          <w:sz w:val="28"/>
        </w:rPr>
        <w:t xml:space="preserve"> –</w:t>
      </w:r>
      <w:r w:rsidR="00D41C2B" w:rsidRPr="00DF7224">
        <w:rPr>
          <w:rFonts w:ascii="Times New Roman" w:hAnsi="Times New Roman" w:cs="Times New Roman"/>
          <w:sz w:val="28"/>
        </w:rPr>
        <w:t xml:space="preserve"> Динамика</w:t>
      </w:r>
      <w:r w:rsidRPr="00DF7224">
        <w:rPr>
          <w:rFonts w:ascii="Times New Roman" w:hAnsi="Times New Roman" w:cs="Times New Roman"/>
          <w:sz w:val="28"/>
        </w:rPr>
        <w:t xml:space="preserve"> </w:t>
      </w:r>
      <w:r w:rsidR="00D41C2B" w:rsidRPr="00DF7224">
        <w:rPr>
          <w:rFonts w:ascii="Times New Roman" w:hAnsi="Times New Roman" w:cs="Times New Roman"/>
          <w:sz w:val="28"/>
        </w:rPr>
        <w:t>э</w:t>
      </w:r>
      <w:r w:rsidRPr="00DF7224">
        <w:rPr>
          <w:rFonts w:ascii="Times New Roman" w:hAnsi="Times New Roman" w:cs="Times New Roman"/>
          <w:sz w:val="28"/>
        </w:rPr>
        <w:t>кспорт</w:t>
      </w:r>
      <w:r w:rsidR="00D41C2B" w:rsidRPr="00DF7224">
        <w:rPr>
          <w:rFonts w:ascii="Times New Roman" w:hAnsi="Times New Roman" w:cs="Times New Roman"/>
          <w:sz w:val="28"/>
        </w:rPr>
        <w:t>а</w:t>
      </w:r>
      <w:r w:rsidRPr="00DF7224">
        <w:rPr>
          <w:rFonts w:ascii="Times New Roman" w:hAnsi="Times New Roman" w:cs="Times New Roman"/>
          <w:sz w:val="28"/>
        </w:rPr>
        <w:t xml:space="preserve"> </w:t>
      </w:r>
      <w:r w:rsidR="00222081" w:rsidRPr="00DF7224">
        <w:rPr>
          <w:rFonts w:ascii="Times New Roman" w:hAnsi="Times New Roman" w:cs="Times New Roman"/>
          <w:sz w:val="28"/>
        </w:rPr>
        <w:t>и импорт</w:t>
      </w:r>
      <w:r w:rsidR="00D41C2B" w:rsidRPr="00DF7224">
        <w:rPr>
          <w:rFonts w:ascii="Times New Roman" w:hAnsi="Times New Roman" w:cs="Times New Roman"/>
          <w:sz w:val="28"/>
        </w:rPr>
        <w:t>а</w:t>
      </w:r>
      <w:r w:rsidR="00222081" w:rsidRPr="00DF7224">
        <w:rPr>
          <w:rFonts w:ascii="Times New Roman" w:hAnsi="Times New Roman" w:cs="Times New Roman"/>
          <w:sz w:val="28"/>
        </w:rPr>
        <w:t xml:space="preserve"> </w:t>
      </w:r>
      <w:r w:rsidR="00D41C2B" w:rsidRPr="00DF7224">
        <w:rPr>
          <w:rFonts w:ascii="Times New Roman" w:hAnsi="Times New Roman" w:cs="Times New Roman"/>
          <w:sz w:val="28"/>
        </w:rPr>
        <w:t xml:space="preserve">товаров и услуг Испании, </w:t>
      </w:r>
      <w:r w:rsidRPr="00DF7224">
        <w:rPr>
          <w:rFonts w:ascii="Times New Roman" w:hAnsi="Times New Roman" w:cs="Times New Roman"/>
          <w:sz w:val="28"/>
        </w:rPr>
        <w:t>(млрд. евро)</w:t>
      </w:r>
    </w:p>
    <w:tbl>
      <w:tblPr>
        <w:tblStyle w:val="8"/>
        <w:tblW w:w="6831" w:type="dxa"/>
        <w:jc w:val="center"/>
        <w:tblInd w:w="0" w:type="dxa"/>
        <w:tblLook w:val="04A0" w:firstRow="1" w:lastRow="0" w:firstColumn="1" w:lastColumn="0" w:noHBand="0" w:noVBand="1"/>
      </w:tblPr>
      <w:tblGrid>
        <w:gridCol w:w="1071"/>
        <w:gridCol w:w="960"/>
        <w:gridCol w:w="960"/>
        <w:gridCol w:w="960"/>
        <w:gridCol w:w="960"/>
        <w:gridCol w:w="960"/>
        <w:gridCol w:w="960"/>
      </w:tblGrid>
      <w:tr w:rsidR="00272B78" w:rsidRPr="00DF7224" w:rsidTr="00222081">
        <w:trPr>
          <w:trHeight w:val="397"/>
          <w:jc w:val="center"/>
        </w:trPr>
        <w:tc>
          <w:tcPr>
            <w:tcW w:w="1071"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Год</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2013</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2014</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2015</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2016</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2017</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2018</w:t>
            </w:r>
          </w:p>
        </w:tc>
      </w:tr>
      <w:tr w:rsidR="00272B78" w:rsidRPr="00DF7224" w:rsidTr="00222081">
        <w:trPr>
          <w:trHeight w:val="397"/>
          <w:jc w:val="center"/>
        </w:trPr>
        <w:tc>
          <w:tcPr>
            <w:tcW w:w="1071"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Экспорт</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330,45</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339,50</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356,09</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370,48</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400,22</w:t>
            </w:r>
          </w:p>
        </w:tc>
        <w:tc>
          <w:tcPr>
            <w:tcW w:w="960" w:type="dxa"/>
            <w:noWrap/>
            <w:vAlign w:val="center"/>
            <w:hideMark/>
          </w:tcPr>
          <w:p w:rsidR="00272B78" w:rsidRPr="00DF7224" w:rsidRDefault="00272B78"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414,16</w:t>
            </w:r>
          </w:p>
        </w:tc>
      </w:tr>
      <w:tr w:rsidR="00222081" w:rsidRPr="00DF7224" w:rsidTr="00222081">
        <w:trPr>
          <w:trHeight w:val="397"/>
          <w:jc w:val="center"/>
        </w:trPr>
        <w:tc>
          <w:tcPr>
            <w:tcW w:w="1071" w:type="dxa"/>
            <w:noWrap/>
            <w:vAlign w:val="center"/>
            <w:hideMark/>
          </w:tcPr>
          <w:p w:rsidR="00222081" w:rsidRPr="00DF7224" w:rsidRDefault="00222081"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Импорт</w:t>
            </w:r>
          </w:p>
        </w:tc>
        <w:tc>
          <w:tcPr>
            <w:tcW w:w="960" w:type="dxa"/>
            <w:noWrap/>
            <w:vAlign w:val="center"/>
            <w:hideMark/>
          </w:tcPr>
          <w:p w:rsidR="00222081" w:rsidRPr="00DF7224" w:rsidRDefault="00222081"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297,06</w:t>
            </w:r>
          </w:p>
        </w:tc>
        <w:tc>
          <w:tcPr>
            <w:tcW w:w="960" w:type="dxa"/>
            <w:noWrap/>
            <w:vAlign w:val="center"/>
            <w:hideMark/>
          </w:tcPr>
          <w:p w:rsidR="00222081" w:rsidRPr="00DF7224" w:rsidRDefault="00222081"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314,29</w:t>
            </w:r>
          </w:p>
        </w:tc>
        <w:tc>
          <w:tcPr>
            <w:tcW w:w="960" w:type="dxa"/>
            <w:noWrap/>
            <w:vAlign w:val="center"/>
            <w:hideMark/>
          </w:tcPr>
          <w:p w:rsidR="00222081" w:rsidRPr="00DF7224" w:rsidRDefault="00222081"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330,86</w:t>
            </w:r>
          </w:p>
        </w:tc>
        <w:tc>
          <w:tcPr>
            <w:tcW w:w="960" w:type="dxa"/>
            <w:noWrap/>
            <w:vAlign w:val="center"/>
            <w:hideMark/>
          </w:tcPr>
          <w:p w:rsidR="00222081" w:rsidRPr="00DF7224" w:rsidRDefault="00222081"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335,20</w:t>
            </w:r>
          </w:p>
        </w:tc>
        <w:tc>
          <w:tcPr>
            <w:tcW w:w="960" w:type="dxa"/>
            <w:noWrap/>
            <w:vAlign w:val="center"/>
            <w:hideMark/>
          </w:tcPr>
          <w:p w:rsidR="00222081" w:rsidRPr="00DF7224" w:rsidRDefault="00222081"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366,23</w:t>
            </w:r>
          </w:p>
        </w:tc>
        <w:tc>
          <w:tcPr>
            <w:tcW w:w="960" w:type="dxa"/>
            <w:noWrap/>
            <w:vAlign w:val="center"/>
            <w:hideMark/>
          </w:tcPr>
          <w:p w:rsidR="00222081" w:rsidRPr="00DF7224" w:rsidRDefault="00222081"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390,56</w:t>
            </w:r>
          </w:p>
        </w:tc>
      </w:tr>
    </w:tbl>
    <w:p w:rsidR="00222081" w:rsidRPr="00DF7224" w:rsidRDefault="00222081" w:rsidP="00D41C2B">
      <w:pPr>
        <w:spacing w:after="0" w:line="240" w:lineRule="auto"/>
        <w:ind w:firstLine="709"/>
        <w:rPr>
          <w:rFonts w:ascii="Times New Roman" w:hAnsi="Times New Roman" w:cs="Times New Roman"/>
          <w:sz w:val="24"/>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rPr>
        <w:t xml:space="preserve"> </w:t>
      </w:r>
      <w:r w:rsidR="00D41C2B" w:rsidRPr="00DF7224">
        <w:rPr>
          <w:rFonts w:ascii="Times New Roman" w:hAnsi="Times New Roman" w:cs="Times New Roman"/>
          <w:sz w:val="20"/>
          <w:szCs w:val="24"/>
        </w:rPr>
        <w:t>http://appsso.eurostat.ec.europa.eu/nui/show.do?dataset=sts_trtu_m&amp;lang=en</w:t>
      </w:r>
    </w:p>
    <w:p w:rsidR="00D41C2B" w:rsidRPr="00DF7224" w:rsidRDefault="00D41C2B" w:rsidP="00D41C2B">
      <w:pPr>
        <w:spacing w:after="0" w:line="240" w:lineRule="auto"/>
        <w:rPr>
          <w:rFonts w:ascii="Times New Roman" w:hAnsi="Times New Roman" w:cs="Times New Roman"/>
          <w:sz w:val="24"/>
          <w:szCs w:val="24"/>
        </w:rPr>
      </w:pPr>
    </w:p>
    <w:p w:rsidR="00272B78" w:rsidRPr="00DF7224" w:rsidRDefault="004650E3" w:rsidP="007E0CA0">
      <w:pPr>
        <w:spacing w:after="0" w:line="360" w:lineRule="auto"/>
        <w:ind w:firstLine="709"/>
        <w:jc w:val="both"/>
        <w:rPr>
          <w:rFonts w:ascii="Times New Roman" w:hAnsi="Times New Roman" w:cs="Times New Roman"/>
          <w:sz w:val="28"/>
        </w:rPr>
      </w:pPr>
      <w:r w:rsidRPr="00DF7224">
        <w:rPr>
          <w:rFonts w:ascii="Times New Roman" w:hAnsi="Times New Roman" w:cs="Times New Roman"/>
          <w:sz w:val="28"/>
        </w:rPr>
        <w:t xml:space="preserve">С 2014 года экспорт Испании увеличился на 83,71 млрд. евро, импорт увеличился на 96,5 млрд. евро. И в экспорте и в импорте наблюдается тенденция </w:t>
      </w:r>
      <w:r w:rsidR="00D41C2B" w:rsidRPr="00DF7224">
        <w:rPr>
          <w:rFonts w:ascii="Times New Roman" w:hAnsi="Times New Roman" w:cs="Times New Roman"/>
          <w:sz w:val="28"/>
        </w:rPr>
        <w:t>к увеличению значения</w:t>
      </w:r>
      <w:r w:rsidRPr="00DF7224">
        <w:rPr>
          <w:rFonts w:ascii="Times New Roman" w:hAnsi="Times New Roman" w:cs="Times New Roman"/>
          <w:sz w:val="28"/>
        </w:rPr>
        <w:t xml:space="preserve"> показателей. За рассматриваемый период сальдо товаров и</w:t>
      </w:r>
      <w:r w:rsidR="00D41C2B" w:rsidRPr="00DF7224">
        <w:rPr>
          <w:rFonts w:ascii="Times New Roman" w:hAnsi="Times New Roman" w:cs="Times New Roman"/>
          <w:sz w:val="28"/>
        </w:rPr>
        <w:t xml:space="preserve"> услуг Испании было положительным</w:t>
      </w:r>
      <w:r w:rsidRPr="00DF7224">
        <w:rPr>
          <w:rFonts w:ascii="Times New Roman" w:hAnsi="Times New Roman" w:cs="Times New Roman"/>
          <w:sz w:val="28"/>
        </w:rPr>
        <w:t>, экспорт незначительно, но преобладает над импортом страны.</w:t>
      </w:r>
      <w:r w:rsidR="00E9126A" w:rsidRPr="00DF7224">
        <w:rPr>
          <w:rFonts w:ascii="Times New Roman" w:hAnsi="Times New Roman" w:cs="Times New Roman"/>
          <w:sz w:val="28"/>
        </w:rPr>
        <w:t xml:space="preserve"> В структуре экспорта и </w:t>
      </w:r>
      <w:r w:rsidR="00E9126A" w:rsidRPr="00DF7224">
        <w:rPr>
          <w:rFonts w:ascii="Times New Roman" w:hAnsi="Times New Roman" w:cs="Times New Roman"/>
          <w:sz w:val="28"/>
        </w:rPr>
        <w:lastRenderedPageBreak/>
        <w:t xml:space="preserve">импорта </w:t>
      </w:r>
      <w:r w:rsidR="00D41C2B" w:rsidRPr="00DF7224">
        <w:rPr>
          <w:rFonts w:ascii="Times New Roman" w:hAnsi="Times New Roman" w:cs="Times New Roman"/>
          <w:sz w:val="28"/>
        </w:rPr>
        <w:t>большую долю составляет</w:t>
      </w:r>
      <w:r w:rsidR="00E9126A" w:rsidRPr="00DF7224">
        <w:rPr>
          <w:rFonts w:ascii="Times New Roman" w:hAnsi="Times New Roman" w:cs="Times New Roman"/>
          <w:sz w:val="28"/>
        </w:rPr>
        <w:t xml:space="preserve"> товарный экспорт и импорт. В</w:t>
      </w:r>
      <w:r w:rsidR="00A24E83" w:rsidRPr="00DF7224">
        <w:rPr>
          <w:rFonts w:ascii="Times New Roman" w:hAnsi="Times New Roman" w:cs="Times New Roman"/>
          <w:sz w:val="28"/>
        </w:rPr>
        <w:t xml:space="preserve"> Т</w:t>
      </w:r>
      <w:r w:rsidR="00D41C2B" w:rsidRPr="00DF7224">
        <w:rPr>
          <w:rFonts w:ascii="Times New Roman" w:hAnsi="Times New Roman" w:cs="Times New Roman"/>
          <w:sz w:val="28"/>
        </w:rPr>
        <w:t>абл.</w:t>
      </w:r>
      <w:r w:rsidR="00E9126A" w:rsidRPr="00DF7224">
        <w:rPr>
          <w:rFonts w:ascii="Times New Roman" w:hAnsi="Times New Roman" w:cs="Times New Roman"/>
          <w:sz w:val="28"/>
        </w:rPr>
        <w:t xml:space="preserve"> 2.2, представлены товарооборот Испании, товарный экспорт и импорт </w:t>
      </w:r>
      <w:r w:rsidR="00C27637" w:rsidRPr="00DF7224">
        <w:rPr>
          <w:rFonts w:ascii="Times New Roman" w:hAnsi="Times New Roman" w:cs="Times New Roman"/>
          <w:sz w:val="28"/>
        </w:rPr>
        <w:t>Испании</w:t>
      </w:r>
      <w:r w:rsidR="00E9126A" w:rsidRPr="00DF7224">
        <w:rPr>
          <w:rFonts w:ascii="Times New Roman" w:hAnsi="Times New Roman" w:cs="Times New Roman"/>
          <w:sz w:val="28"/>
        </w:rPr>
        <w:t>.</w:t>
      </w:r>
    </w:p>
    <w:p w:rsidR="00D41C2B" w:rsidRPr="00DF7224" w:rsidRDefault="00D41C2B" w:rsidP="007E0CA0">
      <w:pPr>
        <w:spacing w:after="0" w:line="360" w:lineRule="auto"/>
        <w:ind w:firstLine="709"/>
        <w:jc w:val="both"/>
        <w:rPr>
          <w:rFonts w:ascii="Times New Roman" w:hAnsi="Times New Roman" w:cs="Times New Roman"/>
          <w:sz w:val="28"/>
        </w:rPr>
      </w:pPr>
    </w:p>
    <w:p w:rsidR="00D41C2B" w:rsidRPr="00DF7224" w:rsidRDefault="00272B78" w:rsidP="0062016E">
      <w:pPr>
        <w:spacing w:after="0" w:line="360" w:lineRule="auto"/>
        <w:ind w:firstLine="709"/>
        <w:rPr>
          <w:rFonts w:ascii="Times New Roman" w:hAnsi="Times New Roman" w:cs="Times New Roman"/>
          <w:sz w:val="28"/>
        </w:rPr>
      </w:pPr>
      <w:r w:rsidRPr="00DF7224">
        <w:rPr>
          <w:rFonts w:ascii="Times New Roman" w:hAnsi="Times New Roman" w:cs="Times New Roman"/>
          <w:sz w:val="28"/>
        </w:rPr>
        <w:t>Таблица 2</w:t>
      </w:r>
      <w:r w:rsidR="008C5A0B" w:rsidRPr="00DF7224">
        <w:rPr>
          <w:rFonts w:ascii="Times New Roman" w:hAnsi="Times New Roman" w:cs="Times New Roman"/>
          <w:sz w:val="28"/>
        </w:rPr>
        <w:t>.</w:t>
      </w:r>
      <w:r w:rsidR="004650E3" w:rsidRPr="00DF7224">
        <w:rPr>
          <w:rFonts w:ascii="Times New Roman" w:hAnsi="Times New Roman" w:cs="Times New Roman"/>
          <w:sz w:val="28"/>
        </w:rPr>
        <w:t>2 –</w:t>
      </w:r>
      <w:r w:rsidR="00E9126A" w:rsidRPr="00DF7224">
        <w:rPr>
          <w:rFonts w:ascii="Times New Roman" w:hAnsi="Times New Roman" w:cs="Times New Roman"/>
          <w:sz w:val="28"/>
        </w:rPr>
        <w:t xml:space="preserve"> Товарооборот</w:t>
      </w:r>
      <w:r w:rsidR="00C27637" w:rsidRPr="00DF7224">
        <w:rPr>
          <w:rFonts w:ascii="Times New Roman" w:hAnsi="Times New Roman" w:cs="Times New Roman"/>
          <w:sz w:val="28"/>
        </w:rPr>
        <w:t>, товарный экспорт, товарный импорт</w:t>
      </w:r>
      <w:r w:rsidR="00E9126A" w:rsidRPr="00DF7224">
        <w:rPr>
          <w:rFonts w:ascii="Times New Roman" w:hAnsi="Times New Roman" w:cs="Times New Roman"/>
          <w:sz w:val="28"/>
        </w:rPr>
        <w:t xml:space="preserve"> Испании в 2013</w:t>
      </w:r>
      <w:r w:rsidR="008C5A0B" w:rsidRPr="00DF7224">
        <w:rPr>
          <w:rFonts w:ascii="Times New Roman" w:hAnsi="Times New Roman" w:cs="Times New Roman"/>
          <w:sz w:val="28"/>
        </w:rPr>
        <w:t>-2017 гг. (млрд. евро)</w:t>
      </w:r>
    </w:p>
    <w:tbl>
      <w:tblPr>
        <w:tblStyle w:val="ab"/>
        <w:tblW w:w="2837" w:type="pct"/>
        <w:jc w:val="center"/>
        <w:tblInd w:w="0" w:type="dxa"/>
        <w:tblLook w:val="04A0" w:firstRow="1" w:lastRow="0" w:firstColumn="1" w:lastColumn="0" w:noHBand="0" w:noVBand="1"/>
      </w:tblPr>
      <w:tblGrid>
        <w:gridCol w:w="1651"/>
        <w:gridCol w:w="756"/>
        <w:gridCol w:w="756"/>
        <w:gridCol w:w="756"/>
        <w:gridCol w:w="756"/>
        <w:gridCol w:w="756"/>
      </w:tblGrid>
      <w:tr w:rsidR="00E9126A" w:rsidRPr="00DF7224" w:rsidTr="00C27637">
        <w:trPr>
          <w:trHeight w:val="397"/>
          <w:jc w:val="center"/>
        </w:trPr>
        <w:tc>
          <w:tcPr>
            <w:tcW w:w="1519"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Страна/Год</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2013</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2014</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2015</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2016</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2017</w:t>
            </w:r>
          </w:p>
        </w:tc>
      </w:tr>
      <w:tr w:rsidR="00E9126A" w:rsidRPr="00DF7224" w:rsidTr="00C27637">
        <w:trPr>
          <w:trHeight w:val="397"/>
          <w:jc w:val="center"/>
        </w:trPr>
        <w:tc>
          <w:tcPr>
            <w:tcW w:w="1519"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Товарооборот</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485</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500,8</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522,3</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528,9</w:t>
            </w:r>
          </w:p>
        </w:tc>
        <w:tc>
          <w:tcPr>
            <w:tcW w:w="696" w:type="pct"/>
            <w:tcBorders>
              <w:top w:val="single" w:sz="4" w:space="0" w:color="auto"/>
              <w:left w:val="single" w:sz="4" w:space="0" w:color="auto"/>
              <w:bottom w:val="single" w:sz="4" w:space="0" w:color="auto"/>
              <w:right w:val="single" w:sz="4" w:space="0" w:color="auto"/>
            </w:tcBorders>
            <w:noWrap/>
            <w:vAlign w:val="center"/>
            <w:hideMark/>
          </w:tcPr>
          <w:p w:rsidR="00E9126A" w:rsidRPr="00DF7224" w:rsidRDefault="00E9126A"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577,8</w:t>
            </w:r>
          </w:p>
        </w:tc>
      </w:tr>
      <w:tr w:rsidR="00C27637" w:rsidRPr="00DF7224" w:rsidTr="00C27637">
        <w:trPr>
          <w:trHeight w:val="397"/>
          <w:jc w:val="center"/>
        </w:trPr>
        <w:tc>
          <w:tcPr>
            <w:tcW w:w="1519"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Экспорт</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235,6</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239,3</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250,4</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256,8</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277,9</w:t>
            </w:r>
          </w:p>
        </w:tc>
      </w:tr>
      <w:tr w:rsidR="00C27637" w:rsidRPr="00DF7224" w:rsidTr="00C27637">
        <w:trPr>
          <w:trHeight w:val="397"/>
          <w:jc w:val="center"/>
        </w:trPr>
        <w:tc>
          <w:tcPr>
            <w:tcW w:w="1519"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Импорт</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249,6</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261,5</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271,9</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272,1</w:t>
            </w:r>
          </w:p>
        </w:tc>
        <w:tc>
          <w:tcPr>
            <w:tcW w:w="696"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299,8</w:t>
            </w:r>
          </w:p>
        </w:tc>
      </w:tr>
    </w:tbl>
    <w:p w:rsidR="00272B78" w:rsidRPr="00DF7224" w:rsidRDefault="008C5A0B" w:rsidP="00D41C2B">
      <w:pPr>
        <w:spacing w:after="0" w:line="240" w:lineRule="auto"/>
        <w:ind w:firstLine="709"/>
        <w:rPr>
          <w:rFonts w:ascii="Times New Roman" w:hAnsi="Times New Roman" w:cs="Times New Roman"/>
          <w:sz w:val="24"/>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 xml:space="preserve"> </w:t>
      </w:r>
      <w:r w:rsidR="00D41C2B" w:rsidRPr="00DF7224">
        <w:rPr>
          <w:rFonts w:ascii="Times New Roman" w:hAnsi="Times New Roman" w:cs="Times New Roman"/>
          <w:sz w:val="20"/>
          <w:szCs w:val="24"/>
        </w:rPr>
        <w:t>http://appsso.eurostat.ec.europa.eu/nui/show.do?dataset=sts_trtu_m&amp;lang=en</w:t>
      </w:r>
    </w:p>
    <w:p w:rsidR="00D41C2B" w:rsidRPr="00DF7224" w:rsidRDefault="00D41C2B" w:rsidP="00D41C2B">
      <w:pPr>
        <w:spacing w:after="0" w:line="240" w:lineRule="auto"/>
        <w:ind w:firstLine="709"/>
        <w:rPr>
          <w:rFonts w:ascii="Times New Roman" w:hAnsi="Times New Roman" w:cs="Times New Roman"/>
          <w:sz w:val="24"/>
          <w:szCs w:val="24"/>
        </w:rPr>
      </w:pPr>
    </w:p>
    <w:p w:rsidR="00E9126A" w:rsidRPr="00DF7224" w:rsidRDefault="00C27637" w:rsidP="00D41C2B">
      <w:pPr>
        <w:spacing w:after="0" w:line="360" w:lineRule="auto"/>
        <w:ind w:firstLine="709"/>
        <w:jc w:val="both"/>
        <w:rPr>
          <w:rFonts w:ascii="Times New Roman" w:hAnsi="Times New Roman" w:cs="Times New Roman"/>
          <w:sz w:val="28"/>
        </w:rPr>
      </w:pPr>
      <w:r w:rsidRPr="00DF7224">
        <w:rPr>
          <w:rFonts w:ascii="Times New Roman" w:hAnsi="Times New Roman" w:cs="Times New Roman"/>
          <w:sz w:val="28"/>
        </w:rPr>
        <w:t>За рассматриваемый период товарооборот Испании увеличился. Товарный импорт преобладает над товарным экспортом. В 2017 году товарооборот Испании составил 577,8 млрд.</w:t>
      </w:r>
      <w:r w:rsidR="002634A7" w:rsidRPr="00DF7224">
        <w:rPr>
          <w:rFonts w:ascii="Times New Roman" w:hAnsi="Times New Roman" w:cs="Times New Roman"/>
          <w:sz w:val="28"/>
        </w:rPr>
        <w:t xml:space="preserve"> евро. Испания экспортировала товаров на сумму 277,9 млрд. евро, а импортировала товаров на 299,8 млрд. евро. Рассмотрим также оборот услуг, эк</w:t>
      </w:r>
      <w:r w:rsidR="00A24E83" w:rsidRPr="00DF7224">
        <w:rPr>
          <w:rFonts w:ascii="Times New Roman" w:hAnsi="Times New Roman" w:cs="Times New Roman"/>
          <w:sz w:val="28"/>
        </w:rPr>
        <w:t>спорт и импорт услуг Испании в Т</w:t>
      </w:r>
      <w:r w:rsidR="002634A7" w:rsidRPr="00DF7224">
        <w:rPr>
          <w:rFonts w:ascii="Times New Roman" w:hAnsi="Times New Roman" w:cs="Times New Roman"/>
          <w:sz w:val="28"/>
        </w:rPr>
        <w:t>аблице 2.3.</w:t>
      </w:r>
    </w:p>
    <w:p w:rsidR="00D9323E" w:rsidRPr="00DF7224" w:rsidRDefault="00D9323E" w:rsidP="00651915">
      <w:pPr>
        <w:spacing w:after="0" w:line="360" w:lineRule="auto"/>
        <w:jc w:val="both"/>
        <w:rPr>
          <w:rFonts w:ascii="Times New Roman" w:hAnsi="Times New Roman" w:cs="Times New Roman"/>
          <w:sz w:val="28"/>
        </w:rPr>
      </w:pPr>
    </w:p>
    <w:p w:rsidR="00D41C2B" w:rsidRPr="00DF7224" w:rsidRDefault="008C5A0B" w:rsidP="0062016E">
      <w:pPr>
        <w:spacing w:after="0" w:line="360" w:lineRule="auto"/>
        <w:ind w:firstLine="709"/>
        <w:rPr>
          <w:rFonts w:ascii="Times New Roman" w:hAnsi="Times New Roman" w:cs="Times New Roman"/>
          <w:sz w:val="28"/>
        </w:rPr>
      </w:pPr>
      <w:r w:rsidRPr="00DF7224">
        <w:rPr>
          <w:rFonts w:ascii="Times New Roman" w:hAnsi="Times New Roman" w:cs="Times New Roman"/>
          <w:sz w:val="28"/>
        </w:rPr>
        <w:t xml:space="preserve">Таблица </w:t>
      </w:r>
      <w:r w:rsidR="00C27637" w:rsidRPr="00DF7224">
        <w:rPr>
          <w:rFonts w:ascii="Times New Roman" w:hAnsi="Times New Roman" w:cs="Times New Roman"/>
          <w:sz w:val="28"/>
        </w:rPr>
        <w:t xml:space="preserve">2.3 – </w:t>
      </w:r>
      <w:r w:rsidRPr="00DF7224">
        <w:rPr>
          <w:rFonts w:ascii="Times New Roman" w:hAnsi="Times New Roman" w:cs="Times New Roman"/>
          <w:sz w:val="28"/>
        </w:rPr>
        <w:t xml:space="preserve"> Оборот услуг</w:t>
      </w:r>
      <w:r w:rsidR="00C27637" w:rsidRPr="00DF7224">
        <w:rPr>
          <w:rFonts w:ascii="Times New Roman" w:hAnsi="Times New Roman" w:cs="Times New Roman"/>
          <w:sz w:val="28"/>
        </w:rPr>
        <w:t>, экспорт услуг, импорт услуг Испании в 2013</w:t>
      </w:r>
      <w:r w:rsidRPr="00DF7224">
        <w:rPr>
          <w:rFonts w:ascii="Times New Roman" w:hAnsi="Times New Roman" w:cs="Times New Roman"/>
          <w:sz w:val="28"/>
        </w:rPr>
        <w:t>-2017 гг. (млрд. евро)</w:t>
      </w:r>
    </w:p>
    <w:tbl>
      <w:tblPr>
        <w:tblStyle w:val="ab"/>
        <w:tblW w:w="2812" w:type="pct"/>
        <w:jc w:val="center"/>
        <w:tblInd w:w="0" w:type="dxa"/>
        <w:tblLook w:val="04A0" w:firstRow="1" w:lastRow="0" w:firstColumn="1" w:lastColumn="0" w:noHBand="0" w:noVBand="1"/>
      </w:tblPr>
      <w:tblGrid>
        <w:gridCol w:w="1603"/>
        <w:gridCol w:w="756"/>
        <w:gridCol w:w="756"/>
        <w:gridCol w:w="756"/>
        <w:gridCol w:w="756"/>
        <w:gridCol w:w="756"/>
      </w:tblGrid>
      <w:tr w:rsidR="00C27637" w:rsidRPr="00DF7224" w:rsidTr="00C27637">
        <w:trPr>
          <w:trHeight w:val="397"/>
          <w:jc w:val="center"/>
        </w:trPr>
        <w:tc>
          <w:tcPr>
            <w:tcW w:w="1489"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Страна/Год</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2013</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2014</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2015</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2016</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2017</w:t>
            </w:r>
          </w:p>
        </w:tc>
      </w:tr>
      <w:tr w:rsidR="00C27637" w:rsidRPr="00DF7224" w:rsidTr="00C27637">
        <w:trPr>
          <w:trHeight w:val="397"/>
          <w:jc w:val="center"/>
        </w:trPr>
        <w:tc>
          <w:tcPr>
            <w:tcW w:w="1489"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Оборот услуг</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142,4</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152,9</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164,7</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176,8</w:t>
            </w:r>
          </w:p>
        </w:tc>
        <w:tc>
          <w:tcPr>
            <w:tcW w:w="702" w:type="pct"/>
            <w:tcBorders>
              <w:top w:val="single" w:sz="4" w:space="0" w:color="auto"/>
              <w:left w:val="single" w:sz="4" w:space="0" w:color="auto"/>
              <w:bottom w:val="single" w:sz="4" w:space="0" w:color="auto"/>
              <w:right w:val="single" w:sz="4" w:space="0" w:color="auto"/>
            </w:tcBorders>
            <w:noWrap/>
            <w:vAlign w:val="center"/>
            <w:hideMark/>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188,7</w:t>
            </w:r>
          </w:p>
        </w:tc>
      </w:tr>
      <w:tr w:rsidR="00C27637" w:rsidRPr="00DF7224" w:rsidTr="00C27637">
        <w:trPr>
          <w:trHeight w:val="397"/>
          <w:jc w:val="center"/>
        </w:trPr>
        <w:tc>
          <w:tcPr>
            <w:tcW w:w="1489"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Экспорт</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94,9</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100,2</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105,7</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113,7</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122,3</w:t>
            </w:r>
          </w:p>
        </w:tc>
      </w:tr>
      <w:tr w:rsidR="00C27637" w:rsidRPr="00DF7224" w:rsidTr="00C27637">
        <w:trPr>
          <w:trHeight w:val="397"/>
          <w:jc w:val="center"/>
        </w:trPr>
        <w:tc>
          <w:tcPr>
            <w:tcW w:w="1489"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Импорт</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47,5</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52,8</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58,9</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63,1</w:t>
            </w:r>
          </w:p>
        </w:tc>
        <w:tc>
          <w:tcPr>
            <w:tcW w:w="702" w:type="pct"/>
            <w:tcBorders>
              <w:top w:val="single" w:sz="4" w:space="0" w:color="auto"/>
              <w:left w:val="single" w:sz="4" w:space="0" w:color="auto"/>
              <w:bottom w:val="single" w:sz="4" w:space="0" w:color="auto"/>
              <w:right w:val="single" w:sz="4" w:space="0" w:color="auto"/>
            </w:tcBorders>
            <w:noWrap/>
            <w:vAlign w:val="center"/>
          </w:tcPr>
          <w:p w:rsidR="00C27637" w:rsidRPr="00DF7224" w:rsidRDefault="00C2763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66,4</w:t>
            </w:r>
          </w:p>
        </w:tc>
      </w:tr>
    </w:tbl>
    <w:p w:rsidR="003631E7" w:rsidRPr="00DF7224" w:rsidRDefault="008C5A0B" w:rsidP="00D41C2B">
      <w:pPr>
        <w:spacing w:after="0"/>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 xml:space="preserve"> </w:t>
      </w:r>
      <w:r w:rsidR="00D41C2B" w:rsidRPr="00DF7224">
        <w:rPr>
          <w:rFonts w:ascii="Times New Roman" w:hAnsi="Times New Roman" w:cs="Times New Roman"/>
          <w:sz w:val="20"/>
          <w:szCs w:val="24"/>
        </w:rPr>
        <w:t>http://appsso.eurostat.ec.europa.eu/nui/show.do?dataset=sts_trtu_m&amp;lang=e</w:t>
      </w:r>
    </w:p>
    <w:p w:rsidR="00D41C2B" w:rsidRPr="00DF7224" w:rsidRDefault="00D41C2B" w:rsidP="007E0CA0">
      <w:pPr>
        <w:spacing w:after="0"/>
        <w:rPr>
          <w:rFonts w:ascii="Times New Roman" w:hAnsi="Times New Roman" w:cs="Times New Roman"/>
          <w:sz w:val="24"/>
          <w:szCs w:val="24"/>
        </w:rPr>
      </w:pPr>
    </w:p>
    <w:p w:rsidR="002634A7" w:rsidRPr="00DF7224" w:rsidRDefault="002634A7"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За 5 лет оборот услуг увеличился. Но в обороте услуг преобладает экспорт услуг, в отличие от товарооборота, где преобладал импорт товаров. В 2017 году экспорт услуг Испании составил 122,3 млрд. евро, а  импорт – 66,4 млрд. евро.</w:t>
      </w:r>
      <w:r w:rsidR="003631E7" w:rsidRPr="00DF7224">
        <w:rPr>
          <w:rFonts w:ascii="Times New Roman" w:hAnsi="Times New Roman" w:cs="Times New Roman"/>
          <w:sz w:val="28"/>
          <w:szCs w:val="28"/>
        </w:rPr>
        <w:t xml:space="preserve"> По географическому признаку основными импортерами испанских услуг и экспортерами услуг в Испанию в 2017 году традиционно были страны Европы (32,892 млрд. евро и 40,482 млрд. евро соответственно), </w:t>
      </w:r>
      <w:r w:rsidR="003631E7" w:rsidRPr="00DF7224">
        <w:rPr>
          <w:rFonts w:ascii="Times New Roman" w:hAnsi="Times New Roman" w:cs="Times New Roman"/>
          <w:sz w:val="28"/>
          <w:szCs w:val="28"/>
        </w:rPr>
        <w:lastRenderedPageBreak/>
        <w:t>такие как Великобритания, Германия, Франция, Нидерланды, Италия и Португалия.</w:t>
      </w:r>
    </w:p>
    <w:p w:rsidR="002634A7" w:rsidRPr="00DF7224" w:rsidRDefault="00A24E83" w:rsidP="007E0CA0">
      <w:pPr>
        <w:spacing w:after="0" w:line="360" w:lineRule="auto"/>
        <w:ind w:firstLine="709"/>
        <w:jc w:val="both"/>
        <w:rPr>
          <w:rFonts w:ascii="Times New Roman" w:hAnsi="Times New Roman" w:cs="Times New Roman"/>
          <w:sz w:val="28"/>
          <w:szCs w:val="24"/>
        </w:rPr>
      </w:pPr>
      <w:r w:rsidRPr="00DF7224">
        <w:rPr>
          <w:rFonts w:ascii="Times New Roman" w:hAnsi="Times New Roman" w:cs="Times New Roman"/>
          <w:sz w:val="28"/>
          <w:szCs w:val="24"/>
        </w:rPr>
        <w:t>На Р</w:t>
      </w:r>
      <w:r w:rsidR="008B4C4C" w:rsidRPr="00DF7224">
        <w:rPr>
          <w:rFonts w:ascii="Times New Roman" w:hAnsi="Times New Roman" w:cs="Times New Roman"/>
          <w:sz w:val="28"/>
          <w:szCs w:val="24"/>
        </w:rPr>
        <w:t>исунке 2.1</w:t>
      </w:r>
      <w:r w:rsidR="00D41C2B" w:rsidRPr="00DF7224">
        <w:rPr>
          <w:rFonts w:ascii="Times New Roman" w:hAnsi="Times New Roman" w:cs="Times New Roman"/>
          <w:sz w:val="28"/>
          <w:szCs w:val="24"/>
        </w:rPr>
        <w:t xml:space="preserve"> представлена</w:t>
      </w:r>
      <w:r w:rsidR="002634A7" w:rsidRPr="00DF7224">
        <w:rPr>
          <w:rFonts w:ascii="Times New Roman" w:hAnsi="Times New Roman" w:cs="Times New Roman"/>
          <w:sz w:val="28"/>
          <w:szCs w:val="24"/>
        </w:rPr>
        <w:t xml:space="preserve"> структура товарного экспорта и импорта Испании за 2017 год</w:t>
      </w:r>
      <w:r w:rsidR="00827B16" w:rsidRPr="00DF7224">
        <w:rPr>
          <w:rFonts w:ascii="Times New Roman" w:hAnsi="Times New Roman" w:cs="Times New Roman"/>
          <w:sz w:val="28"/>
          <w:szCs w:val="24"/>
        </w:rPr>
        <w:t>. Основные страны экспорта –</w:t>
      </w:r>
      <w:r w:rsidR="002634A7" w:rsidRPr="00DF7224">
        <w:rPr>
          <w:rFonts w:ascii="Times New Roman" w:hAnsi="Times New Roman" w:cs="Times New Roman"/>
          <w:sz w:val="28"/>
          <w:szCs w:val="24"/>
        </w:rPr>
        <w:t xml:space="preserve"> европейские страны. В 2017 году около 15% экспорта приходилось на Францию, так как это ближайшая по границам страна к Испании, также как и Португалия, которая входит в тройку стран (7%). На втором месте находится </w:t>
      </w:r>
      <w:r w:rsidR="00827B16" w:rsidRPr="00DF7224">
        <w:rPr>
          <w:rFonts w:ascii="Times New Roman" w:hAnsi="Times New Roman" w:cs="Times New Roman"/>
          <w:sz w:val="28"/>
          <w:szCs w:val="24"/>
        </w:rPr>
        <w:t>Германия с 11% экспорта. Из вне</w:t>
      </w:r>
      <w:r w:rsidR="002634A7" w:rsidRPr="00DF7224">
        <w:rPr>
          <w:rFonts w:ascii="Times New Roman" w:hAnsi="Times New Roman" w:cs="Times New Roman"/>
          <w:sz w:val="28"/>
          <w:szCs w:val="24"/>
        </w:rPr>
        <w:t xml:space="preserve">региональных рынков Испания более всего экспортирует товаров в Марокко (2,9%). Россия с долей в 0,7% занимает 20-е место среди партнеров Испании по экспорту. За десять лет страны-партнеры не менялась, </w:t>
      </w:r>
      <w:r w:rsidR="00DE3497" w:rsidRPr="00DF7224">
        <w:rPr>
          <w:rFonts w:ascii="Times New Roman" w:hAnsi="Times New Roman" w:cs="Times New Roman"/>
          <w:sz w:val="28"/>
          <w:szCs w:val="24"/>
        </w:rPr>
        <w:t>незначительно лишь менялись</w:t>
      </w:r>
      <w:r w:rsidR="002634A7" w:rsidRPr="00DF7224">
        <w:rPr>
          <w:rFonts w:ascii="Times New Roman" w:hAnsi="Times New Roman" w:cs="Times New Roman"/>
          <w:sz w:val="28"/>
          <w:szCs w:val="24"/>
        </w:rPr>
        <w:t>% их участия в товарных отношениях. В географической структуре импорта помимо европейских стран участвует Китай – 7%. Германия является лидером в импорте  в 2017 году – 14%, на втором месте – Франция (12%). Из других партнеров вне ЕС можно выделить США с долей в 4,6% испанского 59 импорта. Россия с долей в 1,07% находится на 20-м месте среди основных партнеров Испании по импорту.</w:t>
      </w:r>
    </w:p>
    <w:p w:rsidR="00D0049C" w:rsidRPr="00DF7224" w:rsidRDefault="00D0049C" w:rsidP="007E0CA0">
      <w:pPr>
        <w:spacing w:after="0" w:line="360" w:lineRule="auto"/>
        <w:ind w:firstLine="709"/>
        <w:jc w:val="both"/>
        <w:rPr>
          <w:rFonts w:ascii="Times New Roman" w:hAnsi="Times New Roman" w:cs="Times New Roman"/>
          <w:sz w:val="28"/>
          <w:szCs w:val="24"/>
        </w:rPr>
      </w:pPr>
    </w:p>
    <w:p w:rsidR="00D0049C" w:rsidRPr="00DF7224" w:rsidRDefault="00D0049C" w:rsidP="00651915">
      <w:pPr>
        <w:spacing w:after="0" w:line="240" w:lineRule="auto"/>
        <w:ind w:firstLine="709"/>
        <w:rPr>
          <w:rFonts w:ascii="Times New Roman" w:hAnsi="Times New Roman" w:cs="Times New Roman"/>
          <w:sz w:val="28"/>
        </w:rPr>
      </w:pPr>
      <w:r w:rsidRPr="00DF7224">
        <w:rPr>
          <w:rFonts w:ascii="Times New Roman" w:hAnsi="Times New Roman" w:cs="Times New Roman"/>
          <w:sz w:val="28"/>
        </w:rPr>
        <w:t>Таблица 2.4 – Товарная структура внешней торговли Испании в 2017 г. (млн. евро)</w:t>
      </w:r>
    </w:p>
    <w:p w:rsidR="00651915" w:rsidRPr="00DF7224" w:rsidRDefault="00651915" w:rsidP="00651915">
      <w:pPr>
        <w:spacing w:after="0" w:line="240" w:lineRule="auto"/>
        <w:ind w:firstLine="709"/>
        <w:rPr>
          <w:rFonts w:ascii="Times New Roman" w:hAnsi="Times New Roman" w:cs="Times New Roman"/>
          <w:sz w:val="28"/>
        </w:rPr>
      </w:pPr>
    </w:p>
    <w:tbl>
      <w:tblPr>
        <w:tblStyle w:val="ab"/>
        <w:tblW w:w="10405" w:type="dxa"/>
        <w:jc w:val="center"/>
        <w:tblInd w:w="0" w:type="dxa"/>
        <w:tblLayout w:type="fixed"/>
        <w:tblLook w:val="04A0" w:firstRow="1" w:lastRow="0" w:firstColumn="1" w:lastColumn="0" w:noHBand="0" w:noVBand="1"/>
      </w:tblPr>
      <w:tblGrid>
        <w:gridCol w:w="7712"/>
        <w:gridCol w:w="1346"/>
        <w:gridCol w:w="1347"/>
      </w:tblGrid>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rPr>
                <w:rFonts w:ascii="Times New Roman" w:hAnsi="Times New Roman" w:cs="Times New Roman"/>
                <w:sz w:val="24"/>
                <w:szCs w:val="24"/>
              </w:rPr>
            </w:pPr>
            <w:r w:rsidRPr="00DF7224">
              <w:rPr>
                <w:rFonts w:ascii="Times New Roman" w:hAnsi="Times New Roman" w:cs="Times New Roman"/>
                <w:sz w:val="24"/>
                <w:szCs w:val="24"/>
              </w:rPr>
              <w:t>Категории</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Экспорт</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Импорт</w:t>
            </w:r>
          </w:p>
        </w:tc>
      </w:tr>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hideMark/>
          </w:tcPr>
          <w:p w:rsidR="00D0049C" w:rsidRPr="00DF7224" w:rsidRDefault="00D0049C" w:rsidP="00651915">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Продукты питания, напитки и табак</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42 227,1</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30 998,1</w:t>
            </w:r>
          </w:p>
        </w:tc>
      </w:tr>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hideMark/>
          </w:tcPr>
          <w:p w:rsidR="00D0049C" w:rsidRPr="00DF7224" w:rsidRDefault="00D0049C" w:rsidP="00651915">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Сырьё</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12 802,8</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16 220,6</w:t>
            </w:r>
          </w:p>
        </w:tc>
      </w:tr>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hideMark/>
          </w:tcPr>
          <w:p w:rsidR="00D0049C" w:rsidRPr="00DF7224" w:rsidRDefault="00D0049C" w:rsidP="00651915">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Минеральное топливо, смазочные материалы и родственные материалы</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19 860,1</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40 673,9</w:t>
            </w:r>
          </w:p>
        </w:tc>
      </w:tr>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hideMark/>
          </w:tcPr>
          <w:p w:rsidR="00D0049C" w:rsidRPr="00DF7224" w:rsidRDefault="00D0049C" w:rsidP="00651915">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Химические вещества и сопутствующие продукты, т.п.</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37 272,7</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43 853,0</w:t>
            </w:r>
          </w:p>
        </w:tc>
      </w:tr>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hideMark/>
          </w:tcPr>
          <w:p w:rsidR="00D0049C" w:rsidRPr="00DF7224" w:rsidRDefault="00D0049C" w:rsidP="00651915">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Другие промышленные товары</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73 503,1</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77 852,3</w:t>
            </w:r>
          </w:p>
        </w:tc>
      </w:tr>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hideMark/>
          </w:tcPr>
          <w:p w:rsidR="00D0049C" w:rsidRPr="00DF7224" w:rsidRDefault="00D0049C" w:rsidP="00651915">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Оборудование и транспортное оборудование</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93 726,5</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100 201,1</w:t>
            </w:r>
          </w:p>
        </w:tc>
      </w:tr>
      <w:tr w:rsidR="00D0049C" w:rsidRPr="00DF7224" w:rsidTr="00651915">
        <w:trPr>
          <w:trHeight w:val="397"/>
          <w:jc w:val="center"/>
        </w:trPr>
        <w:tc>
          <w:tcPr>
            <w:tcW w:w="7712" w:type="dxa"/>
            <w:tcBorders>
              <w:top w:val="single" w:sz="4" w:space="0" w:color="auto"/>
              <w:left w:val="single" w:sz="4" w:space="0" w:color="auto"/>
              <w:bottom w:val="single" w:sz="4" w:space="0" w:color="auto"/>
              <w:right w:val="single" w:sz="4" w:space="0" w:color="auto"/>
            </w:tcBorders>
            <w:noWrap/>
            <w:hideMark/>
          </w:tcPr>
          <w:p w:rsidR="00D0049C" w:rsidRPr="00DF7224" w:rsidRDefault="00D0049C" w:rsidP="00651915">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Товары и операции, не классифицированные в других местах в МСТК</w:t>
            </w:r>
          </w:p>
        </w:tc>
        <w:tc>
          <w:tcPr>
            <w:tcW w:w="1346"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3 505,2</w:t>
            </w:r>
          </w:p>
        </w:tc>
        <w:tc>
          <w:tcPr>
            <w:tcW w:w="1347" w:type="dxa"/>
            <w:tcBorders>
              <w:top w:val="single" w:sz="4" w:space="0" w:color="auto"/>
              <w:left w:val="single" w:sz="4" w:space="0" w:color="auto"/>
              <w:bottom w:val="single" w:sz="4" w:space="0" w:color="auto"/>
              <w:right w:val="single" w:sz="4" w:space="0" w:color="auto"/>
            </w:tcBorders>
            <w:noWrap/>
            <w:vAlign w:val="center"/>
            <w:hideMark/>
          </w:tcPr>
          <w:p w:rsidR="00D0049C" w:rsidRPr="00DF7224" w:rsidRDefault="00D0049C" w:rsidP="00651915">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1 050,3</w:t>
            </w:r>
          </w:p>
        </w:tc>
      </w:tr>
    </w:tbl>
    <w:p w:rsidR="00D0049C" w:rsidRPr="00DF7224" w:rsidRDefault="00D0049C" w:rsidP="00D0049C">
      <w:pPr>
        <w:spacing w:after="0"/>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00651915" w:rsidRPr="00DF7224">
        <w:rPr>
          <w:rFonts w:ascii="Times New Roman" w:hAnsi="Times New Roman" w:cs="Times New Roman"/>
          <w:i/>
          <w:sz w:val="20"/>
          <w:szCs w:val="24"/>
        </w:rPr>
        <w:t xml:space="preserve"> </w:t>
      </w:r>
      <w:r w:rsidRPr="00DF7224">
        <w:rPr>
          <w:rFonts w:ascii="Times New Roman" w:hAnsi="Times New Roman" w:cs="Times New Roman"/>
          <w:sz w:val="20"/>
          <w:szCs w:val="24"/>
        </w:rPr>
        <w:t>http://appsso.eurostat.ec.europa.eu/nui/show.do?dataset=ext_st_28msbec&amp;lang=en</w:t>
      </w:r>
    </w:p>
    <w:p w:rsidR="00D0049C" w:rsidRPr="00DF7224" w:rsidRDefault="00D0049C" w:rsidP="00D0049C">
      <w:pPr>
        <w:spacing w:after="0"/>
        <w:ind w:firstLine="709"/>
        <w:rPr>
          <w:rFonts w:ascii="Times New Roman" w:hAnsi="Times New Roman" w:cs="Times New Roman"/>
          <w:sz w:val="24"/>
          <w:szCs w:val="24"/>
        </w:rPr>
      </w:pPr>
    </w:p>
    <w:p w:rsidR="00D0049C" w:rsidRPr="00DF7224" w:rsidRDefault="00D0049C" w:rsidP="007E0CA0">
      <w:pPr>
        <w:spacing w:after="0" w:line="360" w:lineRule="auto"/>
        <w:ind w:firstLine="709"/>
        <w:jc w:val="both"/>
        <w:rPr>
          <w:rFonts w:ascii="Times New Roman" w:hAnsi="Times New Roman" w:cs="Times New Roman"/>
          <w:sz w:val="28"/>
          <w:szCs w:val="24"/>
        </w:rPr>
      </w:pPr>
    </w:p>
    <w:p w:rsidR="008C5A0B" w:rsidRPr="00DF7224" w:rsidRDefault="008C5A0B" w:rsidP="007E0CA0">
      <w:pPr>
        <w:spacing w:after="0" w:line="240" w:lineRule="auto"/>
        <w:jc w:val="center"/>
        <w:rPr>
          <w:rFonts w:ascii="Times New Roman" w:hAnsi="Times New Roman" w:cs="Times New Roman"/>
          <w:sz w:val="24"/>
          <w:szCs w:val="24"/>
        </w:rPr>
      </w:pPr>
      <w:r w:rsidRPr="00DF7224">
        <w:rPr>
          <w:rFonts w:ascii="Times New Roman" w:hAnsi="Times New Roman" w:cs="Times New Roman"/>
          <w:noProof/>
          <w:sz w:val="24"/>
          <w:szCs w:val="24"/>
          <w:lang w:eastAsia="ru-RU"/>
        </w:rPr>
        <w:lastRenderedPageBreak/>
        <w:drawing>
          <wp:inline distT="0" distB="0" distL="0" distR="0" wp14:anchorId="36C30E0F" wp14:editId="73FF1A88">
            <wp:extent cx="4465122" cy="2054431"/>
            <wp:effectExtent l="0" t="0" r="12065" b="222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DF7224">
        <w:rPr>
          <w:rFonts w:ascii="Times New Roman" w:hAnsi="Times New Roman" w:cs="Times New Roman"/>
          <w:noProof/>
          <w:sz w:val="24"/>
          <w:szCs w:val="24"/>
          <w:lang w:eastAsia="ru-RU"/>
        </w:rPr>
        <w:drawing>
          <wp:inline distT="0" distB="0" distL="0" distR="0" wp14:anchorId="1CA9BF61" wp14:editId="371FBC56">
            <wp:extent cx="4465122" cy="2018806"/>
            <wp:effectExtent l="0" t="0" r="12065" b="1968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27B16" w:rsidRPr="00DF7224" w:rsidRDefault="00827B16" w:rsidP="007E0CA0">
      <w:pPr>
        <w:spacing w:after="0" w:line="240" w:lineRule="auto"/>
        <w:jc w:val="center"/>
        <w:rPr>
          <w:rFonts w:ascii="Times New Roman" w:hAnsi="Times New Roman" w:cs="Times New Roman"/>
          <w:sz w:val="24"/>
          <w:szCs w:val="24"/>
        </w:rPr>
      </w:pPr>
    </w:p>
    <w:p w:rsidR="004650E3" w:rsidRPr="00DF7224" w:rsidRDefault="004650E3" w:rsidP="007E0CA0">
      <w:pPr>
        <w:spacing w:after="0" w:line="240" w:lineRule="auto"/>
        <w:ind w:firstLine="709"/>
        <w:rPr>
          <w:rFonts w:ascii="Times New Roman" w:hAnsi="Times New Roman" w:cs="Times New Roman"/>
          <w:sz w:val="28"/>
        </w:rPr>
      </w:pPr>
      <w:r w:rsidRPr="00DF7224">
        <w:rPr>
          <w:rFonts w:ascii="Times New Roman" w:hAnsi="Times New Roman" w:cs="Times New Roman"/>
          <w:sz w:val="28"/>
        </w:rPr>
        <w:t xml:space="preserve">Рисунок – </w:t>
      </w:r>
      <w:r w:rsidR="008B4C4C" w:rsidRPr="00DF7224">
        <w:rPr>
          <w:rFonts w:ascii="Times New Roman" w:hAnsi="Times New Roman" w:cs="Times New Roman"/>
          <w:sz w:val="28"/>
        </w:rPr>
        <w:t>2.1</w:t>
      </w:r>
      <w:r w:rsidR="008F6A33" w:rsidRPr="00DF7224">
        <w:rPr>
          <w:rFonts w:ascii="Times New Roman" w:hAnsi="Times New Roman" w:cs="Times New Roman"/>
          <w:sz w:val="28"/>
        </w:rPr>
        <w:t xml:space="preserve"> Географическая структура внешней торговли Испании в 2017 г.</w:t>
      </w:r>
    </w:p>
    <w:p w:rsidR="006D26B3" w:rsidRPr="00DF7224" w:rsidRDefault="008C5A0B" w:rsidP="00D0049C">
      <w:pPr>
        <w:spacing w:after="0"/>
        <w:ind w:firstLine="709"/>
        <w:rPr>
          <w:rFonts w:ascii="Times New Roman" w:hAnsi="Times New Roman" w:cs="Times New Roman"/>
          <w:sz w:val="20"/>
          <w:szCs w:val="24"/>
        </w:rPr>
      </w:pPr>
      <w:r w:rsidRPr="00DF7224">
        <w:rPr>
          <w:rFonts w:ascii="Times New Roman" w:hAnsi="Times New Roman" w:cs="Times New Roman"/>
          <w:i/>
          <w:sz w:val="20"/>
          <w:szCs w:val="24"/>
        </w:rPr>
        <w:t xml:space="preserve">Источник: </w:t>
      </w:r>
      <w:r w:rsidR="00827B16" w:rsidRPr="00DF7224">
        <w:rPr>
          <w:rFonts w:ascii="Times New Roman" w:hAnsi="Times New Roman" w:cs="Times New Roman"/>
          <w:sz w:val="20"/>
          <w:szCs w:val="24"/>
        </w:rPr>
        <w:t>https://ec.europa.eu/eurostat/statistics-explained/index.php/Extra-EU_trade_in_goods</w:t>
      </w:r>
    </w:p>
    <w:p w:rsidR="006D26B3" w:rsidRPr="00DF7224" w:rsidRDefault="006D26B3" w:rsidP="006D26B3">
      <w:pPr>
        <w:spacing w:after="0" w:line="360" w:lineRule="auto"/>
        <w:rPr>
          <w:rFonts w:ascii="Times New Roman" w:hAnsi="Times New Roman" w:cs="Times New Roman"/>
          <w:sz w:val="28"/>
        </w:rPr>
      </w:pPr>
    </w:p>
    <w:p w:rsidR="003631E7" w:rsidRPr="00DF7224" w:rsidRDefault="006D26B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 Таблице 2.4 представлена товарная структура экспорта и импорта Испании в 2017 году. </w:t>
      </w:r>
      <w:r w:rsidR="00AA3854" w:rsidRPr="00DF7224">
        <w:rPr>
          <w:rFonts w:ascii="Times New Roman" w:hAnsi="Times New Roman" w:cs="Times New Roman"/>
          <w:sz w:val="28"/>
          <w:szCs w:val="28"/>
        </w:rPr>
        <w:t xml:space="preserve">Наибольшую </w:t>
      </w:r>
      <w:r w:rsidR="00827B16" w:rsidRPr="00DF7224">
        <w:rPr>
          <w:rFonts w:ascii="Times New Roman" w:hAnsi="Times New Roman" w:cs="Times New Roman"/>
          <w:sz w:val="28"/>
          <w:szCs w:val="28"/>
        </w:rPr>
        <w:t xml:space="preserve">долю в </w:t>
      </w:r>
      <w:r w:rsidR="00AA3854" w:rsidRPr="00DF7224">
        <w:rPr>
          <w:rFonts w:ascii="Times New Roman" w:hAnsi="Times New Roman" w:cs="Times New Roman"/>
          <w:sz w:val="28"/>
          <w:szCs w:val="28"/>
        </w:rPr>
        <w:t>товарн</w:t>
      </w:r>
      <w:r w:rsidR="00827B16" w:rsidRPr="00DF7224">
        <w:rPr>
          <w:rFonts w:ascii="Times New Roman" w:hAnsi="Times New Roman" w:cs="Times New Roman"/>
          <w:sz w:val="28"/>
          <w:szCs w:val="28"/>
        </w:rPr>
        <w:t>ой</w:t>
      </w:r>
      <w:r w:rsidR="00AA3854" w:rsidRPr="00DF7224">
        <w:rPr>
          <w:rFonts w:ascii="Times New Roman" w:hAnsi="Times New Roman" w:cs="Times New Roman"/>
          <w:sz w:val="28"/>
          <w:szCs w:val="28"/>
        </w:rPr>
        <w:t xml:space="preserve"> структур</w:t>
      </w:r>
      <w:r w:rsidR="00827B16" w:rsidRPr="00DF7224">
        <w:rPr>
          <w:rFonts w:ascii="Times New Roman" w:hAnsi="Times New Roman" w:cs="Times New Roman"/>
          <w:sz w:val="28"/>
          <w:szCs w:val="28"/>
        </w:rPr>
        <w:t>е экспорта и импорта</w:t>
      </w:r>
      <w:r w:rsidR="00AA3854" w:rsidRPr="00DF7224">
        <w:rPr>
          <w:rFonts w:ascii="Times New Roman" w:hAnsi="Times New Roman" w:cs="Times New Roman"/>
          <w:sz w:val="28"/>
          <w:szCs w:val="28"/>
        </w:rPr>
        <w:t xml:space="preserve"> занимают оборудование и транспортное оборудование. </w:t>
      </w:r>
      <w:r w:rsidR="004650E3" w:rsidRPr="00DF7224">
        <w:rPr>
          <w:rFonts w:ascii="Times New Roman" w:hAnsi="Times New Roman" w:cs="Times New Roman"/>
          <w:sz w:val="28"/>
          <w:szCs w:val="28"/>
        </w:rPr>
        <w:t xml:space="preserve">Рост экспорта был зарегистрирован по </w:t>
      </w:r>
      <w:r w:rsidR="00827B16" w:rsidRPr="00DF7224">
        <w:rPr>
          <w:rFonts w:ascii="Times New Roman" w:hAnsi="Times New Roman" w:cs="Times New Roman"/>
          <w:sz w:val="28"/>
          <w:szCs w:val="28"/>
        </w:rPr>
        <w:t xml:space="preserve">следующим товарным позициям: </w:t>
      </w:r>
      <w:r w:rsidR="004650E3" w:rsidRPr="00DF7224">
        <w:rPr>
          <w:rFonts w:ascii="Times New Roman" w:hAnsi="Times New Roman" w:cs="Times New Roman"/>
          <w:sz w:val="28"/>
          <w:szCs w:val="28"/>
        </w:rPr>
        <w:t xml:space="preserve">топливо - на 54,8%, пластмассовые изделия – на 10,4%, одежда – на 10,7%, металлопродукция – на 11,2%, растительные и животные масла – на 19,3%, алюминий и продукты из него – на 17%, рыба и морепродукты – на 11,2%, медь и продукты из нее – на 19,7%. Среди импортируемых товаров наибольшими темпами росли закупки самолетов и запчастей – на 55,5%, углеводородов – на 35,5%, медицинского оборудования – на 29,2%, пластмассовых изделий – на 9,7%, рыбы и морепродуктов – на 8,3%, </w:t>
      </w:r>
      <w:r w:rsidR="004650E3" w:rsidRPr="00DF7224">
        <w:rPr>
          <w:rFonts w:ascii="Times New Roman" w:hAnsi="Times New Roman" w:cs="Times New Roman"/>
          <w:sz w:val="28"/>
          <w:szCs w:val="28"/>
        </w:rPr>
        <w:lastRenderedPageBreak/>
        <w:t>промышленного оборудования – на 7,9%, мотоциклов и автокомпонентов – на 5%.</w:t>
      </w:r>
    </w:p>
    <w:p w:rsidR="002634A7" w:rsidRPr="00DF7224" w:rsidRDefault="00827B16"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 </w:t>
      </w:r>
      <w:r w:rsidR="003631E7" w:rsidRPr="00DF7224">
        <w:rPr>
          <w:rFonts w:ascii="Times New Roman" w:hAnsi="Times New Roman" w:cs="Times New Roman"/>
          <w:sz w:val="28"/>
          <w:szCs w:val="28"/>
        </w:rPr>
        <w:t>Рост испанского экспорта по итогам 2017 г. был обусловлен увеличением объемов продаж следующих товаров</w:t>
      </w:r>
      <w:r w:rsidR="00DE5ADA" w:rsidRPr="00DF7224">
        <w:rPr>
          <w:rFonts w:ascii="Times New Roman" w:hAnsi="Times New Roman" w:cs="Times New Roman"/>
          <w:sz w:val="28"/>
          <w:szCs w:val="28"/>
        </w:rPr>
        <w:t xml:space="preserve"> </w:t>
      </w:r>
      <w:r w:rsidR="0080325E" w:rsidRPr="00DF7224">
        <w:rPr>
          <w:rFonts w:ascii="Times New Roman" w:hAnsi="Times New Roman" w:cs="Times New Roman"/>
          <w:sz w:val="28"/>
          <w:szCs w:val="28"/>
        </w:rPr>
        <w:t>[</w:t>
      </w:r>
      <w:r w:rsidR="006212CE" w:rsidRPr="00DF7224">
        <w:rPr>
          <w:rFonts w:ascii="Times New Roman" w:hAnsi="Times New Roman" w:cs="Times New Roman"/>
          <w:sz w:val="28"/>
          <w:szCs w:val="28"/>
        </w:rPr>
        <w:t>39</w:t>
      </w:r>
      <w:r w:rsidR="0080325E" w:rsidRPr="00DF7224">
        <w:rPr>
          <w:rFonts w:ascii="Times New Roman" w:hAnsi="Times New Roman" w:cs="Times New Roman"/>
          <w:sz w:val="28"/>
          <w:szCs w:val="28"/>
        </w:rPr>
        <w:t>]</w:t>
      </w:r>
      <w:r w:rsidR="003631E7" w:rsidRPr="00DF7224">
        <w:rPr>
          <w:rFonts w:ascii="Times New Roman" w:hAnsi="Times New Roman" w:cs="Times New Roman"/>
          <w:sz w:val="28"/>
          <w:szCs w:val="28"/>
        </w:rPr>
        <w:t xml:space="preserve">: </w:t>
      </w:r>
    </w:p>
    <w:p w:rsidR="002634A7"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мясо и пищевые субпродукт</w:t>
      </w:r>
      <w:r w:rsidR="002634A7" w:rsidRPr="00DF7224">
        <w:rPr>
          <w:rFonts w:ascii="Times New Roman" w:hAnsi="Times New Roman" w:cs="Times New Roman"/>
          <w:sz w:val="28"/>
          <w:szCs w:val="28"/>
        </w:rPr>
        <w:t>ы - на 9,33% до 5703 млн. евро;</w:t>
      </w:r>
    </w:p>
    <w:p w:rsidR="002634A7"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рыбы, ракообразные и моллюски - на 10,47</w:t>
      </w:r>
      <w:r w:rsidR="007A743F" w:rsidRPr="00DF7224">
        <w:rPr>
          <w:rFonts w:ascii="Times New Roman" w:hAnsi="Times New Roman" w:cs="Times New Roman"/>
          <w:sz w:val="28"/>
          <w:szCs w:val="28"/>
        </w:rPr>
        <w:t>%</w:t>
      </w:r>
      <w:r w:rsidRPr="00DF7224">
        <w:rPr>
          <w:rFonts w:ascii="Times New Roman" w:hAnsi="Times New Roman" w:cs="Times New Roman"/>
          <w:sz w:val="28"/>
          <w:szCs w:val="28"/>
        </w:rPr>
        <w:t xml:space="preserve"> до 3066 млн. евро; </w:t>
      </w:r>
    </w:p>
    <w:p w:rsidR="002634A7"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жиры, животные и растительные масла</w:t>
      </w:r>
      <w:r w:rsidR="002634A7" w:rsidRPr="00DF7224">
        <w:rPr>
          <w:rFonts w:ascii="Times New Roman" w:hAnsi="Times New Roman" w:cs="Times New Roman"/>
          <w:sz w:val="28"/>
          <w:szCs w:val="28"/>
        </w:rPr>
        <w:t xml:space="preserve"> - на 16,25% до 4938 млн. евро;</w:t>
      </w:r>
    </w:p>
    <w:p w:rsidR="002634A7"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топливо минеральное - на 51,90% до 15654 млн. евро;</w:t>
      </w:r>
    </w:p>
    <w:p w:rsidR="0080325E"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парфюмерные масла</w:t>
      </w:r>
      <w:r w:rsidR="0080325E" w:rsidRPr="00DF7224">
        <w:rPr>
          <w:rFonts w:ascii="Times New Roman" w:hAnsi="Times New Roman" w:cs="Times New Roman"/>
          <w:sz w:val="28"/>
          <w:szCs w:val="28"/>
        </w:rPr>
        <w:t xml:space="preserve"> - на 11,64% до 4044 млн. евро;</w:t>
      </w:r>
    </w:p>
    <w:p w:rsidR="0080325E"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пластмассовые изделия - на 9,96% до 10759 млн. евро;</w:t>
      </w:r>
    </w:p>
    <w:p w:rsidR="0080325E"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трикотажные одежда и аксессуары - на 10,14% до 4807 млн. евро;</w:t>
      </w:r>
    </w:p>
    <w:p w:rsidR="0080325E"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 xml:space="preserve">медь и медные изделия - на 18,13% до 2930 млн. евро; </w:t>
      </w:r>
    </w:p>
    <w:p w:rsidR="0080325E"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алюминий и алюминиевые изделия</w:t>
      </w:r>
      <w:r w:rsidR="0080325E" w:rsidRPr="00DF7224">
        <w:rPr>
          <w:rFonts w:ascii="Times New Roman" w:hAnsi="Times New Roman" w:cs="Times New Roman"/>
          <w:sz w:val="28"/>
          <w:szCs w:val="28"/>
        </w:rPr>
        <w:t xml:space="preserve"> - на 16,19% до 3585 млн. евро;</w:t>
      </w:r>
    </w:p>
    <w:p w:rsidR="0080325E"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 xml:space="preserve">машины, оборудование и механические устройства - </w:t>
      </w:r>
      <w:r w:rsidR="0080325E" w:rsidRPr="00DF7224">
        <w:rPr>
          <w:rFonts w:ascii="Times New Roman" w:hAnsi="Times New Roman" w:cs="Times New Roman"/>
          <w:sz w:val="28"/>
          <w:szCs w:val="28"/>
        </w:rPr>
        <w:t>на 7,62% до 21214 млн. евро;</w:t>
      </w:r>
    </w:p>
    <w:p w:rsidR="0080325E" w:rsidRPr="00DF7224" w:rsidRDefault="003631E7" w:rsidP="007E0CA0">
      <w:pPr>
        <w:pStyle w:val="aa"/>
        <w:numPr>
          <w:ilvl w:val="0"/>
          <w:numId w:val="21"/>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транспортные средства и оборудование для железных дорог</w:t>
      </w:r>
      <w:r w:rsidR="0080325E" w:rsidRPr="00DF7224">
        <w:rPr>
          <w:rFonts w:ascii="Times New Roman" w:hAnsi="Times New Roman" w:cs="Times New Roman"/>
          <w:sz w:val="28"/>
          <w:szCs w:val="28"/>
        </w:rPr>
        <w:t xml:space="preserve"> - на 25,32% до 1462 млн. евро;</w:t>
      </w:r>
    </w:p>
    <w:p w:rsidR="0080325E" w:rsidRPr="00DF7224" w:rsidRDefault="003631E7" w:rsidP="00827B16">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Основной вклад в общий рост экспорта Испании внесли минеральные продукты (вклад в 2,5 </w:t>
      </w:r>
      <w:r w:rsidR="00827B16" w:rsidRPr="00DF7224">
        <w:rPr>
          <w:rFonts w:ascii="Times New Roman" w:hAnsi="Times New Roman" w:cs="Times New Roman"/>
          <w:sz w:val="28"/>
          <w:szCs w:val="28"/>
        </w:rPr>
        <w:t>п п</w:t>
      </w:r>
      <w:r w:rsidRPr="00DF7224">
        <w:rPr>
          <w:rFonts w:ascii="Times New Roman" w:hAnsi="Times New Roman" w:cs="Times New Roman"/>
          <w:sz w:val="28"/>
          <w:szCs w:val="28"/>
        </w:rPr>
        <w:t>), оборудование (1,9 п</w:t>
      </w:r>
      <w:r w:rsidR="00827B16" w:rsidRPr="00DF7224">
        <w:rPr>
          <w:rFonts w:ascii="Times New Roman" w:hAnsi="Times New Roman" w:cs="Times New Roman"/>
          <w:sz w:val="28"/>
          <w:szCs w:val="28"/>
        </w:rPr>
        <w:t xml:space="preserve"> п</w:t>
      </w:r>
      <w:r w:rsidRPr="00DF7224">
        <w:rPr>
          <w:rFonts w:ascii="Times New Roman" w:hAnsi="Times New Roman" w:cs="Times New Roman"/>
          <w:sz w:val="28"/>
          <w:szCs w:val="28"/>
        </w:rPr>
        <w:t>), химические продукты (1,1 п</w:t>
      </w:r>
      <w:r w:rsidR="00827B16" w:rsidRPr="00DF7224">
        <w:rPr>
          <w:rFonts w:ascii="Times New Roman" w:hAnsi="Times New Roman" w:cs="Times New Roman"/>
          <w:sz w:val="28"/>
          <w:szCs w:val="28"/>
        </w:rPr>
        <w:t xml:space="preserve"> п</w:t>
      </w:r>
      <w:r w:rsidRPr="00DF7224">
        <w:rPr>
          <w:rFonts w:ascii="Times New Roman" w:hAnsi="Times New Roman" w:cs="Times New Roman"/>
          <w:sz w:val="28"/>
          <w:szCs w:val="28"/>
        </w:rPr>
        <w:t>), а также продукты питания, напитки и табачные изделия (1,1</w:t>
      </w:r>
      <w:r w:rsidR="0080325E" w:rsidRPr="00DF7224">
        <w:rPr>
          <w:rFonts w:ascii="Times New Roman" w:hAnsi="Times New Roman" w:cs="Times New Roman"/>
          <w:sz w:val="28"/>
          <w:szCs w:val="28"/>
        </w:rPr>
        <w:t xml:space="preserve"> п</w:t>
      </w:r>
      <w:r w:rsidR="00827B16" w:rsidRPr="00DF7224">
        <w:rPr>
          <w:rFonts w:ascii="Times New Roman" w:hAnsi="Times New Roman" w:cs="Times New Roman"/>
          <w:sz w:val="28"/>
          <w:szCs w:val="28"/>
        </w:rPr>
        <w:t xml:space="preserve"> п</w:t>
      </w:r>
      <w:r w:rsidRPr="00DF7224">
        <w:rPr>
          <w:rFonts w:ascii="Times New Roman" w:hAnsi="Times New Roman" w:cs="Times New Roman"/>
          <w:sz w:val="28"/>
          <w:szCs w:val="28"/>
        </w:rPr>
        <w:t xml:space="preserve">). </w:t>
      </w:r>
    </w:p>
    <w:p w:rsidR="0080325E" w:rsidRPr="00DF7224" w:rsidRDefault="003631E7" w:rsidP="00827B16">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Одной из позитивных составляющих динамики экспорта в последние годы является </w:t>
      </w:r>
      <w:r w:rsidR="0080325E" w:rsidRPr="00DF7224">
        <w:rPr>
          <w:rFonts w:ascii="Times New Roman" w:hAnsi="Times New Roman" w:cs="Times New Roman"/>
          <w:sz w:val="28"/>
          <w:szCs w:val="28"/>
        </w:rPr>
        <w:t>расширяющаяся</w:t>
      </w:r>
      <w:r w:rsidRPr="00DF7224">
        <w:rPr>
          <w:rFonts w:ascii="Times New Roman" w:hAnsi="Times New Roman" w:cs="Times New Roman"/>
          <w:sz w:val="28"/>
          <w:szCs w:val="28"/>
        </w:rPr>
        <w:t xml:space="preserve"> географическ</w:t>
      </w:r>
      <w:r w:rsidR="00827B16" w:rsidRPr="00DF7224">
        <w:rPr>
          <w:rFonts w:ascii="Times New Roman" w:hAnsi="Times New Roman" w:cs="Times New Roman"/>
          <w:sz w:val="28"/>
          <w:szCs w:val="28"/>
        </w:rPr>
        <w:t>ая</w:t>
      </w:r>
      <w:r w:rsidRPr="00DF7224">
        <w:rPr>
          <w:rFonts w:ascii="Times New Roman" w:hAnsi="Times New Roman" w:cs="Times New Roman"/>
          <w:sz w:val="28"/>
          <w:szCs w:val="28"/>
        </w:rPr>
        <w:t xml:space="preserve"> диверсификаци</w:t>
      </w:r>
      <w:r w:rsidR="0080325E" w:rsidRPr="00DF7224">
        <w:rPr>
          <w:rFonts w:ascii="Times New Roman" w:hAnsi="Times New Roman" w:cs="Times New Roman"/>
          <w:sz w:val="28"/>
          <w:szCs w:val="28"/>
        </w:rPr>
        <w:t>я</w:t>
      </w:r>
      <w:r w:rsidRPr="00DF7224">
        <w:rPr>
          <w:rFonts w:ascii="Times New Roman" w:hAnsi="Times New Roman" w:cs="Times New Roman"/>
          <w:sz w:val="28"/>
          <w:szCs w:val="28"/>
        </w:rPr>
        <w:t xml:space="preserve"> испанского экспорта. Экономическое восстановление в ряде развивающихся рынков привело к увеличению доли испанского экспорта на неевропейском направлении на 10,6% в годовом выражении. Доля испанского экспорта в ЕС уменьшилась с 66,3% в 2016 г. до 65,7% в 2017 г. Рост экспорта испанских товаров в Ближний Восток составил 1,3%, что а</w:t>
      </w:r>
      <w:r w:rsidR="0080325E" w:rsidRPr="00DF7224">
        <w:rPr>
          <w:rFonts w:ascii="Times New Roman" w:hAnsi="Times New Roman" w:cs="Times New Roman"/>
          <w:sz w:val="28"/>
          <w:szCs w:val="28"/>
        </w:rPr>
        <w:t>налогично показателю за 2016 г.</w:t>
      </w:r>
      <w:r w:rsidRPr="00DF7224">
        <w:rPr>
          <w:rFonts w:ascii="Times New Roman" w:hAnsi="Times New Roman" w:cs="Times New Roman"/>
          <w:sz w:val="28"/>
          <w:szCs w:val="28"/>
        </w:rPr>
        <w:t>, в Латинскую Америку - 12,7%, в Северную Амер</w:t>
      </w:r>
      <w:r w:rsidR="00DE3497" w:rsidRPr="00DF7224">
        <w:rPr>
          <w:rFonts w:ascii="Times New Roman" w:hAnsi="Times New Roman" w:cs="Times New Roman"/>
          <w:sz w:val="28"/>
          <w:szCs w:val="28"/>
        </w:rPr>
        <w:t>ику – на 10%, Океанию – на 23,5</w:t>
      </w:r>
      <w:r w:rsidRPr="00DF7224">
        <w:rPr>
          <w:rFonts w:ascii="Times New Roman" w:hAnsi="Times New Roman" w:cs="Times New Roman"/>
          <w:sz w:val="28"/>
          <w:szCs w:val="28"/>
        </w:rPr>
        <w:t xml:space="preserve">%, Африку – 8,5%. Также наблюдается значительный рост </w:t>
      </w:r>
      <w:r w:rsidRPr="00DF7224">
        <w:rPr>
          <w:rFonts w:ascii="Times New Roman" w:hAnsi="Times New Roman" w:cs="Times New Roman"/>
          <w:sz w:val="28"/>
          <w:szCs w:val="28"/>
        </w:rPr>
        <w:lastRenderedPageBreak/>
        <w:t xml:space="preserve">испанского экспорта в Азию (+ 11,2%), особенно в Китай (+ 24,4%). Показатели роста экспорта по странам распределились следующим образом: Аргентина (51%), Нигерия (28,7%), Австралия (21,4%), Марокко (15,7%), Индонезия (15,6%), Филиппины (13, 5%), Мексика (12,2%), Канада (10,6%), Турция (10,6%), США (10%). </w:t>
      </w:r>
    </w:p>
    <w:p w:rsidR="0080325E" w:rsidRPr="00DF7224" w:rsidRDefault="003631E7"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По ито</w:t>
      </w:r>
      <w:r w:rsidR="0080325E" w:rsidRPr="00DF7224">
        <w:rPr>
          <w:rFonts w:ascii="Times New Roman" w:hAnsi="Times New Roman" w:cs="Times New Roman"/>
          <w:sz w:val="28"/>
          <w:szCs w:val="28"/>
        </w:rPr>
        <w:t xml:space="preserve">гам 2017 года импорт увеличился, </w:t>
      </w:r>
      <w:r w:rsidRPr="00DF7224">
        <w:rPr>
          <w:rFonts w:ascii="Times New Roman" w:hAnsi="Times New Roman" w:cs="Times New Roman"/>
          <w:sz w:val="28"/>
          <w:szCs w:val="28"/>
        </w:rPr>
        <w:t>что было обусловлено, прежде всего, ростом закупок следующих товаров</w:t>
      </w:r>
      <w:r w:rsidR="00DE5ADA" w:rsidRPr="00DF7224">
        <w:rPr>
          <w:rFonts w:ascii="Times New Roman" w:hAnsi="Times New Roman" w:cs="Times New Roman"/>
          <w:sz w:val="28"/>
          <w:szCs w:val="28"/>
        </w:rPr>
        <w:t xml:space="preserve"> </w:t>
      </w:r>
      <w:r w:rsidR="00AA3854" w:rsidRPr="00DF7224">
        <w:rPr>
          <w:rFonts w:ascii="Times New Roman" w:hAnsi="Times New Roman" w:cs="Times New Roman"/>
          <w:sz w:val="28"/>
          <w:szCs w:val="28"/>
        </w:rPr>
        <w:t>[</w:t>
      </w:r>
      <w:r w:rsidR="006212CE" w:rsidRPr="00DF7224">
        <w:rPr>
          <w:rFonts w:ascii="Times New Roman" w:hAnsi="Times New Roman" w:cs="Times New Roman"/>
          <w:sz w:val="28"/>
          <w:szCs w:val="28"/>
        </w:rPr>
        <w:t>39</w:t>
      </w:r>
      <w:r w:rsidR="00AA3854" w:rsidRPr="00DF7224">
        <w:rPr>
          <w:rFonts w:ascii="Times New Roman" w:hAnsi="Times New Roman" w:cs="Times New Roman"/>
          <w:sz w:val="28"/>
          <w:szCs w:val="28"/>
        </w:rPr>
        <w:t>]</w:t>
      </w:r>
      <w:r w:rsidRPr="00DF7224">
        <w:rPr>
          <w:rFonts w:ascii="Times New Roman" w:hAnsi="Times New Roman" w:cs="Times New Roman"/>
          <w:sz w:val="28"/>
          <w:szCs w:val="28"/>
        </w:rPr>
        <w:t>:</w:t>
      </w:r>
    </w:p>
    <w:p w:rsidR="0080325E"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мясо и пищевые субпродукты - на 9,34% до 1426 млн. евро;</w:t>
      </w:r>
    </w:p>
    <w:p w:rsidR="0080325E"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молоко и молочные продукты, яйца, мед - на 11% до 1829 млн. евро;</w:t>
      </w:r>
    </w:p>
    <w:p w:rsidR="0080325E"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жиры, животные и растительные</w:t>
      </w:r>
      <w:r w:rsidR="0080325E" w:rsidRPr="00DF7224">
        <w:rPr>
          <w:rFonts w:ascii="Times New Roman" w:hAnsi="Times New Roman" w:cs="Times New Roman"/>
          <w:sz w:val="28"/>
          <w:szCs w:val="28"/>
        </w:rPr>
        <w:t xml:space="preserve"> - на 27,25% до 2948 млн. евро;</w:t>
      </w:r>
    </w:p>
    <w:p w:rsidR="0080325E"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рыбные и мясные консервы - на 20,88% до 1237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табак и табачное сырье - на 9,93% до 1618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минералы, шлак, зола - на 40,87% до 4806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топливо минеральное - на 32,54% до 40350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пластмассовые изделия - на 9,56% до 10481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медь и медные изделия - на 28% до 1647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алюминий и алюминиевые изделия - на 15,1%</w:t>
      </w:r>
      <w:r w:rsidR="002437A6" w:rsidRPr="00DF7224">
        <w:rPr>
          <w:rFonts w:ascii="Times New Roman" w:hAnsi="Times New Roman" w:cs="Times New Roman"/>
          <w:sz w:val="28"/>
          <w:szCs w:val="28"/>
        </w:rPr>
        <w:t xml:space="preserve"> до 3095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машины, оборудование и механические устройства</w:t>
      </w:r>
      <w:r w:rsidR="002437A6" w:rsidRPr="00DF7224">
        <w:rPr>
          <w:rFonts w:ascii="Times New Roman" w:hAnsi="Times New Roman" w:cs="Times New Roman"/>
          <w:sz w:val="28"/>
          <w:szCs w:val="28"/>
        </w:rPr>
        <w:t xml:space="preserve"> - на 7,73% до 29558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автотранспорт, тракторы - на 5,47% до 38964 млн. евро;</w:t>
      </w:r>
    </w:p>
    <w:p w:rsidR="002437A6" w:rsidRPr="00DF7224" w:rsidRDefault="003631E7" w:rsidP="007E0CA0">
      <w:pPr>
        <w:pStyle w:val="aa"/>
        <w:numPr>
          <w:ilvl w:val="0"/>
          <w:numId w:val="23"/>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летательные аппараты - на 31,88% до 5026 млн. евро;</w:t>
      </w:r>
    </w:p>
    <w:p w:rsidR="004650E3" w:rsidRPr="00DF7224" w:rsidRDefault="003631E7"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Увеличение импорта связано с ростом внутреннего спроса и ростом цен на энергоносители, только на нефть цены выросли на 17%.</w:t>
      </w:r>
    </w:p>
    <w:p w:rsidR="00827B16" w:rsidRPr="00DF7224" w:rsidRDefault="00827B16" w:rsidP="007E0CA0">
      <w:pPr>
        <w:spacing w:after="0" w:line="360" w:lineRule="auto"/>
        <w:ind w:firstLine="709"/>
        <w:jc w:val="both"/>
        <w:rPr>
          <w:rFonts w:ascii="Times New Roman" w:hAnsi="Times New Roman" w:cs="Times New Roman"/>
          <w:sz w:val="28"/>
          <w:szCs w:val="28"/>
        </w:rPr>
      </w:pPr>
    </w:p>
    <w:p w:rsidR="003631E7" w:rsidRPr="00DF7224" w:rsidRDefault="00F8793A" w:rsidP="00827B16">
      <w:pPr>
        <w:pStyle w:val="1"/>
        <w:spacing w:before="0" w:line="360" w:lineRule="auto"/>
        <w:ind w:firstLine="709"/>
        <w:rPr>
          <w:rFonts w:ascii="Times New Roman" w:hAnsi="Times New Roman" w:cs="Times New Roman"/>
          <w:b w:val="0"/>
          <w:color w:val="auto"/>
        </w:rPr>
      </w:pPr>
      <w:bookmarkStart w:id="8" w:name="_Toc10992396"/>
      <w:r w:rsidRPr="00DF7224">
        <w:rPr>
          <w:rFonts w:ascii="Times New Roman" w:hAnsi="Times New Roman" w:cs="Times New Roman"/>
          <w:b w:val="0"/>
          <w:color w:val="auto"/>
        </w:rPr>
        <w:t>2.2 Внешнеэкономическая политика Испании</w:t>
      </w:r>
      <w:bookmarkEnd w:id="8"/>
    </w:p>
    <w:p w:rsidR="00827B16" w:rsidRPr="00DF7224" w:rsidRDefault="00827B16" w:rsidP="00827B16"/>
    <w:p w:rsidR="002F62C5"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Внешнеэкономическая политика Правительства Испании направлена на повышение ее роли в решении глобальных экономических проблем, укрепление позиций страны. Испания не является полноправным членом </w:t>
      </w:r>
      <w:r w:rsidRPr="00DF7224">
        <w:rPr>
          <w:rFonts w:ascii="Times New Roman" w:hAnsi="Times New Roman" w:cs="Times New Roman"/>
          <w:sz w:val="28"/>
          <w:szCs w:val="28"/>
        </w:rPr>
        <w:lastRenderedPageBreak/>
        <w:t>G20, однако в последние годы регулярно (с 2008 г.) принимает участие в работе Группы 20 и является постоянным приглашенным членом. Испания принимает непосредственное участие в работе более 50 международных организаций и профильных ведомств, в том числе, в работе Европейского агентства по безопасности и гигиене труда, Европейского космического агентства, Европейского агентства по контролю за рыбной ловлей, Международной Ассоциации воздушного транспорта, Европейского банк реконструкции и развития, Межамериканского банка развития, Международного центра сельскохозяйственных исследований в районе Средиземноморья, Организации по рыболовству в юго-восточной части Атлантического океана, Международной комиссии по сохранению атлантического тунца, Международного агентства по ядерной энергии, МВФ; Всемирной туристской организации и пр. Испания является членом ВТО и в настоящее время представлена в Организации Европейской Комиссией. Испания была членом ГАТТ с 1963 г. и является членом ВТО с момент ее основания в 1995 г. Испания не имеет позиции в ВТО, отличной от ЕС, по всем вопросам. Испания также является одной из стран – основателей ОЭСР. Испания представлена в ОЭСР Постоянным представительством Испании.</w:t>
      </w:r>
    </w:p>
    <w:p w:rsidR="00985B19" w:rsidRPr="00DF7224" w:rsidRDefault="00A24E8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Изучим Т</w:t>
      </w:r>
      <w:r w:rsidR="00DA6BAD" w:rsidRPr="00DF7224">
        <w:rPr>
          <w:rFonts w:ascii="Times New Roman" w:hAnsi="Times New Roman" w:cs="Times New Roman"/>
          <w:sz w:val="28"/>
          <w:szCs w:val="28"/>
        </w:rPr>
        <w:t>аблицу 2.5, где представлены показатели внешнеторговых квот с 2013 года.</w:t>
      </w:r>
    </w:p>
    <w:p w:rsidR="00046232" w:rsidRPr="00DF7224" w:rsidRDefault="00DA6BAD"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 </w:t>
      </w:r>
    </w:p>
    <w:p w:rsidR="00985B19" w:rsidRPr="00DF7224" w:rsidRDefault="0086603D" w:rsidP="0062016E">
      <w:pPr>
        <w:spacing w:after="0" w:line="360" w:lineRule="auto"/>
        <w:ind w:firstLine="709"/>
        <w:rPr>
          <w:rFonts w:ascii="Times New Roman" w:hAnsi="Times New Roman" w:cs="Times New Roman"/>
          <w:sz w:val="28"/>
        </w:rPr>
      </w:pPr>
      <w:r w:rsidRPr="00DF7224">
        <w:rPr>
          <w:rFonts w:ascii="Times New Roman" w:hAnsi="Times New Roman" w:cs="Times New Roman"/>
          <w:sz w:val="28"/>
        </w:rPr>
        <w:t>Таблица 2.</w:t>
      </w:r>
      <w:r w:rsidR="00D81426" w:rsidRPr="00DF7224">
        <w:rPr>
          <w:rFonts w:ascii="Times New Roman" w:hAnsi="Times New Roman" w:cs="Times New Roman"/>
          <w:sz w:val="28"/>
        </w:rPr>
        <w:t>5</w:t>
      </w:r>
      <w:r w:rsidRPr="00DF7224">
        <w:rPr>
          <w:rFonts w:ascii="Times New Roman" w:hAnsi="Times New Roman" w:cs="Times New Roman"/>
          <w:sz w:val="28"/>
        </w:rPr>
        <w:t xml:space="preserve"> – </w:t>
      </w:r>
      <w:r w:rsidR="00D81426" w:rsidRPr="00DF7224">
        <w:rPr>
          <w:rFonts w:ascii="Times New Roman" w:hAnsi="Times New Roman" w:cs="Times New Roman"/>
          <w:sz w:val="28"/>
        </w:rPr>
        <w:t>Внешнеторговая, экспортная и и</w:t>
      </w:r>
      <w:r w:rsidRPr="00DF7224">
        <w:rPr>
          <w:rFonts w:ascii="Times New Roman" w:hAnsi="Times New Roman" w:cs="Times New Roman"/>
          <w:sz w:val="28"/>
        </w:rPr>
        <w:t>мпортная квот</w:t>
      </w:r>
      <w:r w:rsidR="00D81426" w:rsidRPr="00DF7224">
        <w:rPr>
          <w:rFonts w:ascii="Times New Roman" w:hAnsi="Times New Roman" w:cs="Times New Roman"/>
          <w:sz w:val="28"/>
        </w:rPr>
        <w:t>ы</w:t>
      </w:r>
      <w:r w:rsidR="00DA6BAD" w:rsidRPr="00DF7224">
        <w:rPr>
          <w:rFonts w:ascii="Times New Roman" w:hAnsi="Times New Roman" w:cs="Times New Roman"/>
          <w:sz w:val="28"/>
        </w:rPr>
        <w:t xml:space="preserve"> </w:t>
      </w:r>
      <w:r w:rsidRPr="00DF7224">
        <w:rPr>
          <w:rFonts w:ascii="Times New Roman" w:hAnsi="Times New Roman" w:cs="Times New Roman"/>
          <w:sz w:val="28"/>
        </w:rPr>
        <w:t>Испании 2013-2018 гг.(%)</w:t>
      </w:r>
    </w:p>
    <w:tbl>
      <w:tblPr>
        <w:tblStyle w:val="8"/>
        <w:tblW w:w="7655" w:type="dxa"/>
        <w:jc w:val="center"/>
        <w:tblInd w:w="0" w:type="dxa"/>
        <w:tblLook w:val="04A0" w:firstRow="1" w:lastRow="0" w:firstColumn="1" w:lastColumn="0" w:noHBand="0" w:noVBand="1"/>
      </w:tblPr>
      <w:tblGrid>
        <w:gridCol w:w="1925"/>
        <w:gridCol w:w="1080"/>
        <w:gridCol w:w="960"/>
        <w:gridCol w:w="960"/>
        <w:gridCol w:w="960"/>
        <w:gridCol w:w="960"/>
        <w:gridCol w:w="960"/>
      </w:tblGrid>
      <w:tr w:rsidR="0086603D" w:rsidRPr="00DF7224" w:rsidTr="00D81426">
        <w:trPr>
          <w:trHeight w:val="397"/>
          <w:jc w:val="center"/>
        </w:trPr>
        <w:tc>
          <w:tcPr>
            <w:tcW w:w="1775" w:type="dxa"/>
            <w:noWrap/>
            <w:vAlign w:val="center"/>
            <w:hideMark/>
          </w:tcPr>
          <w:p w:rsidR="0086603D"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Показатель/</w:t>
            </w:r>
            <w:r w:rsidR="0086603D" w:rsidRPr="00DF7224">
              <w:rPr>
                <w:rFonts w:ascii="Times New Roman" w:eastAsia="Times New Roman" w:hAnsi="Times New Roman" w:cs="Times New Roman"/>
                <w:sz w:val="24"/>
                <w:szCs w:val="24"/>
                <w:lang w:eastAsia="ru-RU"/>
              </w:rPr>
              <w:t>Год</w:t>
            </w:r>
          </w:p>
        </w:tc>
        <w:tc>
          <w:tcPr>
            <w:tcW w:w="1080" w:type="dxa"/>
            <w:noWrap/>
            <w:vAlign w:val="center"/>
            <w:hideMark/>
          </w:tcPr>
          <w:p w:rsidR="0086603D" w:rsidRPr="00DF7224" w:rsidRDefault="0086603D"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2013</w:t>
            </w:r>
          </w:p>
        </w:tc>
        <w:tc>
          <w:tcPr>
            <w:tcW w:w="960" w:type="dxa"/>
            <w:noWrap/>
            <w:vAlign w:val="center"/>
            <w:hideMark/>
          </w:tcPr>
          <w:p w:rsidR="0086603D" w:rsidRPr="00DF7224" w:rsidRDefault="0086603D"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2014</w:t>
            </w:r>
          </w:p>
        </w:tc>
        <w:tc>
          <w:tcPr>
            <w:tcW w:w="960" w:type="dxa"/>
            <w:noWrap/>
            <w:vAlign w:val="center"/>
            <w:hideMark/>
          </w:tcPr>
          <w:p w:rsidR="0086603D" w:rsidRPr="00DF7224" w:rsidRDefault="0086603D"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2015</w:t>
            </w:r>
          </w:p>
        </w:tc>
        <w:tc>
          <w:tcPr>
            <w:tcW w:w="960" w:type="dxa"/>
            <w:noWrap/>
            <w:vAlign w:val="center"/>
            <w:hideMark/>
          </w:tcPr>
          <w:p w:rsidR="0086603D" w:rsidRPr="00DF7224" w:rsidRDefault="0086603D"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2016</w:t>
            </w:r>
          </w:p>
        </w:tc>
        <w:tc>
          <w:tcPr>
            <w:tcW w:w="960" w:type="dxa"/>
            <w:noWrap/>
            <w:vAlign w:val="center"/>
            <w:hideMark/>
          </w:tcPr>
          <w:p w:rsidR="0086603D" w:rsidRPr="00DF7224" w:rsidRDefault="0086603D"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2017</w:t>
            </w:r>
          </w:p>
        </w:tc>
        <w:tc>
          <w:tcPr>
            <w:tcW w:w="960" w:type="dxa"/>
            <w:noWrap/>
            <w:vAlign w:val="center"/>
            <w:hideMark/>
          </w:tcPr>
          <w:p w:rsidR="0086603D" w:rsidRPr="00DF7224" w:rsidRDefault="0086603D"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2018</w:t>
            </w:r>
          </w:p>
        </w:tc>
      </w:tr>
      <w:tr w:rsidR="00D81426" w:rsidRPr="00DF7224" w:rsidTr="00D81426">
        <w:trPr>
          <w:trHeight w:val="397"/>
          <w:jc w:val="center"/>
        </w:trPr>
        <w:tc>
          <w:tcPr>
            <w:tcW w:w="1775" w:type="dxa"/>
            <w:noWrap/>
            <w:vAlign w:val="center"/>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Внешнеторговая квота</w:t>
            </w:r>
          </w:p>
        </w:tc>
        <w:tc>
          <w:tcPr>
            <w:tcW w:w="1080" w:type="dxa"/>
            <w:noWrap/>
            <w:vAlign w:val="center"/>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30,59</w:t>
            </w:r>
          </w:p>
        </w:tc>
        <w:tc>
          <w:tcPr>
            <w:tcW w:w="960" w:type="dxa"/>
            <w:noWrap/>
            <w:vAlign w:val="center"/>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31,50</w:t>
            </w:r>
          </w:p>
        </w:tc>
        <w:tc>
          <w:tcPr>
            <w:tcW w:w="960" w:type="dxa"/>
            <w:noWrap/>
            <w:vAlign w:val="center"/>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31,77</w:t>
            </w:r>
          </w:p>
        </w:tc>
        <w:tc>
          <w:tcPr>
            <w:tcW w:w="960" w:type="dxa"/>
            <w:noWrap/>
            <w:vAlign w:val="center"/>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31,54</w:t>
            </w:r>
          </w:p>
        </w:tc>
        <w:tc>
          <w:tcPr>
            <w:tcW w:w="960" w:type="dxa"/>
            <w:noWrap/>
            <w:vAlign w:val="center"/>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32,86</w:t>
            </w:r>
          </w:p>
        </w:tc>
        <w:tc>
          <w:tcPr>
            <w:tcW w:w="960" w:type="dxa"/>
            <w:noWrap/>
            <w:vAlign w:val="center"/>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33,30</w:t>
            </w:r>
          </w:p>
        </w:tc>
      </w:tr>
      <w:tr w:rsidR="00D81426" w:rsidRPr="00DF7224" w:rsidTr="00D81426">
        <w:trPr>
          <w:trHeight w:val="397"/>
          <w:jc w:val="center"/>
        </w:trPr>
        <w:tc>
          <w:tcPr>
            <w:tcW w:w="1775"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Экспортная квота</w:t>
            </w:r>
          </w:p>
        </w:tc>
        <w:tc>
          <w:tcPr>
            <w:tcW w:w="108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32,22</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32,71</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32,93</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33,12</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34,32</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34,28</w:t>
            </w:r>
          </w:p>
        </w:tc>
      </w:tr>
      <w:tr w:rsidR="00D81426" w:rsidRPr="00DF7224" w:rsidTr="00D81426">
        <w:trPr>
          <w:trHeight w:val="397"/>
          <w:jc w:val="center"/>
        </w:trPr>
        <w:tc>
          <w:tcPr>
            <w:tcW w:w="1775"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Импортная квота</w:t>
            </w:r>
          </w:p>
        </w:tc>
        <w:tc>
          <w:tcPr>
            <w:tcW w:w="108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28,96</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30,28</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30,60</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29,96</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31,40</w:t>
            </w:r>
          </w:p>
        </w:tc>
        <w:tc>
          <w:tcPr>
            <w:tcW w:w="960" w:type="dxa"/>
            <w:noWrap/>
            <w:vAlign w:val="center"/>
            <w:hideMark/>
          </w:tcPr>
          <w:p w:rsidR="00D81426" w:rsidRPr="00DF7224" w:rsidRDefault="00D81426"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32,32</w:t>
            </w:r>
          </w:p>
        </w:tc>
      </w:tr>
    </w:tbl>
    <w:p w:rsidR="0086603D" w:rsidRPr="00DF7224" w:rsidRDefault="00D81426" w:rsidP="00985B19">
      <w:pPr>
        <w:spacing w:after="0" w:line="240" w:lineRule="auto"/>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 xml:space="preserve"> рассчит</w:t>
      </w:r>
      <w:r w:rsidR="00A24E83" w:rsidRPr="00DF7224">
        <w:rPr>
          <w:rFonts w:ascii="Times New Roman" w:hAnsi="Times New Roman" w:cs="Times New Roman"/>
          <w:sz w:val="20"/>
          <w:szCs w:val="24"/>
        </w:rPr>
        <w:t>ано автором по данным таблиц 1.4</w:t>
      </w:r>
      <w:r w:rsidRPr="00DF7224">
        <w:rPr>
          <w:rFonts w:ascii="Times New Roman" w:hAnsi="Times New Roman" w:cs="Times New Roman"/>
          <w:sz w:val="20"/>
          <w:szCs w:val="24"/>
        </w:rPr>
        <w:t xml:space="preserve"> и 2.1. </w:t>
      </w:r>
    </w:p>
    <w:p w:rsidR="00985B19" w:rsidRPr="00DF7224" w:rsidRDefault="00985B19" w:rsidP="00985B19">
      <w:pPr>
        <w:spacing w:after="0" w:line="240" w:lineRule="auto"/>
        <w:ind w:firstLine="709"/>
        <w:rPr>
          <w:rFonts w:ascii="Times New Roman" w:hAnsi="Times New Roman" w:cs="Times New Roman"/>
          <w:sz w:val="24"/>
          <w:szCs w:val="24"/>
        </w:rPr>
      </w:pPr>
    </w:p>
    <w:p w:rsidR="0086603D" w:rsidRPr="00DF7224" w:rsidRDefault="00DA6BAD"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lastRenderedPageBreak/>
        <w:t>За 6 лет внешнеторговая квота Испания увеличилась на 2,71 процентных пункта. Экспортная квота в 2018 году стала равна 34,28%, что на 2,06 процентных пункта больше чем в 2013 году. Импортная квота увеличилась на 3,36 процентных пункта и в 2018 году стала равна 32,32%. В основном наблюдается тенденция к росту квот, одна в 2016 году внешнеторговая и импортная квоты незначительно снизились по отношению к предыдущему</w:t>
      </w:r>
      <w:r w:rsidR="00DE3497" w:rsidRPr="00DF7224">
        <w:rPr>
          <w:rFonts w:ascii="Times New Roman" w:hAnsi="Times New Roman" w:cs="Times New Roman"/>
          <w:sz w:val="28"/>
          <w:szCs w:val="28"/>
        </w:rPr>
        <w:t xml:space="preserve"> году. Все показатели больше 25</w:t>
      </w:r>
      <w:r w:rsidRPr="00DF7224">
        <w:rPr>
          <w:rFonts w:ascii="Times New Roman" w:hAnsi="Times New Roman" w:cs="Times New Roman"/>
          <w:sz w:val="28"/>
          <w:szCs w:val="28"/>
        </w:rPr>
        <w:t>% и примерно близки к 34%, это означает то, что Испания демонстрирует значимую степень открытости экономики</w:t>
      </w:r>
      <w:r w:rsidR="00782579" w:rsidRPr="00DF7224">
        <w:rPr>
          <w:rFonts w:ascii="Times New Roman" w:hAnsi="Times New Roman" w:cs="Times New Roman"/>
          <w:sz w:val="28"/>
          <w:szCs w:val="28"/>
        </w:rPr>
        <w:t>.</w:t>
      </w:r>
      <w:r w:rsidRPr="00DF7224">
        <w:rPr>
          <w:rFonts w:ascii="Times New Roman" w:hAnsi="Times New Roman" w:cs="Times New Roman"/>
          <w:sz w:val="28"/>
          <w:szCs w:val="28"/>
        </w:rPr>
        <w:t xml:space="preserve"> </w:t>
      </w:r>
      <w:r w:rsidR="00782579" w:rsidRPr="00DF7224">
        <w:rPr>
          <w:rFonts w:ascii="Times New Roman" w:hAnsi="Times New Roman" w:cs="Times New Roman"/>
          <w:sz w:val="28"/>
          <w:szCs w:val="28"/>
        </w:rPr>
        <w:t>Также, так как показатель экспортной и импортной квоты близки по значению (34% и 32%), то нельзя утверждать, что экономика страны зависит только от экспорта. Стоить отметить, что существует некий баланс между экспортом и импортом Испании.</w:t>
      </w:r>
    </w:p>
    <w:p w:rsidR="002F62C5" w:rsidRPr="00DF7224" w:rsidRDefault="00782579"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Испания является активным участником Европейског</w:t>
      </w:r>
      <w:r w:rsidR="00985B19" w:rsidRPr="00DF7224">
        <w:rPr>
          <w:rFonts w:ascii="Times New Roman" w:hAnsi="Times New Roman" w:cs="Times New Roman"/>
          <w:sz w:val="28"/>
          <w:szCs w:val="28"/>
        </w:rPr>
        <w:t>о союза, поэтому действия ЕС на</w:t>
      </w:r>
      <w:r w:rsidRPr="00DF7224">
        <w:rPr>
          <w:rFonts w:ascii="Times New Roman" w:hAnsi="Times New Roman" w:cs="Times New Roman"/>
          <w:sz w:val="28"/>
          <w:szCs w:val="28"/>
        </w:rPr>
        <w:t xml:space="preserve">прямую отражаются на экономики Испании. </w:t>
      </w:r>
      <w:r w:rsidR="003631E7" w:rsidRPr="00DF7224">
        <w:rPr>
          <w:rFonts w:ascii="Times New Roman" w:hAnsi="Times New Roman" w:cs="Times New Roman"/>
          <w:sz w:val="28"/>
          <w:szCs w:val="28"/>
        </w:rPr>
        <w:t xml:space="preserve">В </w:t>
      </w:r>
      <w:r w:rsidR="00985B19" w:rsidRPr="00DF7224">
        <w:rPr>
          <w:rFonts w:ascii="Times New Roman" w:hAnsi="Times New Roman" w:cs="Times New Roman"/>
          <w:sz w:val="28"/>
          <w:szCs w:val="28"/>
        </w:rPr>
        <w:t>2017 г. в Испании в соответствие</w:t>
      </w:r>
      <w:r w:rsidR="003631E7" w:rsidRPr="00DF7224">
        <w:rPr>
          <w:rFonts w:ascii="Times New Roman" w:hAnsi="Times New Roman" w:cs="Times New Roman"/>
          <w:sz w:val="28"/>
          <w:szCs w:val="28"/>
        </w:rPr>
        <w:t xml:space="preserve"> с директивами ЕС действовали антидемпинговые пошлины в отношении российских товаров: нитрат аммония; бесшовные трубы; феррокремний; сварные нелегированные трубы; фитинги для труб; трансформаторная сталь; алюминиевая фольга; отдельные виды холоднокатаного листового проката; отдельные виды горячекатаного проката. Подробный список мер, введенных ЕС в отношении российских товаров черной металлургии, горнодобывающей и агрохимической промышленности, содержится на сайте Министерства экономики, промышленности и конкурентоспособности Испании</w:t>
      </w:r>
      <w:r w:rsidR="00985B19" w:rsidRPr="00DF7224">
        <w:rPr>
          <w:rFonts w:ascii="Times New Roman" w:hAnsi="Times New Roman" w:cs="Times New Roman"/>
          <w:sz w:val="28"/>
          <w:szCs w:val="28"/>
        </w:rPr>
        <w:t xml:space="preserve"> </w:t>
      </w:r>
      <w:r w:rsidRPr="00DF7224">
        <w:rPr>
          <w:rFonts w:ascii="Times New Roman" w:hAnsi="Times New Roman" w:cs="Times New Roman"/>
          <w:sz w:val="28"/>
          <w:szCs w:val="28"/>
        </w:rPr>
        <w:t>[</w:t>
      </w:r>
      <w:r w:rsidR="006212CE" w:rsidRPr="00DF7224">
        <w:rPr>
          <w:rFonts w:ascii="Times New Roman" w:hAnsi="Times New Roman" w:cs="Times New Roman"/>
          <w:sz w:val="28"/>
          <w:szCs w:val="28"/>
        </w:rPr>
        <w:t>45</w:t>
      </w:r>
      <w:r w:rsidRPr="00DF7224">
        <w:rPr>
          <w:rFonts w:ascii="Times New Roman" w:hAnsi="Times New Roman" w:cs="Times New Roman"/>
          <w:sz w:val="28"/>
          <w:szCs w:val="28"/>
        </w:rPr>
        <w:t>]</w:t>
      </w:r>
      <w:r w:rsidR="00985B19" w:rsidRPr="00DF7224">
        <w:rPr>
          <w:rFonts w:ascii="Times New Roman" w:hAnsi="Times New Roman" w:cs="Times New Roman"/>
          <w:sz w:val="28"/>
          <w:szCs w:val="28"/>
        </w:rPr>
        <w:t>.</w:t>
      </w:r>
      <w:r w:rsidR="003631E7" w:rsidRPr="00DF7224">
        <w:rPr>
          <w:rFonts w:ascii="Times New Roman" w:hAnsi="Times New Roman" w:cs="Times New Roman"/>
          <w:sz w:val="28"/>
          <w:szCs w:val="28"/>
        </w:rPr>
        <w:t xml:space="preserve"> </w:t>
      </w:r>
    </w:p>
    <w:p w:rsidR="0086603D" w:rsidRPr="00DF7224" w:rsidRDefault="003631E7"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Испания, как член ЕС, поддерживает эмбарго на товары военного назначения из Афганистана, Азербайджана (Нагорн</w:t>
      </w:r>
      <w:r w:rsidR="00782579" w:rsidRPr="00DF7224">
        <w:rPr>
          <w:rFonts w:ascii="Times New Roman" w:hAnsi="Times New Roman" w:cs="Times New Roman"/>
          <w:sz w:val="28"/>
          <w:szCs w:val="28"/>
        </w:rPr>
        <w:t>ый Карабах), Белоруссии, Китая</w:t>
      </w:r>
      <w:r w:rsidRPr="00DF7224">
        <w:rPr>
          <w:rFonts w:ascii="Times New Roman" w:hAnsi="Times New Roman" w:cs="Times New Roman"/>
          <w:sz w:val="28"/>
          <w:szCs w:val="28"/>
        </w:rPr>
        <w:t>, Египта, Ирака, Ирана, Ливана, Либерии, Ливии, Мьянмы, ЦАР, Конго, России, Сирии, Сомали, Судана, Зимбабве, а также на товары двойного назначения из Северной Кореи, Ирана, России и Сирии. Полный список ограничитель</w:t>
      </w:r>
      <w:r w:rsidR="00782579" w:rsidRPr="00DF7224">
        <w:rPr>
          <w:rFonts w:ascii="Times New Roman" w:hAnsi="Times New Roman" w:cs="Times New Roman"/>
          <w:sz w:val="28"/>
          <w:szCs w:val="28"/>
        </w:rPr>
        <w:t>ных мер ЕС опубликова</w:t>
      </w:r>
      <w:r w:rsidR="00DE5ADA" w:rsidRPr="00DF7224">
        <w:rPr>
          <w:rFonts w:ascii="Times New Roman" w:hAnsi="Times New Roman" w:cs="Times New Roman"/>
          <w:sz w:val="28"/>
          <w:szCs w:val="28"/>
        </w:rPr>
        <w:t xml:space="preserve">н на сайте Европейской комиссии </w:t>
      </w:r>
      <w:r w:rsidR="00782579" w:rsidRPr="00DF7224">
        <w:rPr>
          <w:rFonts w:ascii="Times New Roman" w:hAnsi="Times New Roman" w:cs="Times New Roman"/>
          <w:sz w:val="28"/>
          <w:szCs w:val="28"/>
        </w:rPr>
        <w:t>[</w:t>
      </w:r>
      <w:r w:rsidR="006212CE" w:rsidRPr="00DF7224">
        <w:rPr>
          <w:rFonts w:ascii="Times New Roman" w:hAnsi="Times New Roman" w:cs="Times New Roman"/>
          <w:sz w:val="28"/>
          <w:szCs w:val="28"/>
        </w:rPr>
        <w:t>36</w:t>
      </w:r>
      <w:r w:rsidR="00782579" w:rsidRPr="00DF7224">
        <w:rPr>
          <w:rFonts w:ascii="Times New Roman" w:hAnsi="Times New Roman" w:cs="Times New Roman"/>
          <w:sz w:val="28"/>
          <w:szCs w:val="28"/>
        </w:rPr>
        <w:t>]</w:t>
      </w:r>
      <w:r w:rsidR="00985B19" w:rsidRPr="00DF7224">
        <w:rPr>
          <w:rFonts w:ascii="Times New Roman" w:hAnsi="Times New Roman" w:cs="Times New Roman"/>
          <w:sz w:val="28"/>
          <w:szCs w:val="28"/>
        </w:rPr>
        <w:t>.</w:t>
      </w:r>
    </w:p>
    <w:p w:rsidR="00CE496E" w:rsidRPr="00DF7224" w:rsidRDefault="00782579"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lastRenderedPageBreak/>
        <w:t xml:space="preserve">Испания имеет также политику поддержки национального экспорта. </w:t>
      </w:r>
      <w:r w:rsidR="002F62C5" w:rsidRPr="00DF7224">
        <w:rPr>
          <w:rFonts w:ascii="Times New Roman" w:hAnsi="Times New Roman" w:cs="Times New Roman"/>
          <w:sz w:val="28"/>
          <w:szCs w:val="28"/>
        </w:rPr>
        <w:t xml:space="preserve">В целях поддержки национального экспорта в Испании существует целая система различных организаций, </w:t>
      </w:r>
      <w:r w:rsidR="007A743F" w:rsidRPr="00DF7224">
        <w:rPr>
          <w:rFonts w:ascii="Times New Roman" w:hAnsi="Times New Roman" w:cs="Times New Roman"/>
          <w:sz w:val="28"/>
          <w:szCs w:val="28"/>
        </w:rPr>
        <w:t>содействующих</w:t>
      </w:r>
      <w:r w:rsidR="002F62C5" w:rsidRPr="00DF7224">
        <w:rPr>
          <w:rFonts w:ascii="Times New Roman" w:hAnsi="Times New Roman" w:cs="Times New Roman"/>
          <w:sz w:val="28"/>
          <w:szCs w:val="28"/>
        </w:rPr>
        <w:t xml:space="preserve"> национальным компаниям в осуществлении внешнеэкономической деятельности</w:t>
      </w:r>
      <w:r w:rsidR="00CF39D1" w:rsidRPr="00DF7224">
        <w:rPr>
          <w:rFonts w:ascii="Times New Roman" w:hAnsi="Times New Roman" w:cs="Times New Roman"/>
          <w:sz w:val="28"/>
          <w:szCs w:val="28"/>
        </w:rPr>
        <w:t xml:space="preserve">. </w:t>
      </w:r>
      <w:r w:rsidRPr="00DF7224">
        <w:rPr>
          <w:rFonts w:ascii="Times New Roman" w:hAnsi="Times New Roman" w:cs="Times New Roman"/>
          <w:sz w:val="28"/>
          <w:szCs w:val="28"/>
        </w:rPr>
        <w:t xml:space="preserve">Кроме того, на территории Испании находится одна свободная экономическая зона – </w:t>
      </w:r>
      <w:r w:rsidR="003631E7" w:rsidRPr="00DF7224">
        <w:rPr>
          <w:rFonts w:ascii="Times New Roman" w:hAnsi="Times New Roman" w:cs="Times New Roman"/>
          <w:sz w:val="28"/>
          <w:szCs w:val="28"/>
        </w:rPr>
        <w:t>Канарские острова (ZEC). Предприятиям, ведущим экономическую деятельность на территории Канарских островов, предоставляется ряд налоговых льгот, направлен</w:t>
      </w:r>
      <w:r w:rsidR="00D25283" w:rsidRPr="00DF7224">
        <w:rPr>
          <w:rFonts w:ascii="Times New Roman" w:hAnsi="Times New Roman" w:cs="Times New Roman"/>
          <w:sz w:val="28"/>
          <w:szCs w:val="28"/>
        </w:rPr>
        <w:t>ных</w:t>
      </w:r>
      <w:r w:rsidR="003631E7" w:rsidRPr="00DF7224">
        <w:rPr>
          <w:rFonts w:ascii="Times New Roman" w:hAnsi="Times New Roman" w:cs="Times New Roman"/>
          <w:sz w:val="28"/>
          <w:szCs w:val="28"/>
        </w:rPr>
        <w:t xml:space="preserve"> на возмещение неблагоприятных условий, вызванных островным положением и удаленностью от территории испанского полуострова. Главными задачами указанной ОЭЗ являются привлечение инвестиций на Канарские острова и развитие торгово-экономических отношений Испании со странами Евросоюза, Латинской Америки, Западной и Северной Африки.</w:t>
      </w:r>
    </w:p>
    <w:p w:rsidR="002F62C5"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 настоящее время Испания явилась инициатором возобновления переговоров по заключению торгового </w:t>
      </w:r>
      <w:r w:rsidR="00AD1A1E" w:rsidRPr="00DF7224">
        <w:rPr>
          <w:rFonts w:ascii="Times New Roman" w:hAnsi="Times New Roman" w:cs="Times New Roman"/>
          <w:sz w:val="28"/>
          <w:szCs w:val="28"/>
        </w:rPr>
        <w:t>соглашения</w:t>
      </w:r>
      <w:r w:rsidRPr="00DF7224">
        <w:rPr>
          <w:rFonts w:ascii="Times New Roman" w:hAnsi="Times New Roman" w:cs="Times New Roman"/>
          <w:sz w:val="28"/>
          <w:szCs w:val="28"/>
        </w:rPr>
        <w:t xml:space="preserve"> между МЕРКОСУР (Южноамериканским общим рынком) и ЕС, которые были начаты 16 лет назад и до сих пор не завершены. </w:t>
      </w:r>
      <w:r w:rsidR="00AD1A1E" w:rsidRPr="00DF7224">
        <w:rPr>
          <w:rFonts w:ascii="Times New Roman" w:hAnsi="Times New Roman" w:cs="Times New Roman"/>
          <w:sz w:val="28"/>
          <w:szCs w:val="28"/>
        </w:rPr>
        <w:t xml:space="preserve">При этом, переговоры предстоят </w:t>
      </w:r>
      <w:r w:rsidRPr="00DF7224">
        <w:rPr>
          <w:rFonts w:ascii="Times New Roman" w:hAnsi="Times New Roman" w:cs="Times New Roman"/>
          <w:sz w:val="28"/>
          <w:szCs w:val="28"/>
        </w:rPr>
        <w:t>сложные, поскольку, если Германия и Италия поддерживают заключение данного соглашения, то Франция, Ирландия, Польша и Венгрия выступают против, так как хотят защитить своих сельскохозяйственных производителей.</w:t>
      </w:r>
    </w:p>
    <w:p w:rsidR="00AD1A1E"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Особое внимание Испания уделяет Саммиту стран Средиземноморья в формате «Диалога 5+5». Интеграционное объединение «Диалог 5+5» было создано в 1990 г. с целью развития кооперации стран бассейна западного Средиземноморья. В него входят 5 европейских стран: Испания, Португалия, Франция, Италия и Мальта и 5 стран-соседей: страны Магриба (Марокко, Алжир, Ливия, Мав</w:t>
      </w:r>
      <w:r w:rsidR="00AD1A1E" w:rsidRPr="00DF7224">
        <w:rPr>
          <w:rFonts w:ascii="Times New Roman" w:hAnsi="Times New Roman" w:cs="Times New Roman"/>
          <w:sz w:val="28"/>
          <w:szCs w:val="28"/>
        </w:rPr>
        <w:t xml:space="preserve">ритания и Тунис). На саммитах </w:t>
      </w:r>
      <w:r w:rsidRPr="00DF7224">
        <w:rPr>
          <w:rFonts w:ascii="Times New Roman" w:hAnsi="Times New Roman" w:cs="Times New Roman"/>
          <w:sz w:val="28"/>
          <w:szCs w:val="28"/>
        </w:rPr>
        <w:t xml:space="preserve">ежегодно обсуждались следующие вопросы кооперации: транспорт (1995), миграция (2002), оборона (2004), туризм (2006), образование (2009), защита окружающей среды и </w:t>
      </w:r>
      <w:r w:rsidRPr="00DF7224">
        <w:rPr>
          <w:rFonts w:ascii="Times New Roman" w:hAnsi="Times New Roman" w:cs="Times New Roman"/>
          <w:sz w:val="28"/>
          <w:szCs w:val="28"/>
        </w:rPr>
        <w:lastRenderedPageBreak/>
        <w:t>возобновляемые источники энергии (2010), сельское хозяйство (2013), вода (2015), экономика (2013), ин</w:t>
      </w:r>
      <w:r w:rsidR="00985B19" w:rsidRPr="00DF7224">
        <w:rPr>
          <w:rFonts w:ascii="Times New Roman" w:hAnsi="Times New Roman" w:cs="Times New Roman"/>
          <w:sz w:val="28"/>
          <w:szCs w:val="28"/>
        </w:rPr>
        <w:t>новации (2015), финансы (2017).</w:t>
      </w:r>
      <w:r w:rsidRPr="00DF7224">
        <w:rPr>
          <w:rFonts w:ascii="Times New Roman" w:hAnsi="Times New Roman" w:cs="Times New Roman"/>
          <w:sz w:val="28"/>
          <w:szCs w:val="28"/>
        </w:rPr>
        <w:t xml:space="preserve"> </w:t>
      </w:r>
    </w:p>
    <w:p w:rsidR="00AD1A1E"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Еще одним локальным интеграционном объединением, в котором участвует Испания, является Евро-Средиземноморское партнерство и союз для Средиземноморья, созданное для развития региональной интеграции и взаимодействия, в 2008 году в Париже. В настоящее время Союз объединяет 42 страны и основывается на исторической общности и географической близости стран-участниц. Практической целью является кооперация по конкретным проектам, входящим в Союз. Последняя встреча на уровне Министров иностранных дел прошла в Барселоне в январе 2017 года, на которой была выработана Дорожная карта на ближайшие годы. </w:t>
      </w:r>
    </w:p>
    <w:p w:rsidR="00AD1A1E"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Испания стремится расширять свои экономические отношения с зарубежными партнерами. В последнее время в стране был разработан механизм, позволяющий, не нарушая правила ЕС, активизировать двусторонние экономические отношения с приоритетными для Испании странами, с которыми подписываются декларации о Стратегическом партнерстве (Asociación Estratégica Integral), на основании которых реализуется механизм двусторонних регулярных консультаций для расширения экономического взаимодействия. Например, подобный план Испания подписала с Китаем, как страной-приоритетным партнером (подписан в 2005 г. и актуализирован в 2009 г.). Кроме того, в 2015 г. с Китаем был подписан «Интегральный План развития рынка 2015», имеющий целью увеличение объемов взаимной торговли и инвестиций. </w:t>
      </w:r>
    </w:p>
    <w:p w:rsidR="00AD1A1E"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Поскольку Испания придает большое значение развитию отношений со странами Азии, за последние годы Испания подписала несколько схожих документов, направленных на расширение экономического взаимодействия со странами региона. В 2013 г. с Японией был подписан документ, способствующий двусторонней кооперации «Ассоциация для мира, развития и инноваций». В 2015 году был подписан</w:t>
      </w:r>
      <w:r w:rsidR="000F201D" w:rsidRPr="00DF7224">
        <w:rPr>
          <w:rFonts w:ascii="Times New Roman" w:hAnsi="Times New Roman" w:cs="Times New Roman"/>
          <w:sz w:val="28"/>
          <w:szCs w:val="28"/>
        </w:rPr>
        <w:t xml:space="preserve"> «Интегральный план по развитию</w:t>
      </w:r>
      <w:r w:rsidRPr="00DF7224">
        <w:rPr>
          <w:rFonts w:ascii="Times New Roman" w:hAnsi="Times New Roman" w:cs="Times New Roman"/>
          <w:sz w:val="28"/>
          <w:szCs w:val="28"/>
        </w:rPr>
        <w:t xml:space="preserve"> </w:t>
      </w:r>
      <w:r w:rsidRPr="00DF7224">
        <w:rPr>
          <w:rFonts w:ascii="Times New Roman" w:hAnsi="Times New Roman" w:cs="Times New Roman"/>
          <w:sz w:val="28"/>
          <w:szCs w:val="28"/>
        </w:rPr>
        <w:lastRenderedPageBreak/>
        <w:t>рынков» с Индией. Испания стала первой из стран-членов ЕС, подписавшей в 2009 г. с Вьетнамом документ об установлении «Стратегической Ассоциации».</w:t>
      </w:r>
    </w:p>
    <w:p w:rsidR="00985B19" w:rsidRPr="00DF7224" w:rsidRDefault="002F62C5" w:rsidP="00D9323E">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Следует отметить, что Испания в равной степени видит перспективы в развитии экономических отношений, как с развитыми, так и развивающимися странами Азии, Африки и Латинской Америки, проводя последовательную работу в направлении расширения интеграционного взаимодействия. Испания активно сотрудничает с международными интеграционными объединениями, в том числе Ассоциаций американских государств (OAS), Карибским сообществом (CARICOM), Экономическим сообществом стран Западной Африки (CEDEAO), Сообществом развития Юга Африки (SADK) и многими другими.</w:t>
      </w:r>
    </w:p>
    <w:p w:rsidR="000E4183" w:rsidRPr="00DF7224" w:rsidRDefault="000E4183" w:rsidP="007E0CA0">
      <w:pPr>
        <w:spacing w:after="0" w:line="360" w:lineRule="auto"/>
        <w:ind w:firstLine="709"/>
        <w:jc w:val="both"/>
        <w:rPr>
          <w:rFonts w:ascii="Times New Roman" w:hAnsi="Times New Roman" w:cs="Times New Roman"/>
          <w:sz w:val="28"/>
          <w:szCs w:val="28"/>
        </w:rPr>
      </w:pPr>
    </w:p>
    <w:p w:rsidR="00F8793A" w:rsidRPr="00DF7224" w:rsidRDefault="00F8793A" w:rsidP="00985B19">
      <w:pPr>
        <w:pStyle w:val="1"/>
        <w:spacing w:before="0" w:line="360" w:lineRule="auto"/>
        <w:ind w:firstLine="709"/>
        <w:jc w:val="both"/>
        <w:rPr>
          <w:rFonts w:ascii="Times New Roman" w:hAnsi="Times New Roman" w:cs="Times New Roman"/>
          <w:b w:val="0"/>
          <w:color w:val="auto"/>
        </w:rPr>
      </w:pPr>
      <w:bookmarkStart w:id="9" w:name="_Toc10992397"/>
      <w:r w:rsidRPr="00DF7224">
        <w:rPr>
          <w:rFonts w:ascii="Times New Roman" w:hAnsi="Times New Roman" w:cs="Times New Roman"/>
          <w:b w:val="0"/>
          <w:color w:val="auto"/>
        </w:rPr>
        <w:t>2.3 Участие Испании в интеграционном союзе – Европейский союз</w:t>
      </w:r>
      <w:bookmarkEnd w:id="9"/>
    </w:p>
    <w:p w:rsidR="00985B19" w:rsidRPr="00DF7224" w:rsidRDefault="00985B19" w:rsidP="00985B19"/>
    <w:p w:rsidR="00F03D13"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Основным региональным интеграционным объединением, в котором Испания является полноправным членом, является Европейский Союз. Испания является активным членом ЕС</w:t>
      </w:r>
      <w:r w:rsidR="004236BA" w:rsidRPr="00DF7224">
        <w:rPr>
          <w:rFonts w:ascii="Times New Roman" w:hAnsi="Times New Roman" w:cs="Times New Roman"/>
          <w:sz w:val="28"/>
          <w:szCs w:val="28"/>
        </w:rPr>
        <w:t xml:space="preserve"> с 1986 года</w:t>
      </w:r>
      <w:r w:rsidR="00F03D13" w:rsidRPr="00DF7224">
        <w:rPr>
          <w:rFonts w:ascii="Times New Roman" w:hAnsi="Times New Roman" w:cs="Times New Roman"/>
          <w:sz w:val="28"/>
          <w:szCs w:val="28"/>
        </w:rPr>
        <w:t xml:space="preserve">. </w:t>
      </w:r>
      <w:r w:rsidR="0019433F" w:rsidRPr="00DF7224">
        <w:rPr>
          <w:rFonts w:ascii="Times New Roman" w:hAnsi="Times New Roman" w:cs="Times New Roman"/>
          <w:sz w:val="28"/>
          <w:szCs w:val="28"/>
        </w:rPr>
        <w:t>Рассмотрим основные макроэкономические показате</w:t>
      </w:r>
      <w:r w:rsidR="00DE5ADA" w:rsidRPr="00DF7224">
        <w:rPr>
          <w:rFonts w:ascii="Times New Roman" w:hAnsi="Times New Roman" w:cs="Times New Roman"/>
          <w:sz w:val="28"/>
          <w:szCs w:val="28"/>
        </w:rPr>
        <w:t>ли Испании и ЕС за 2017 год. В Т</w:t>
      </w:r>
      <w:r w:rsidR="0019433F" w:rsidRPr="00DF7224">
        <w:rPr>
          <w:rFonts w:ascii="Times New Roman" w:hAnsi="Times New Roman" w:cs="Times New Roman"/>
          <w:sz w:val="28"/>
          <w:szCs w:val="28"/>
        </w:rPr>
        <w:t>аблице 2.6 представлены численность населения Испании и ЕС-28, а также численность трудовых ресурсов страны и ЕС-28.</w:t>
      </w:r>
    </w:p>
    <w:p w:rsidR="00985B19" w:rsidRPr="00DF7224" w:rsidRDefault="00985B19" w:rsidP="007E0CA0">
      <w:pPr>
        <w:spacing w:after="0" w:line="360" w:lineRule="auto"/>
        <w:ind w:firstLine="709"/>
        <w:jc w:val="both"/>
        <w:rPr>
          <w:rFonts w:ascii="Times New Roman" w:hAnsi="Times New Roman" w:cs="Times New Roman"/>
          <w:sz w:val="28"/>
          <w:szCs w:val="28"/>
        </w:rPr>
      </w:pPr>
    </w:p>
    <w:p w:rsidR="0019433F" w:rsidRPr="00DF7224" w:rsidRDefault="0019433F" w:rsidP="007E0CA0">
      <w:pPr>
        <w:spacing w:after="0" w:line="240" w:lineRule="auto"/>
        <w:ind w:firstLine="709"/>
        <w:rPr>
          <w:rFonts w:ascii="Times New Roman" w:hAnsi="Times New Roman" w:cs="Times New Roman"/>
          <w:sz w:val="28"/>
        </w:rPr>
      </w:pPr>
      <w:r w:rsidRPr="00DF7224">
        <w:rPr>
          <w:rFonts w:ascii="Times New Roman" w:hAnsi="Times New Roman" w:cs="Times New Roman"/>
          <w:sz w:val="28"/>
        </w:rPr>
        <w:t>Таблица 2.6 – Численность населения и трудовых ресурсов Испании и ЕС-28, 2017 г. (млн. чел)</w:t>
      </w:r>
    </w:p>
    <w:p w:rsidR="00985B19" w:rsidRPr="00DF7224" w:rsidRDefault="00985B19" w:rsidP="007E0CA0">
      <w:pPr>
        <w:spacing w:after="0" w:line="240" w:lineRule="auto"/>
        <w:ind w:firstLine="709"/>
        <w:rPr>
          <w:rFonts w:ascii="Times New Roman" w:hAnsi="Times New Roman" w:cs="Times New Roman"/>
          <w:sz w:val="28"/>
        </w:rPr>
      </w:pPr>
    </w:p>
    <w:tbl>
      <w:tblPr>
        <w:tblStyle w:val="100"/>
        <w:tblW w:w="7174" w:type="dxa"/>
        <w:jc w:val="center"/>
        <w:tblLook w:val="04A0" w:firstRow="1" w:lastRow="0" w:firstColumn="1" w:lastColumn="0" w:noHBand="0" w:noVBand="1"/>
      </w:tblPr>
      <w:tblGrid>
        <w:gridCol w:w="2168"/>
        <w:gridCol w:w="2633"/>
        <w:gridCol w:w="2373"/>
      </w:tblGrid>
      <w:tr w:rsidR="000207C1" w:rsidRPr="00DF7224" w:rsidTr="008A28C6">
        <w:trPr>
          <w:trHeight w:val="343"/>
          <w:jc w:val="center"/>
        </w:trPr>
        <w:tc>
          <w:tcPr>
            <w:tcW w:w="0" w:type="auto"/>
            <w:noWrap/>
            <w:vAlign w:val="center"/>
            <w:hideMark/>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Страна/Показатель</w:t>
            </w:r>
          </w:p>
        </w:tc>
        <w:tc>
          <w:tcPr>
            <w:tcW w:w="0" w:type="auto"/>
            <w:noWrap/>
            <w:vAlign w:val="center"/>
            <w:hideMark/>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Численность населения</w:t>
            </w:r>
          </w:p>
        </w:tc>
        <w:tc>
          <w:tcPr>
            <w:tcW w:w="0" w:type="auto"/>
            <w:vAlign w:val="center"/>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Численность трудовых ресурсов</w:t>
            </w:r>
          </w:p>
        </w:tc>
      </w:tr>
      <w:tr w:rsidR="000207C1" w:rsidRPr="00DF7224" w:rsidTr="008A28C6">
        <w:trPr>
          <w:trHeight w:val="343"/>
          <w:jc w:val="center"/>
        </w:trPr>
        <w:tc>
          <w:tcPr>
            <w:tcW w:w="0" w:type="auto"/>
            <w:noWrap/>
            <w:vAlign w:val="center"/>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Испания</w:t>
            </w:r>
          </w:p>
        </w:tc>
        <w:tc>
          <w:tcPr>
            <w:tcW w:w="0" w:type="auto"/>
            <w:noWrap/>
            <w:vAlign w:val="center"/>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46,4</w:t>
            </w:r>
          </w:p>
        </w:tc>
        <w:tc>
          <w:tcPr>
            <w:tcW w:w="0" w:type="auto"/>
            <w:vAlign w:val="center"/>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23</w:t>
            </w:r>
          </w:p>
        </w:tc>
      </w:tr>
      <w:tr w:rsidR="000207C1" w:rsidRPr="00DF7224" w:rsidTr="008A28C6">
        <w:trPr>
          <w:trHeight w:val="343"/>
          <w:jc w:val="center"/>
        </w:trPr>
        <w:tc>
          <w:tcPr>
            <w:tcW w:w="0" w:type="auto"/>
            <w:noWrap/>
            <w:vAlign w:val="center"/>
            <w:hideMark/>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ЕС-28</w:t>
            </w:r>
          </w:p>
        </w:tc>
        <w:tc>
          <w:tcPr>
            <w:tcW w:w="0" w:type="auto"/>
            <w:noWrap/>
            <w:vAlign w:val="center"/>
            <w:hideMark/>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511,2</w:t>
            </w:r>
          </w:p>
        </w:tc>
        <w:tc>
          <w:tcPr>
            <w:tcW w:w="0" w:type="auto"/>
            <w:vAlign w:val="center"/>
          </w:tcPr>
          <w:p w:rsidR="0019433F" w:rsidRPr="00DF7224" w:rsidRDefault="0019433F" w:rsidP="007E0CA0">
            <w:pPr>
              <w:spacing w:line="360" w:lineRule="auto"/>
              <w:jc w:val="center"/>
              <w:rPr>
                <w:rFonts w:ascii="Times New Roman" w:eastAsiaTheme="minorEastAsia" w:hAnsi="Times New Roman" w:cs="Times New Roman"/>
                <w:sz w:val="24"/>
                <w:szCs w:val="24"/>
                <w:lang w:eastAsia="ru-RU"/>
              </w:rPr>
            </w:pPr>
            <w:r w:rsidRPr="00DF7224">
              <w:rPr>
                <w:rFonts w:ascii="Times New Roman" w:eastAsiaTheme="minorEastAsia" w:hAnsi="Times New Roman" w:cs="Times New Roman"/>
                <w:sz w:val="24"/>
                <w:szCs w:val="24"/>
                <w:lang w:eastAsia="ru-RU"/>
              </w:rPr>
              <w:t>248,4</w:t>
            </w:r>
          </w:p>
        </w:tc>
      </w:tr>
    </w:tbl>
    <w:p w:rsidR="0019433F" w:rsidRPr="00DF7224" w:rsidRDefault="0019433F" w:rsidP="00651915">
      <w:pPr>
        <w:spacing w:after="0" w:line="240" w:lineRule="auto"/>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 xml:space="preserve"> соста</w:t>
      </w:r>
      <w:r w:rsidR="00651915" w:rsidRPr="00DF7224">
        <w:rPr>
          <w:rFonts w:ascii="Times New Roman" w:hAnsi="Times New Roman" w:cs="Times New Roman"/>
          <w:sz w:val="20"/>
          <w:szCs w:val="24"/>
        </w:rPr>
        <w:t>влено автором по данным ЮНКТАД: http://unctadstat.unctad.org/wds/TableViewer/tableView.aspx</w:t>
      </w:r>
      <w:r w:rsidRPr="00DF7224">
        <w:rPr>
          <w:rFonts w:ascii="Times New Roman" w:hAnsi="Times New Roman" w:cs="Times New Roman"/>
          <w:sz w:val="20"/>
          <w:szCs w:val="24"/>
        </w:rPr>
        <w:t>;</w:t>
      </w:r>
      <w:r w:rsidR="00651915" w:rsidRPr="00DF7224">
        <w:rPr>
          <w:rFonts w:ascii="Times New Roman" w:hAnsi="Times New Roman" w:cs="Times New Roman"/>
          <w:sz w:val="20"/>
          <w:szCs w:val="24"/>
        </w:rPr>
        <w:t xml:space="preserve"> </w:t>
      </w:r>
      <w:r w:rsidRPr="00DF7224">
        <w:rPr>
          <w:rFonts w:ascii="Times New Roman" w:hAnsi="Times New Roman" w:cs="Times New Roman"/>
          <w:sz w:val="20"/>
          <w:szCs w:val="24"/>
        </w:rPr>
        <w:t xml:space="preserve">По данным Всемирного Банка: </w:t>
      </w:r>
      <w:r w:rsidR="00985B19" w:rsidRPr="00DF7224">
        <w:rPr>
          <w:rFonts w:ascii="Times New Roman" w:hAnsi="Times New Roman" w:cs="Times New Roman"/>
          <w:sz w:val="20"/>
          <w:szCs w:val="24"/>
        </w:rPr>
        <w:t>https://data.worldbank.org/indicator/sl.tlf.totl.i</w:t>
      </w:r>
    </w:p>
    <w:p w:rsidR="00985B19" w:rsidRPr="00DF7224" w:rsidRDefault="00985B19" w:rsidP="00985B19">
      <w:pPr>
        <w:spacing w:after="0" w:line="240" w:lineRule="auto"/>
        <w:ind w:firstLine="709"/>
        <w:rPr>
          <w:rFonts w:ascii="Times New Roman" w:hAnsi="Times New Roman" w:cs="Times New Roman"/>
          <w:sz w:val="24"/>
          <w:szCs w:val="24"/>
        </w:rPr>
      </w:pPr>
    </w:p>
    <w:p w:rsidR="0019433F" w:rsidRPr="00DF7224" w:rsidRDefault="0019433F" w:rsidP="00985B19">
      <w:pPr>
        <w:spacing w:after="0" w:line="360" w:lineRule="auto"/>
        <w:ind w:firstLine="709"/>
        <w:jc w:val="both"/>
        <w:rPr>
          <w:rFonts w:ascii="Times New Roman" w:eastAsiaTheme="minorEastAsia" w:hAnsi="Times New Roman" w:cs="Times New Roman"/>
          <w:sz w:val="28"/>
          <w:szCs w:val="28"/>
          <w:lang w:eastAsia="ru-RU"/>
        </w:rPr>
      </w:pPr>
      <w:r w:rsidRPr="00DF7224">
        <w:rPr>
          <w:rFonts w:ascii="Times New Roman" w:eastAsiaTheme="minorEastAsia" w:hAnsi="Times New Roman" w:cs="Times New Roman"/>
          <w:sz w:val="28"/>
          <w:szCs w:val="28"/>
          <w:lang w:eastAsia="ru-RU"/>
        </w:rPr>
        <w:t xml:space="preserve">В 2017 году Испания вошла в шестерку стран в Европе по численности населения и ее численность составляет примерно 1/11 от всего населения ЕС. Испания в 2017 году имеет 23 млн. человек, составляющих трудовые ресурсы страны – это примерно чуть выше среднего показателя в Европе. Трудовые ресурсы Испании составляют примерно 9% от всех трудовых ресурсов ЕС-28. </w:t>
      </w:r>
    </w:p>
    <w:p w:rsidR="00985B19" w:rsidRPr="00DF7224" w:rsidRDefault="00985B19" w:rsidP="00985B19">
      <w:pPr>
        <w:spacing w:after="0" w:line="360" w:lineRule="auto"/>
        <w:ind w:firstLine="709"/>
        <w:jc w:val="both"/>
        <w:rPr>
          <w:rFonts w:ascii="Times New Roman" w:eastAsiaTheme="minorEastAsia" w:hAnsi="Times New Roman" w:cs="Times New Roman"/>
          <w:sz w:val="28"/>
          <w:szCs w:val="28"/>
          <w:lang w:eastAsia="ru-RU"/>
        </w:rPr>
      </w:pPr>
    </w:p>
    <w:p w:rsidR="00D34E06" w:rsidRPr="00DF7224" w:rsidRDefault="00D34E06" w:rsidP="007E0CA0">
      <w:pPr>
        <w:spacing w:after="0" w:line="240" w:lineRule="auto"/>
        <w:ind w:firstLine="709"/>
        <w:rPr>
          <w:rFonts w:ascii="Times New Roman" w:hAnsi="Times New Roman" w:cs="Times New Roman"/>
          <w:sz w:val="28"/>
        </w:rPr>
      </w:pPr>
      <w:r w:rsidRPr="00DF7224">
        <w:rPr>
          <w:rFonts w:ascii="Times New Roman" w:hAnsi="Times New Roman" w:cs="Times New Roman"/>
          <w:sz w:val="28"/>
        </w:rPr>
        <w:t xml:space="preserve">Таблица 2.7 –  </w:t>
      </w:r>
      <w:r w:rsidR="007A743F" w:rsidRPr="00DF7224">
        <w:rPr>
          <w:rFonts w:ascii="Times New Roman" w:hAnsi="Times New Roman" w:cs="Times New Roman"/>
          <w:sz w:val="28"/>
        </w:rPr>
        <w:t>Макроэкономические показатели</w:t>
      </w:r>
      <w:r w:rsidRPr="00DF7224">
        <w:rPr>
          <w:rFonts w:ascii="Times New Roman" w:hAnsi="Times New Roman" w:cs="Times New Roman"/>
          <w:sz w:val="28"/>
        </w:rPr>
        <w:t xml:space="preserve"> Испании и ЕС-28, 2017 г. </w:t>
      </w:r>
    </w:p>
    <w:p w:rsidR="00985B19" w:rsidRPr="00DF7224" w:rsidRDefault="00985B19" w:rsidP="007E0CA0">
      <w:pPr>
        <w:spacing w:after="0" w:line="240" w:lineRule="auto"/>
        <w:ind w:firstLine="709"/>
        <w:rPr>
          <w:rFonts w:ascii="Times New Roman" w:hAnsi="Times New Roman" w:cs="Times New Roman"/>
          <w:sz w:val="28"/>
        </w:rPr>
      </w:pPr>
    </w:p>
    <w:tbl>
      <w:tblPr>
        <w:tblStyle w:val="100"/>
        <w:tblW w:w="9359" w:type="dxa"/>
        <w:jc w:val="center"/>
        <w:tblLook w:val="04A0" w:firstRow="1" w:lastRow="0" w:firstColumn="1" w:lastColumn="0" w:noHBand="0" w:noVBand="1"/>
      </w:tblPr>
      <w:tblGrid>
        <w:gridCol w:w="2168"/>
        <w:gridCol w:w="1945"/>
        <w:gridCol w:w="1947"/>
        <w:gridCol w:w="1271"/>
        <w:gridCol w:w="2028"/>
      </w:tblGrid>
      <w:tr w:rsidR="007A743F" w:rsidRPr="00DF7224" w:rsidTr="007A743F">
        <w:trPr>
          <w:trHeight w:val="351"/>
          <w:jc w:val="center"/>
        </w:trPr>
        <w:tc>
          <w:tcPr>
            <w:tcW w:w="0" w:type="auto"/>
            <w:noWrap/>
            <w:vAlign w:val="center"/>
            <w:hideMark/>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Страна/Показатель</w:t>
            </w:r>
          </w:p>
        </w:tc>
        <w:tc>
          <w:tcPr>
            <w:tcW w:w="1945" w:type="dxa"/>
            <w:noWrap/>
            <w:vAlign w:val="center"/>
            <w:hideMark/>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ВВП (млрд. долл. США)</w:t>
            </w:r>
          </w:p>
        </w:tc>
        <w:tc>
          <w:tcPr>
            <w:tcW w:w="1947" w:type="dxa"/>
            <w:vAlign w:val="center"/>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Темп прироста ВВП (%)</w:t>
            </w:r>
          </w:p>
        </w:tc>
        <w:tc>
          <w:tcPr>
            <w:tcW w:w="0" w:type="auto"/>
            <w:vAlign w:val="center"/>
          </w:tcPr>
          <w:p w:rsidR="007A743F" w:rsidRPr="00DF7224" w:rsidRDefault="007A743F" w:rsidP="006D26B3">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Инфляция (%)</w:t>
            </w:r>
          </w:p>
        </w:tc>
        <w:tc>
          <w:tcPr>
            <w:tcW w:w="0" w:type="auto"/>
            <w:vAlign w:val="center"/>
          </w:tcPr>
          <w:p w:rsidR="007A743F" w:rsidRPr="00DF7224" w:rsidRDefault="007A743F" w:rsidP="006D26B3">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Государственный долг (% к ВВП)</w:t>
            </w:r>
          </w:p>
        </w:tc>
      </w:tr>
      <w:tr w:rsidR="007A743F" w:rsidRPr="00DF7224" w:rsidTr="007A743F">
        <w:trPr>
          <w:trHeight w:val="351"/>
          <w:jc w:val="center"/>
        </w:trPr>
        <w:tc>
          <w:tcPr>
            <w:tcW w:w="0" w:type="auto"/>
            <w:noWrap/>
            <w:vAlign w:val="center"/>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Испания</w:t>
            </w:r>
          </w:p>
        </w:tc>
        <w:tc>
          <w:tcPr>
            <w:tcW w:w="1945" w:type="dxa"/>
            <w:noWrap/>
            <w:vAlign w:val="center"/>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1311,9</w:t>
            </w:r>
          </w:p>
        </w:tc>
        <w:tc>
          <w:tcPr>
            <w:tcW w:w="1947" w:type="dxa"/>
            <w:vAlign w:val="center"/>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2,98</w:t>
            </w:r>
          </w:p>
        </w:tc>
        <w:tc>
          <w:tcPr>
            <w:tcW w:w="0" w:type="auto"/>
            <w:vAlign w:val="center"/>
          </w:tcPr>
          <w:p w:rsidR="007A743F" w:rsidRPr="00DF7224" w:rsidRDefault="007A743F" w:rsidP="006D26B3">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1,96</w:t>
            </w:r>
          </w:p>
        </w:tc>
        <w:tc>
          <w:tcPr>
            <w:tcW w:w="0" w:type="auto"/>
            <w:vAlign w:val="center"/>
          </w:tcPr>
          <w:p w:rsidR="007A743F" w:rsidRPr="00DF7224" w:rsidRDefault="007A743F" w:rsidP="006D26B3">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98,4</w:t>
            </w:r>
          </w:p>
        </w:tc>
      </w:tr>
      <w:tr w:rsidR="007A743F" w:rsidRPr="00DF7224" w:rsidTr="007A743F">
        <w:trPr>
          <w:trHeight w:val="351"/>
          <w:jc w:val="center"/>
        </w:trPr>
        <w:tc>
          <w:tcPr>
            <w:tcW w:w="0" w:type="auto"/>
            <w:noWrap/>
            <w:vAlign w:val="center"/>
            <w:hideMark/>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ЕС-28</w:t>
            </w:r>
          </w:p>
        </w:tc>
        <w:tc>
          <w:tcPr>
            <w:tcW w:w="1945" w:type="dxa"/>
            <w:noWrap/>
            <w:vAlign w:val="center"/>
            <w:hideMark/>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17284,8</w:t>
            </w:r>
          </w:p>
        </w:tc>
        <w:tc>
          <w:tcPr>
            <w:tcW w:w="1947" w:type="dxa"/>
            <w:vAlign w:val="center"/>
          </w:tcPr>
          <w:p w:rsidR="007A743F" w:rsidRPr="00DF7224" w:rsidRDefault="007A743F" w:rsidP="007E0CA0">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2,57</w:t>
            </w:r>
          </w:p>
        </w:tc>
        <w:tc>
          <w:tcPr>
            <w:tcW w:w="0" w:type="auto"/>
            <w:vAlign w:val="center"/>
          </w:tcPr>
          <w:p w:rsidR="007A743F" w:rsidRPr="00DF7224" w:rsidRDefault="007A743F" w:rsidP="006D26B3">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1,70</w:t>
            </w:r>
          </w:p>
        </w:tc>
        <w:tc>
          <w:tcPr>
            <w:tcW w:w="0" w:type="auto"/>
            <w:vAlign w:val="center"/>
          </w:tcPr>
          <w:p w:rsidR="007A743F" w:rsidRPr="00DF7224" w:rsidRDefault="007A743F" w:rsidP="006D26B3">
            <w:pPr>
              <w:spacing w:line="360" w:lineRule="auto"/>
              <w:jc w:val="center"/>
              <w:rPr>
                <w:rFonts w:ascii="Times New Roman" w:eastAsiaTheme="minorEastAsia" w:hAnsi="Times New Roman" w:cs="Times New Roman"/>
                <w:sz w:val="24"/>
                <w:szCs w:val="28"/>
                <w:lang w:eastAsia="ru-RU"/>
              </w:rPr>
            </w:pPr>
            <w:r w:rsidRPr="00DF7224">
              <w:rPr>
                <w:rFonts w:ascii="Times New Roman" w:eastAsiaTheme="minorEastAsia" w:hAnsi="Times New Roman" w:cs="Times New Roman"/>
                <w:sz w:val="24"/>
                <w:szCs w:val="28"/>
                <w:lang w:eastAsia="ru-RU"/>
              </w:rPr>
              <w:t>81,6</w:t>
            </w:r>
          </w:p>
        </w:tc>
      </w:tr>
    </w:tbl>
    <w:p w:rsidR="00D34E06" w:rsidRPr="00DF7224" w:rsidRDefault="00D34E06" w:rsidP="00985B19">
      <w:pPr>
        <w:spacing w:after="0" w:line="240" w:lineRule="auto"/>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 xml:space="preserve"> составлено автором по данным ЮНКТАД </w:t>
      </w:r>
      <w:r w:rsidR="00985B19" w:rsidRPr="00DF7224">
        <w:rPr>
          <w:rFonts w:ascii="Times New Roman" w:hAnsi="Times New Roman" w:cs="Times New Roman"/>
          <w:sz w:val="20"/>
          <w:szCs w:val="24"/>
        </w:rPr>
        <w:t>http://unctadstat.unctad.org/wds/TableViewer/tableView.aspx?ReportId=96</w:t>
      </w:r>
    </w:p>
    <w:p w:rsidR="00985B19" w:rsidRPr="00DF7224" w:rsidRDefault="00985B19" w:rsidP="00985B19">
      <w:pPr>
        <w:spacing w:after="0" w:line="240" w:lineRule="auto"/>
        <w:ind w:firstLine="709"/>
        <w:rPr>
          <w:rFonts w:ascii="Times New Roman" w:hAnsi="Times New Roman" w:cs="Times New Roman"/>
          <w:sz w:val="24"/>
          <w:szCs w:val="24"/>
        </w:rPr>
      </w:pPr>
    </w:p>
    <w:p w:rsidR="00D34E06" w:rsidRPr="00DF7224" w:rsidRDefault="00985B19" w:rsidP="007E0CA0">
      <w:pPr>
        <w:spacing w:after="0" w:line="360" w:lineRule="auto"/>
        <w:ind w:firstLine="709"/>
        <w:rPr>
          <w:rFonts w:ascii="Times New Roman" w:hAnsi="Times New Roman" w:cs="Times New Roman"/>
          <w:sz w:val="28"/>
          <w:szCs w:val="28"/>
        </w:rPr>
      </w:pPr>
      <w:r w:rsidRPr="00DF7224">
        <w:rPr>
          <w:rFonts w:ascii="Times New Roman" w:hAnsi="Times New Roman" w:cs="Times New Roman"/>
          <w:sz w:val="28"/>
          <w:szCs w:val="28"/>
        </w:rPr>
        <w:t>В Т</w:t>
      </w:r>
      <w:r w:rsidR="00961B9E" w:rsidRPr="00DF7224">
        <w:rPr>
          <w:rFonts w:ascii="Times New Roman" w:hAnsi="Times New Roman" w:cs="Times New Roman"/>
          <w:sz w:val="28"/>
          <w:szCs w:val="28"/>
        </w:rPr>
        <w:t>аблице 2.7 рассмотрены показатели ВВП и темпы прироста ВВП Испании и ЕС-28 за 2017 год. В 2017 году д</w:t>
      </w:r>
      <w:r w:rsidR="00D34E06" w:rsidRPr="00DF7224">
        <w:rPr>
          <w:rFonts w:ascii="Times New Roman" w:hAnsi="Times New Roman" w:cs="Times New Roman"/>
          <w:sz w:val="28"/>
          <w:szCs w:val="28"/>
        </w:rPr>
        <w:t xml:space="preserve">оля ВВП Испании в ВВП ЕС-28 </w:t>
      </w:r>
      <w:r w:rsidR="00961B9E" w:rsidRPr="00DF7224">
        <w:rPr>
          <w:rFonts w:ascii="Times New Roman" w:hAnsi="Times New Roman" w:cs="Times New Roman"/>
          <w:sz w:val="28"/>
          <w:szCs w:val="28"/>
        </w:rPr>
        <w:t xml:space="preserve">составила </w:t>
      </w:r>
      <w:r w:rsidR="00D34E06" w:rsidRPr="00DF7224">
        <w:rPr>
          <w:rFonts w:ascii="Times New Roman" w:hAnsi="Times New Roman" w:cs="Times New Roman"/>
          <w:sz w:val="28"/>
          <w:szCs w:val="28"/>
        </w:rPr>
        <w:t>7,6%</w:t>
      </w:r>
      <w:r w:rsidR="00961B9E" w:rsidRPr="00DF7224">
        <w:rPr>
          <w:rFonts w:ascii="Times New Roman" w:hAnsi="Times New Roman" w:cs="Times New Roman"/>
          <w:sz w:val="28"/>
          <w:szCs w:val="28"/>
        </w:rPr>
        <w:t xml:space="preserve">. </w:t>
      </w:r>
      <w:r w:rsidR="00015EB6" w:rsidRPr="00DF7224">
        <w:rPr>
          <w:rFonts w:ascii="Times New Roman" w:hAnsi="Times New Roman" w:cs="Times New Roman"/>
          <w:sz w:val="28"/>
          <w:szCs w:val="28"/>
        </w:rPr>
        <w:t xml:space="preserve">Испания является лидером среди европейских стран по росту ВВП. </w:t>
      </w:r>
      <w:r w:rsidR="00961B9E" w:rsidRPr="00DF7224">
        <w:rPr>
          <w:rFonts w:ascii="Times New Roman" w:hAnsi="Times New Roman" w:cs="Times New Roman"/>
          <w:sz w:val="28"/>
          <w:szCs w:val="28"/>
        </w:rPr>
        <w:t>Те</w:t>
      </w:r>
      <w:r w:rsidRPr="00DF7224">
        <w:rPr>
          <w:rFonts w:ascii="Times New Roman" w:hAnsi="Times New Roman" w:cs="Times New Roman"/>
          <w:sz w:val="28"/>
          <w:szCs w:val="28"/>
        </w:rPr>
        <w:t xml:space="preserve">мп прироста ВВП Испании выше, </w:t>
      </w:r>
      <w:r w:rsidR="00961B9E" w:rsidRPr="00DF7224">
        <w:rPr>
          <w:rFonts w:ascii="Times New Roman" w:hAnsi="Times New Roman" w:cs="Times New Roman"/>
          <w:sz w:val="28"/>
          <w:szCs w:val="28"/>
        </w:rPr>
        <w:t>чем темп прироста ВВП ЕС-28 – на 0,41 процентных пункта.</w:t>
      </w:r>
    </w:p>
    <w:p w:rsidR="00961B9E" w:rsidRPr="00DF7224" w:rsidRDefault="00961B9E" w:rsidP="007E0CA0">
      <w:pPr>
        <w:spacing w:after="0" w:line="360" w:lineRule="auto"/>
        <w:ind w:firstLine="709"/>
        <w:jc w:val="both"/>
        <w:rPr>
          <w:rFonts w:ascii="Times New Roman" w:eastAsiaTheme="minorEastAsia" w:hAnsi="Times New Roman" w:cs="Times New Roman"/>
          <w:sz w:val="28"/>
          <w:szCs w:val="28"/>
          <w:lang w:eastAsia="ru-RU"/>
        </w:rPr>
      </w:pPr>
      <w:r w:rsidRPr="00DF7224">
        <w:rPr>
          <w:rFonts w:ascii="Times New Roman" w:eastAsiaTheme="minorEastAsia" w:hAnsi="Times New Roman" w:cs="Times New Roman"/>
          <w:sz w:val="28"/>
          <w:szCs w:val="28"/>
          <w:lang w:eastAsia="ru-RU"/>
        </w:rPr>
        <w:t>Инфляция ЕС значительно меньше мировой инфляции. В</w:t>
      </w:r>
      <w:r w:rsidR="00DE3497" w:rsidRPr="00DF7224">
        <w:rPr>
          <w:rFonts w:ascii="Times New Roman" w:eastAsiaTheme="minorEastAsia" w:hAnsi="Times New Roman" w:cs="Times New Roman"/>
          <w:sz w:val="28"/>
          <w:szCs w:val="28"/>
          <w:lang w:eastAsia="ru-RU"/>
        </w:rPr>
        <w:t xml:space="preserve"> 2017 году инфляции ЕС была 1,7</w:t>
      </w:r>
      <w:r w:rsidRPr="00DF7224">
        <w:rPr>
          <w:rFonts w:ascii="Times New Roman" w:eastAsiaTheme="minorEastAsia" w:hAnsi="Times New Roman" w:cs="Times New Roman"/>
          <w:sz w:val="28"/>
          <w:szCs w:val="28"/>
          <w:lang w:eastAsia="ru-RU"/>
        </w:rPr>
        <w:t>%, в то время как м</w:t>
      </w:r>
      <w:r w:rsidR="00DE3497" w:rsidRPr="00DF7224">
        <w:rPr>
          <w:rFonts w:ascii="Times New Roman" w:eastAsiaTheme="minorEastAsia" w:hAnsi="Times New Roman" w:cs="Times New Roman"/>
          <w:sz w:val="28"/>
          <w:szCs w:val="28"/>
          <w:lang w:eastAsia="ru-RU"/>
        </w:rPr>
        <w:t>ировая инфляция составила – 7,5</w:t>
      </w:r>
      <w:r w:rsidRPr="00DF7224">
        <w:rPr>
          <w:rFonts w:ascii="Times New Roman" w:eastAsiaTheme="minorEastAsia" w:hAnsi="Times New Roman" w:cs="Times New Roman"/>
          <w:sz w:val="28"/>
          <w:szCs w:val="28"/>
          <w:lang w:eastAsia="ru-RU"/>
        </w:rPr>
        <w:t>%. Инфляция Испании выше инфляции ЕС-28 на 0,26 процентных пункта, но показатель остается в допустимых рамках. В 2017 году Испания является страной с наибольшим государственным до</w:t>
      </w:r>
      <w:r w:rsidR="00015EB6" w:rsidRPr="00DF7224">
        <w:rPr>
          <w:rFonts w:ascii="Times New Roman" w:eastAsiaTheme="minorEastAsia" w:hAnsi="Times New Roman" w:cs="Times New Roman"/>
          <w:sz w:val="28"/>
          <w:szCs w:val="28"/>
          <w:lang w:eastAsia="ru-RU"/>
        </w:rPr>
        <w:t>лгом, превышающий средний показатель ЕС-28 на 16,8 процентных пункта.</w:t>
      </w:r>
    </w:p>
    <w:p w:rsidR="00AD22E7" w:rsidRPr="00DF7224" w:rsidRDefault="000207C1" w:rsidP="007E0CA0">
      <w:pPr>
        <w:spacing w:after="0" w:line="360" w:lineRule="auto"/>
        <w:ind w:firstLine="709"/>
        <w:jc w:val="both"/>
        <w:rPr>
          <w:rFonts w:ascii="Times New Roman" w:eastAsiaTheme="minorEastAsia" w:hAnsi="Times New Roman" w:cs="Times New Roman"/>
          <w:sz w:val="28"/>
          <w:szCs w:val="28"/>
          <w:lang w:eastAsia="ru-RU"/>
        </w:rPr>
      </w:pPr>
      <w:r w:rsidRPr="00DF7224">
        <w:rPr>
          <w:rFonts w:ascii="Times New Roman" w:eastAsiaTheme="minorEastAsia" w:hAnsi="Times New Roman" w:cs="Times New Roman"/>
          <w:sz w:val="28"/>
          <w:szCs w:val="28"/>
          <w:lang w:eastAsia="ru-RU"/>
        </w:rPr>
        <w:t xml:space="preserve">Доля Испании в товарообороте ЕС в 2017 г. составила 5,91%. </w:t>
      </w:r>
      <w:r w:rsidR="00985B19" w:rsidRPr="00DF7224">
        <w:rPr>
          <w:rFonts w:ascii="Times New Roman" w:eastAsiaTheme="minorEastAsia" w:hAnsi="Times New Roman" w:cs="Times New Roman"/>
          <w:sz w:val="28"/>
          <w:szCs w:val="28"/>
          <w:lang w:eastAsia="ru-RU"/>
        </w:rPr>
        <w:t>В Т</w:t>
      </w:r>
      <w:r w:rsidR="00292DEF" w:rsidRPr="00DF7224">
        <w:rPr>
          <w:rFonts w:ascii="Times New Roman" w:eastAsiaTheme="minorEastAsia" w:hAnsi="Times New Roman" w:cs="Times New Roman"/>
          <w:sz w:val="28"/>
          <w:szCs w:val="28"/>
          <w:lang w:eastAsia="ru-RU"/>
        </w:rPr>
        <w:t>аблице 2.8</w:t>
      </w:r>
      <w:r w:rsidR="00AD22E7" w:rsidRPr="00DF7224">
        <w:rPr>
          <w:rFonts w:ascii="Times New Roman" w:eastAsiaTheme="minorEastAsia" w:hAnsi="Times New Roman" w:cs="Times New Roman"/>
          <w:sz w:val="28"/>
          <w:szCs w:val="28"/>
          <w:lang w:eastAsia="ru-RU"/>
        </w:rPr>
        <w:t xml:space="preserve"> представлены доли товарного экспорта и импорта Испании и ЕС-28 в мировом товарном экспорте и импорте за 2017 год. Из данных видно, что доля Испании значительно мала, по сравнению с долей ЕС-28.</w:t>
      </w:r>
      <w:r w:rsidR="00D6715E" w:rsidRPr="00DF7224">
        <w:rPr>
          <w:rFonts w:ascii="Times New Roman" w:eastAsiaTheme="minorEastAsia" w:hAnsi="Times New Roman" w:cs="Times New Roman"/>
          <w:sz w:val="28"/>
          <w:szCs w:val="28"/>
          <w:lang w:eastAsia="ru-RU"/>
        </w:rPr>
        <w:t xml:space="preserve"> Товарная </w:t>
      </w:r>
      <w:r w:rsidR="00D6715E" w:rsidRPr="00DF7224">
        <w:rPr>
          <w:rFonts w:ascii="Times New Roman" w:eastAsiaTheme="minorEastAsia" w:hAnsi="Times New Roman" w:cs="Times New Roman"/>
          <w:sz w:val="28"/>
          <w:szCs w:val="28"/>
          <w:lang w:eastAsia="ru-RU"/>
        </w:rPr>
        <w:lastRenderedPageBreak/>
        <w:t>структура внутриинтеграционной торговли представлена Ис</w:t>
      </w:r>
      <w:r w:rsidR="00985B19" w:rsidRPr="00DF7224">
        <w:rPr>
          <w:rFonts w:ascii="Times New Roman" w:eastAsiaTheme="minorEastAsia" w:hAnsi="Times New Roman" w:cs="Times New Roman"/>
          <w:sz w:val="28"/>
          <w:szCs w:val="28"/>
          <w:lang w:eastAsia="ru-RU"/>
        </w:rPr>
        <w:t>пании в 2017 г. Представлена в Т</w:t>
      </w:r>
      <w:r w:rsidR="00D6715E" w:rsidRPr="00DF7224">
        <w:rPr>
          <w:rFonts w:ascii="Times New Roman" w:eastAsiaTheme="minorEastAsia" w:hAnsi="Times New Roman" w:cs="Times New Roman"/>
          <w:sz w:val="28"/>
          <w:szCs w:val="28"/>
          <w:lang w:eastAsia="ru-RU"/>
        </w:rPr>
        <w:t>абл</w:t>
      </w:r>
      <w:r w:rsidR="00985B19" w:rsidRPr="00DF7224">
        <w:rPr>
          <w:rFonts w:ascii="Times New Roman" w:eastAsiaTheme="minorEastAsia" w:hAnsi="Times New Roman" w:cs="Times New Roman"/>
          <w:sz w:val="28"/>
          <w:szCs w:val="28"/>
          <w:lang w:eastAsia="ru-RU"/>
        </w:rPr>
        <w:t>.</w:t>
      </w:r>
      <w:r w:rsidR="00292DEF" w:rsidRPr="00DF7224">
        <w:rPr>
          <w:rFonts w:ascii="Times New Roman" w:eastAsiaTheme="minorEastAsia" w:hAnsi="Times New Roman" w:cs="Times New Roman"/>
          <w:sz w:val="28"/>
          <w:szCs w:val="28"/>
          <w:lang w:eastAsia="ru-RU"/>
        </w:rPr>
        <w:t xml:space="preserve"> 2.9</w:t>
      </w:r>
      <w:r w:rsidR="00D6715E" w:rsidRPr="00DF7224">
        <w:rPr>
          <w:rFonts w:ascii="Times New Roman" w:eastAsiaTheme="minorEastAsia" w:hAnsi="Times New Roman" w:cs="Times New Roman"/>
          <w:sz w:val="28"/>
          <w:szCs w:val="28"/>
          <w:lang w:eastAsia="ru-RU"/>
        </w:rPr>
        <w:t>.</w:t>
      </w:r>
    </w:p>
    <w:p w:rsidR="00985B19" w:rsidRPr="00DF7224" w:rsidRDefault="00985B19" w:rsidP="007E0CA0">
      <w:pPr>
        <w:spacing w:after="0" w:line="360" w:lineRule="auto"/>
        <w:ind w:firstLine="709"/>
        <w:jc w:val="both"/>
        <w:rPr>
          <w:rFonts w:ascii="Times New Roman" w:eastAsiaTheme="minorEastAsia" w:hAnsi="Times New Roman" w:cs="Times New Roman"/>
          <w:sz w:val="20"/>
          <w:szCs w:val="28"/>
          <w:lang w:eastAsia="ru-RU"/>
        </w:rPr>
      </w:pPr>
    </w:p>
    <w:p w:rsidR="00015EB6" w:rsidRPr="00DF7224" w:rsidRDefault="00292DEF" w:rsidP="007E0CA0">
      <w:pPr>
        <w:spacing w:after="0" w:line="240" w:lineRule="auto"/>
        <w:ind w:firstLine="709"/>
        <w:rPr>
          <w:rFonts w:ascii="Times New Roman" w:hAnsi="Times New Roman" w:cs="Times New Roman"/>
          <w:sz w:val="28"/>
        </w:rPr>
      </w:pPr>
      <w:r w:rsidRPr="00DF7224">
        <w:rPr>
          <w:rFonts w:ascii="Times New Roman" w:hAnsi="Times New Roman" w:cs="Times New Roman"/>
          <w:sz w:val="28"/>
        </w:rPr>
        <w:t>Таблица 2.8</w:t>
      </w:r>
      <w:r w:rsidR="00015EB6" w:rsidRPr="00DF7224">
        <w:rPr>
          <w:rFonts w:ascii="Times New Roman" w:hAnsi="Times New Roman" w:cs="Times New Roman"/>
          <w:sz w:val="28"/>
        </w:rPr>
        <w:t xml:space="preserve"> – Доля товарного экспорта и импорта Испании и ЕС-28 в мире, 2017 г.(%)</w:t>
      </w:r>
    </w:p>
    <w:p w:rsidR="00985B19" w:rsidRPr="00DF7224" w:rsidRDefault="00985B19" w:rsidP="0062016E">
      <w:pPr>
        <w:spacing w:after="0" w:line="240" w:lineRule="auto"/>
        <w:rPr>
          <w:rFonts w:ascii="Times New Roman" w:hAnsi="Times New Roman" w:cs="Times New Roman"/>
          <w:sz w:val="28"/>
        </w:rPr>
      </w:pPr>
    </w:p>
    <w:tbl>
      <w:tblPr>
        <w:tblStyle w:val="100"/>
        <w:tblW w:w="7744" w:type="dxa"/>
        <w:jc w:val="center"/>
        <w:tblLook w:val="04A0" w:firstRow="1" w:lastRow="0" w:firstColumn="1" w:lastColumn="0" w:noHBand="0" w:noVBand="1"/>
      </w:tblPr>
      <w:tblGrid>
        <w:gridCol w:w="2181"/>
        <w:gridCol w:w="2805"/>
        <w:gridCol w:w="2758"/>
      </w:tblGrid>
      <w:tr w:rsidR="000207C1" w:rsidRPr="00DF7224" w:rsidTr="00015EB6">
        <w:trPr>
          <w:trHeight w:val="300"/>
          <w:jc w:val="center"/>
        </w:trPr>
        <w:tc>
          <w:tcPr>
            <w:tcW w:w="0" w:type="auto"/>
            <w:noWrap/>
            <w:vAlign w:val="center"/>
            <w:hideMark/>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Страна/Показатель</w:t>
            </w:r>
          </w:p>
        </w:tc>
        <w:tc>
          <w:tcPr>
            <w:tcW w:w="0" w:type="auto"/>
            <w:noWrap/>
            <w:vAlign w:val="center"/>
            <w:hideMark/>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Доля товарного экспорта</w:t>
            </w:r>
          </w:p>
        </w:tc>
        <w:tc>
          <w:tcPr>
            <w:tcW w:w="0" w:type="auto"/>
            <w:vAlign w:val="center"/>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Доля товарного импорта</w:t>
            </w:r>
          </w:p>
        </w:tc>
      </w:tr>
      <w:tr w:rsidR="000207C1" w:rsidRPr="00DF7224" w:rsidTr="00015EB6">
        <w:trPr>
          <w:trHeight w:val="300"/>
          <w:jc w:val="center"/>
        </w:trPr>
        <w:tc>
          <w:tcPr>
            <w:tcW w:w="0" w:type="auto"/>
            <w:noWrap/>
            <w:vAlign w:val="center"/>
            <w:hideMark/>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Испания</w:t>
            </w:r>
          </w:p>
        </w:tc>
        <w:tc>
          <w:tcPr>
            <w:tcW w:w="0" w:type="auto"/>
            <w:noWrap/>
            <w:vAlign w:val="center"/>
            <w:hideMark/>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1,81</w:t>
            </w:r>
          </w:p>
        </w:tc>
        <w:tc>
          <w:tcPr>
            <w:tcW w:w="0" w:type="auto"/>
            <w:vAlign w:val="center"/>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1,96</w:t>
            </w:r>
          </w:p>
        </w:tc>
      </w:tr>
      <w:tr w:rsidR="000207C1" w:rsidRPr="00DF7224" w:rsidTr="00015EB6">
        <w:trPr>
          <w:trHeight w:val="300"/>
          <w:jc w:val="center"/>
        </w:trPr>
        <w:tc>
          <w:tcPr>
            <w:tcW w:w="0" w:type="auto"/>
            <w:noWrap/>
            <w:vAlign w:val="center"/>
            <w:hideMark/>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ЕС</w:t>
            </w:r>
          </w:p>
        </w:tc>
        <w:tc>
          <w:tcPr>
            <w:tcW w:w="0" w:type="auto"/>
            <w:noWrap/>
            <w:vAlign w:val="center"/>
            <w:hideMark/>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33,32</w:t>
            </w:r>
          </w:p>
        </w:tc>
        <w:tc>
          <w:tcPr>
            <w:tcW w:w="0" w:type="auto"/>
            <w:vAlign w:val="center"/>
          </w:tcPr>
          <w:p w:rsidR="00015EB6" w:rsidRPr="00DF7224" w:rsidRDefault="00015EB6" w:rsidP="007E0CA0">
            <w:pPr>
              <w:spacing w:line="360" w:lineRule="auto"/>
              <w:contextualSpacing/>
              <w:jc w:val="center"/>
              <w:rPr>
                <w:rFonts w:ascii="Times New Roman" w:eastAsia="Times New Roman" w:hAnsi="Times New Roman" w:cs="Times New Roman"/>
                <w:sz w:val="24"/>
                <w:szCs w:val="28"/>
                <w:lang w:eastAsia="ru-RU"/>
              </w:rPr>
            </w:pPr>
            <w:r w:rsidRPr="00DF7224">
              <w:rPr>
                <w:rFonts w:ascii="Times New Roman" w:eastAsia="Times New Roman" w:hAnsi="Times New Roman" w:cs="Times New Roman"/>
                <w:sz w:val="24"/>
                <w:szCs w:val="28"/>
                <w:lang w:eastAsia="ru-RU"/>
              </w:rPr>
              <w:t>32,26</w:t>
            </w:r>
          </w:p>
        </w:tc>
      </w:tr>
    </w:tbl>
    <w:p w:rsidR="00015EB6" w:rsidRPr="00DF7224" w:rsidRDefault="00015EB6" w:rsidP="00985B19">
      <w:pPr>
        <w:spacing w:after="0" w:line="240" w:lineRule="auto"/>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 xml:space="preserve"> составлено автором по данным ЮНКТАД  </w:t>
      </w:r>
      <w:r w:rsidR="00985B19" w:rsidRPr="00DF7224">
        <w:rPr>
          <w:rFonts w:ascii="Times New Roman" w:hAnsi="Times New Roman" w:cs="Times New Roman"/>
          <w:sz w:val="20"/>
          <w:szCs w:val="24"/>
        </w:rPr>
        <w:t>http://unctadstat.unctad.org/wds/TableViewer/tableView.aspx</w:t>
      </w:r>
    </w:p>
    <w:p w:rsidR="00985B19" w:rsidRPr="00DF7224" w:rsidRDefault="00985B19" w:rsidP="007E0CA0">
      <w:pPr>
        <w:spacing w:after="0" w:line="240" w:lineRule="auto"/>
        <w:rPr>
          <w:rFonts w:ascii="Times New Roman" w:hAnsi="Times New Roman" w:cs="Times New Roman"/>
          <w:sz w:val="24"/>
          <w:szCs w:val="24"/>
        </w:rPr>
      </w:pPr>
    </w:p>
    <w:p w:rsidR="00AD22E7" w:rsidRPr="00DF7224" w:rsidRDefault="00292DEF" w:rsidP="007E0CA0">
      <w:pPr>
        <w:spacing w:after="0" w:line="240" w:lineRule="auto"/>
        <w:ind w:firstLine="709"/>
        <w:rPr>
          <w:rFonts w:ascii="Times New Roman" w:hAnsi="Times New Roman" w:cs="Times New Roman"/>
          <w:sz w:val="28"/>
        </w:rPr>
      </w:pPr>
      <w:r w:rsidRPr="00DF7224">
        <w:rPr>
          <w:rFonts w:ascii="Times New Roman" w:hAnsi="Times New Roman" w:cs="Times New Roman"/>
          <w:sz w:val="28"/>
        </w:rPr>
        <w:t>Таблица 2.9</w:t>
      </w:r>
      <w:r w:rsidR="00AD22E7" w:rsidRPr="00DF7224">
        <w:rPr>
          <w:rFonts w:ascii="Times New Roman" w:hAnsi="Times New Roman" w:cs="Times New Roman"/>
          <w:sz w:val="28"/>
        </w:rPr>
        <w:t xml:space="preserve"> – </w:t>
      </w:r>
      <w:r w:rsidR="00143E52" w:rsidRPr="00DF7224">
        <w:rPr>
          <w:rFonts w:ascii="Times New Roman" w:hAnsi="Times New Roman" w:cs="Times New Roman"/>
          <w:sz w:val="28"/>
        </w:rPr>
        <w:t>,</w:t>
      </w:r>
      <w:r w:rsidR="00AD22E7" w:rsidRPr="00DF7224">
        <w:rPr>
          <w:rFonts w:ascii="Times New Roman" w:hAnsi="Times New Roman" w:cs="Times New Roman"/>
          <w:sz w:val="28"/>
        </w:rPr>
        <w:t xml:space="preserve"> г.(%)</w:t>
      </w:r>
    </w:p>
    <w:p w:rsidR="00985B19" w:rsidRPr="00DF7224" w:rsidRDefault="00985B19" w:rsidP="007E0CA0">
      <w:pPr>
        <w:spacing w:after="0" w:line="240" w:lineRule="auto"/>
        <w:ind w:firstLine="709"/>
        <w:rPr>
          <w:rFonts w:ascii="Times New Roman" w:hAnsi="Times New Roman" w:cs="Times New Roman"/>
          <w:sz w:val="28"/>
        </w:rPr>
      </w:pPr>
    </w:p>
    <w:tbl>
      <w:tblPr>
        <w:tblStyle w:val="ab"/>
        <w:tblW w:w="9606" w:type="dxa"/>
        <w:jc w:val="center"/>
        <w:tblInd w:w="0" w:type="dxa"/>
        <w:tblLayout w:type="fixed"/>
        <w:tblLook w:val="04A0" w:firstRow="1" w:lastRow="0" w:firstColumn="1" w:lastColumn="0" w:noHBand="0" w:noVBand="1"/>
      </w:tblPr>
      <w:tblGrid>
        <w:gridCol w:w="7196"/>
        <w:gridCol w:w="1281"/>
        <w:gridCol w:w="1129"/>
      </w:tblGrid>
      <w:tr w:rsidR="000207C1" w:rsidRPr="00DF7224" w:rsidTr="00D6715E">
        <w:trPr>
          <w:trHeight w:val="384"/>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hAnsi="Times New Roman" w:cs="Times New Roman"/>
              </w:rPr>
            </w:pPr>
          </w:p>
        </w:tc>
        <w:tc>
          <w:tcPr>
            <w:tcW w:w="1281" w:type="dxa"/>
            <w:tcBorders>
              <w:top w:val="single" w:sz="4" w:space="0" w:color="auto"/>
              <w:left w:val="single" w:sz="4" w:space="0" w:color="auto"/>
              <w:bottom w:val="single" w:sz="4" w:space="0" w:color="auto"/>
              <w:right w:val="single" w:sz="4" w:space="0" w:color="auto"/>
            </w:tcBorders>
            <w:hideMark/>
          </w:tcPr>
          <w:p w:rsidR="00AD22E7" w:rsidRPr="00DF7224" w:rsidRDefault="00AD22E7" w:rsidP="007E0CA0">
            <w:pPr>
              <w:rPr>
                <w:rFonts w:ascii="Times New Roman" w:eastAsia="Times New Roman" w:hAnsi="Times New Roman" w:cs="Times New Roman"/>
                <w:bCs/>
                <w:sz w:val="24"/>
                <w:szCs w:val="24"/>
                <w:lang w:eastAsia="ru-RU"/>
              </w:rPr>
            </w:pPr>
            <w:r w:rsidRPr="00DF7224">
              <w:rPr>
                <w:rFonts w:ascii="Times New Roman" w:eastAsia="Times New Roman" w:hAnsi="Times New Roman" w:cs="Times New Roman"/>
                <w:bCs/>
                <w:sz w:val="24"/>
                <w:szCs w:val="24"/>
                <w:lang w:eastAsia="ru-RU"/>
              </w:rPr>
              <w:t xml:space="preserve">Доля импорта Испании в ЕС </w:t>
            </w:r>
          </w:p>
        </w:tc>
        <w:tc>
          <w:tcPr>
            <w:tcW w:w="1129" w:type="dxa"/>
            <w:tcBorders>
              <w:top w:val="single" w:sz="4" w:space="0" w:color="auto"/>
              <w:left w:val="single" w:sz="4" w:space="0" w:color="auto"/>
              <w:bottom w:val="single" w:sz="4" w:space="0" w:color="auto"/>
              <w:right w:val="single" w:sz="4" w:space="0" w:color="auto"/>
            </w:tcBorders>
            <w:hideMark/>
          </w:tcPr>
          <w:p w:rsidR="00AD22E7" w:rsidRPr="00DF7224" w:rsidRDefault="00AD22E7" w:rsidP="007E0CA0">
            <w:pPr>
              <w:rPr>
                <w:rFonts w:ascii="Times New Roman" w:eastAsia="Times New Roman" w:hAnsi="Times New Roman" w:cs="Times New Roman"/>
                <w:bCs/>
                <w:sz w:val="24"/>
                <w:szCs w:val="24"/>
                <w:lang w:eastAsia="ru-RU"/>
              </w:rPr>
            </w:pPr>
            <w:r w:rsidRPr="00DF7224">
              <w:rPr>
                <w:rFonts w:ascii="Times New Roman" w:eastAsia="Times New Roman" w:hAnsi="Times New Roman" w:cs="Times New Roman"/>
                <w:bCs/>
                <w:sz w:val="24"/>
                <w:szCs w:val="24"/>
                <w:lang w:eastAsia="ru-RU"/>
              </w:rPr>
              <w:t xml:space="preserve">Доля экспорта Испании в ЕС </w:t>
            </w:r>
          </w:p>
        </w:tc>
      </w:tr>
      <w:tr w:rsidR="000207C1" w:rsidRPr="00DF7224" w:rsidTr="00D6715E">
        <w:trPr>
          <w:trHeight w:val="265"/>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Сырьё</w:t>
            </w:r>
          </w:p>
        </w:tc>
        <w:tc>
          <w:tcPr>
            <w:tcW w:w="1281"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13,2</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10,2</w:t>
            </w:r>
          </w:p>
        </w:tc>
      </w:tr>
      <w:tr w:rsidR="000207C1" w:rsidRPr="00DF7224" w:rsidTr="00D6715E">
        <w:trPr>
          <w:trHeight w:val="265"/>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Продукты питания, напитки и табак</w:t>
            </w:r>
          </w:p>
        </w:tc>
        <w:tc>
          <w:tcPr>
            <w:tcW w:w="1281"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10,5</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8,4</w:t>
            </w:r>
          </w:p>
        </w:tc>
      </w:tr>
      <w:tr w:rsidR="000207C1" w:rsidRPr="00DF7224" w:rsidTr="00D6715E">
        <w:trPr>
          <w:trHeight w:val="265"/>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Минеральное топливо, смазочные материалы и родственные материалы</w:t>
            </w:r>
          </w:p>
        </w:tc>
        <w:tc>
          <w:tcPr>
            <w:tcW w:w="1281"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10,1</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9,9</w:t>
            </w:r>
          </w:p>
        </w:tc>
      </w:tr>
      <w:tr w:rsidR="000207C1" w:rsidRPr="00DF7224" w:rsidTr="00D6715E">
        <w:trPr>
          <w:trHeight w:val="265"/>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Химические вещества и сопутствующие продукты, т.п.</w:t>
            </w:r>
          </w:p>
        </w:tc>
        <w:tc>
          <w:tcPr>
            <w:tcW w:w="1281"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6,1</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4,6</w:t>
            </w:r>
          </w:p>
        </w:tc>
      </w:tr>
      <w:tr w:rsidR="000207C1" w:rsidRPr="00DF7224" w:rsidTr="00D6715E">
        <w:trPr>
          <w:trHeight w:val="265"/>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Другие промышленные товары</w:t>
            </w:r>
          </w:p>
        </w:tc>
        <w:tc>
          <w:tcPr>
            <w:tcW w:w="1281"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6,8</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6</w:t>
            </w:r>
          </w:p>
        </w:tc>
      </w:tr>
      <w:tr w:rsidR="000207C1" w:rsidRPr="00DF7224" w:rsidTr="00D6715E">
        <w:trPr>
          <w:trHeight w:val="265"/>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Оборудование и транспортное оборудование</w:t>
            </w:r>
          </w:p>
        </w:tc>
        <w:tc>
          <w:tcPr>
            <w:tcW w:w="1281"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4,3</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3,6</w:t>
            </w:r>
          </w:p>
        </w:tc>
      </w:tr>
      <w:tr w:rsidR="000207C1" w:rsidRPr="00DF7224" w:rsidTr="00D6715E">
        <w:trPr>
          <w:trHeight w:val="265"/>
          <w:jc w:val="center"/>
        </w:trPr>
        <w:tc>
          <w:tcPr>
            <w:tcW w:w="7196" w:type="dxa"/>
            <w:tcBorders>
              <w:top w:val="single" w:sz="4" w:space="0" w:color="auto"/>
              <w:left w:val="single" w:sz="4" w:space="0" w:color="auto"/>
              <w:bottom w:val="single" w:sz="4" w:space="0" w:color="auto"/>
              <w:right w:val="single" w:sz="4" w:space="0" w:color="auto"/>
            </w:tcBorders>
            <w:noWrap/>
            <w:hideMark/>
          </w:tcPr>
          <w:p w:rsidR="00AD22E7" w:rsidRPr="00DF7224" w:rsidRDefault="00AD22E7" w:rsidP="007E0CA0">
            <w:pP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Товары и операции, не классифицированные в других местах в МСТК</w:t>
            </w:r>
          </w:p>
        </w:tc>
        <w:tc>
          <w:tcPr>
            <w:tcW w:w="1281"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0,2</w:t>
            </w:r>
          </w:p>
        </w:tc>
        <w:tc>
          <w:tcPr>
            <w:tcW w:w="1129" w:type="dxa"/>
            <w:tcBorders>
              <w:top w:val="single" w:sz="4" w:space="0" w:color="auto"/>
              <w:left w:val="single" w:sz="4" w:space="0" w:color="auto"/>
              <w:bottom w:val="single" w:sz="4" w:space="0" w:color="auto"/>
              <w:right w:val="single" w:sz="4" w:space="0" w:color="auto"/>
            </w:tcBorders>
            <w:noWrap/>
            <w:vAlign w:val="center"/>
            <w:hideMark/>
          </w:tcPr>
          <w:p w:rsidR="00AD22E7" w:rsidRPr="00DF7224" w:rsidRDefault="00AD22E7"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2,5</w:t>
            </w:r>
          </w:p>
        </w:tc>
      </w:tr>
    </w:tbl>
    <w:p w:rsidR="00AD22E7" w:rsidRPr="00DF7224" w:rsidRDefault="00985B19" w:rsidP="00985B19">
      <w:pPr>
        <w:spacing w:after="0" w:line="240" w:lineRule="auto"/>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00651915" w:rsidRPr="00DF7224">
        <w:rPr>
          <w:rFonts w:ascii="Times New Roman" w:hAnsi="Times New Roman" w:cs="Times New Roman"/>
          <w:i/>
          <w:sz w:val="20"/>
          <w:szCs w:val="24"/>
        </w:rPr>
        <w:t xml:space="preserve"> </w:t>
      </w:r>
      <w:r w:rsidRPr="00DF7224">
        <w:rPr>
          <w:rFonts w:ascii="Times New Roman" w:hAnsi="Times New Roman" w:cs="Times New Roman"/>
          <w:sz w:val="20"/>
          <w:szCs w:val="24"/>
        </w:rPr>
        <w:t>http://appsso.eurostat.ec.europa.eu/nui/show.do?dataset=ext_st_25msbec&amp;lang</w:t>
      </w:r>
      <w:r w:rsidR="00AD22E7" w:rsidRPr="00DF7224">
        <w:rPr>
          <w:rFonts w:ascii="Times New Roman" w:hAnsi="Times New Roman" w:cs="Times New Roman"/>
          <w:sz w:val="20"/>
          <w:szCs w:val="24"/>
        </w:rPr>
        <w:t>=e</w:t>
      </w:r>
    </w:p>
    <w:p w:rsidR="00985B19" w:rsidRPr="00DF7224" w:rsidRDefault="00985B19" w:rsidP="007E0CA0">
      <w:pPr>
        <w:spacing w:after="0"/>
        <w:rPr>
          <w:rFonts w:ascii="Times New Roman" w:hAnsi="Times New Roman" w:cs="Times New Roman"/>
          <w:sz w:val="24"/>
          <w:szCs w:val="24"/>
        </w:rPr>
      </w:pPr>
    </w:p>
    <w:p w:rsidR="00AD22E7" w:rsidRPr="00DF7224" w:rsidRDefault="00D6715E" w:rsidP="00985B19">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Основную долю импорта Испании в ЕС-28 и долю экспорта Испании в ЕС-28 занимает сырьё – 13,2% и 10,2% соответственно. Также большую долю имеет категории «продукты питания, напитки и табак» и «минеральное топливо, смазочные материалы и родственные материалы» - около 10%.</w:t>
      </w:r>
    </w:p>
    <w:p w:rsidR="00D6715E" w:rsidRPr="00DF7224" w:rsidRDefault="00D6715E"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Доля в обороте услуг Испании в ЕС в 2017 г. составила 5,09%. Подробную структуру экспорта и импорта услуг Испании в ЕС-28 рассмотрим в таблице 2.1</w:t>
      </w:r>
      <w:r w:rsidR="00292DEF" w:rsidRPr="00DF7224">
        <w:rPr>
          <w:rFonts w:ascii="Times New Roman" w:hAnsi="Times New Roman" w:cs="Times New Roman"/>
          <w:sz w:val="28"/>
          <w:szCs w:val="28"/>
        </w:rPr>
        <w:t>0</w:t>
      </w:r>
      <w:r w:rsidRPr="00DF7224">
        <w:rPr>
          <w:rFonts w:ascii="Times New Roman" w:hAnsi="Times New Roman" w:cs="Times New Roman"/>
          <w:sz w:val="28"/>
          <w:szCs w:val="28"/>
        </w:rPr>
        <w:t>.</w:t>
      </w:r>
    </w:p>
    <w:p w:rsidR="00461892" w:rsidRPr="00DF7224" w:rsidRDefault="00461892" w:rsidP="00461892">
      <w:pPr>
        <w:spacing w:after="0" w:line="360" w:lineRule="auto"/>
        <w:jc w:val="both"/>
        <w:rPr>
          <w:rFonts w:ascii="Times New Roman" w:hAnsi="Times New Roman" w:cs="Times New Roman"/>
          <w:sz w:val="28"/>
          <w:szCs w:val="28"/>
        </w:rPr>
      </w:pPr>
    </w:p>
    <w:p w:rsidR="00461892" w:rsidRPr="00DF7224" w:rsidRDefault="00461892" w:rsidP="00461892">
      <w:pPr>
        <w:spacing w:after="0" w:line="360" w:lineRule="auto"/>
        <w:jc w:val="both"/>
        <w:rPr>
          <w:rFonts w:ascii="Times New Roman" w:hAnsi="Times New Roman" w:cs="Times New Roman"/>
          <w:sz w:val="28"/>
          <w:szCs w:val="28"/>
        </w:rPr>
      </w:pPr>
    </w:p>
    <w:p w:rsidR="00461892" w:rsidRPr="00DF7224" w:rsidRDefault="00461892" w:rsidP="00461892">
      <w:pPr>
        <w:spacing w:after="0" w:line="360" w:lineRule="auto"/>
        <w:jc w:val="both"/>
        <w:rPr>
          <w:rFonts w:ascii="Times New Roman" w:hAnsi="Times New Roman" w:cs="Times New Roman"/>
          <w:sz w:val="28"/>
          <w:szCs w:val="28"/>
        </w:rPr>
      </w:pPr>
    </w:p>
    <w:p w:rsidR="00461892" w:rsidRPr="00DF7224" w:rsidRDefault="00461892" w:rsidP="00461892">
      <w:pPr>
        <w:spacing w:after="0" w:line="360" w:lineRule="auto"/>
        <w:jc w:val="both"/>
        <w:rPr>
          <w:rFonts w:ascii="Times New Roman" w:hAnsi="Times New Roman" w:cs="Times New Roman"/>
          <w:sz w:val="28"/>
          <w:szCs w:val="28"/>
        </w:rPr>
      </w:pPr>
    </w:p>
    <w:p w:rsidR="00461892" w:rsidRPr="00DF7224" w:rsidRDefault="00461892" w:rsidP="00461892">
      <w:pPr>
        <w:spacing w:after="0" w:line="360" w:lineRule="auto"/>
        <w:jc w:val="both"/>
        <w:rPr>
          <w:rFonts w:ascii="Times New Roman" w:hAnsi="Times New Roman" w:cs="Times New Roman"/>
          <w:sz w:val="28"/>
          <w:szCs w:val="28"/>
        </w:rPr>
      </w:pPr>
    </w:p>
    <w:p w:rsidR="00985B19" w:rsidRPr="00DF7224" w:rsidRDefault="00C40ECF" w:rsidP="00461892">
      <w:pPr>
        <w:spacing w:after="0" w:line="240" w:lineRule="auto"/>
        <w:ind w:firstLine="709"/>
        <w:rPr>
          <w:rFonts w:ascii="Times New Roman" w:hAnsi="Times New Roman" w:cs="Times New Roman"/>
          <w:sz w:val="28"/>
        </w:rPr>
      </w:pPr>
      <w:r w:rsidRPr="00DF7224">
        <w:rPr>
          <w:rFonts w:ascii="Times New Roman" w:hAnsi="Times New Roman" w:cs="Times New Roman"/>
          <w:sz w:val="28"/>
        </w:rPr>
        <w:t xml:space="preserve">Таблица </w:t>
      </w:r>
      <w:r w:rsidR="00D6715E" w:rsidRPr="00DF7224">
        <w:rPr>
          <w:rFonts w:ascii="Times New Roman" w:hAnsi="Times New Roman" w:cs="Times New Roman"/>
          <w:sz w:val="28"/>
        </w:rPr>
        <w:t>2</w:t>
      </w:r>
      <w:r w:rsidRPr="00DF7224">
        <w:rPr>
          <w:rFonts w:ascii="Times New Roman" w:hAnsi="Times New Roman" w:cs="Times New Roman"/>
          <w:sz w:val="28"/>
        </w:rPr>
        <w:t>.</w:t>
      </w:r>
      <w:r w:rsidR="00D6715E" w:rsidRPr="00DF7224">
        <w:rPr>
          <w:rFonts w:ascii="Times New Roman" w:hAnsi="Times New Roman" w:cs="Times New Roman"/>
          <w:sz w:val="28"/>
        </w:rPr>
        <w:t>1</w:t>
      </w:r>
      <w:r w:rsidR="00292DEF" w:rsidRPr="00DF7224">
        <w:rPr>
          <w:rFonts w:ascii="Times New Roman" w:hAnsi="Times New Roman" w:cs="Times New Roman"/>
          <w:sz w:val="28"/>
        </w:rPr>
        <w:t>0</w:t>
      </w:r>
      <w:r w:rsidRPr="00DF7224">
        <w:rPr>
          <w:rFonts w:ascii="Times New Roman" w:hAnsi="Times New Roman" w:cs="Times New Roman"/>
          <w:sz w:val="28"/>
        </w:rPr>
        <w:t xml:space="preserve"> – Структура экспорта и импорта услуг </w:t>
      </w:r>
      <w:r w:rsidR="00D6715E" w:rsidRPr="00DF7224">
        <w:rPr>
          <w:rFonts w:ascii="Times New Roman" w:hAnsi="Times New Roman" w:cs="Times New Roman"/>
          <w:sz w:val="28"/>
        </w:rPr>
        <w:t xml:space="preserve">внутриинтеграционной торговли </w:t>
      </w:r>
      <w:r w:rsidRPr="00DF7224">
        <w:rPr>
          <w:rFonts w:ascii="Times New Roman" w:hAnsi="Times New Roman" w:cs="Times New Roman"/>
          <w:sz w:val="28"/>
        </w:rPr>
        <w:t>Испании, 2017 г.(%)</w:t>
      </w:r>
    </w:p>
    <w:p w:rsidR="00461892" w:rsidRPr="00DF7224" w:rsidRDefault="00461892" w:rsidP="00461892">
      <w:pPr>
        <w:spacing w:after="0" w:line="240" w:lineRule="auto"/>
        <w:ind w:firstLine="709"/>
        <w:rPr>
          <w:rFonts w:ascii="Times New Roman" w:hAnsi="Times New Roman" w:cs="Times New Roman"/>
          <w:sz w:val="28"/>
        </w:rPr>
      </w:pPr>
    </w:p>
    <w:tbl>
      <w:tblPr>
        <w:tblStyle w:val="100"/>
        <w:tblW w:w="0" w:type="auto"/>
        <w:jc w:val="center"/>
        <w:tblLook w:val="04A0" w:firstRow="1" w:lastRow="0" w:firstColumn="1" w:lastColumn="0" w:noHBand="0" w:noVBand="1"/>
      </w:tblPr>
      <w:tblGrid>
        <w:gridCol w:w="4306"/>
        <w:gridCol w:w="1134"/>
        <w:gridCol w:w="1134"/>
      </w:tblGrid>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Товарная группа/Показатель</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Экспорт услуг</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Импорт услуг</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bCs/>
                <w:i/>
                <w:sz w:val="24"/>
                <w:szCs w:val="24"/>
              </w:rPr>
            </w:pPr>
            <w:r w:rsidRPr="00DF7224">
              <w:rPr>
                <w:rFonts w:ascii="Times New Roman" w:hAnsi="Times New Roman" w:cs="Times New Roman"/>
                <w:bCs/>
                <w:i/>
                <w:sz w:val="24"/>
                <w:szCs w:val="24"/>
              </w:rPr>
              <w:t>Транспорт</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12,8</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19,2</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bCs/>
                <w:i/>
                <w:sz w:val="24"/>
                <w:szCs w:val="24"/>
              </w:rPr>
            </w:pPr>
            <w:r w:rsidRPr="00DF7224">
              <w:rPr>
                <w:rFonts w:ascii="Times New Roman" w:hAnsi="Times New Roman" w:cs="Times New Roman"/>
                <w:bCs/>
                <w:i/>
                <w:sz w:val="24"/>
                <w:szCs w:val="24"/>
              </w:rPr>
              <w:t>Туризм</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49,1</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29,2</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bCs/>
                <w:i/>
                <w:sz w:val="24"/>
                <w:szCs w:val="24"/>
              </w:rPr>
            </w:pPr>
            <w:r w:rsidRPr="00DF7224">
              <w:rPr>
                <w:rFonts w:ascii="Times New Roman" w:hAnsi="Times New Roman" w:cs="Times New Roman"/>
                <w:bCs/>
                <w:i/>
                <w:sz w:val="24"/>
                <w:szCs w:val="24"/>
              </w:rPr>
              <w:t>Другие услуги:</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34,9</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49,9</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Строительство</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0,99</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0,14</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Страховые и пенсионные услуги</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1,66</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4,21</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Финансовые услуги</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2,63</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4,61</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Телекоммуникации, компьютерные и информационные услуги</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9,08</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8,94</w:t>
            </w:r>
          </w:p>
        </w:tc>
      </w:tr>
      <w:tr w:rsidR="000207C1" w:rsidRPr="00DF7224" w:rsidTr="008A28C6">
        <w:trPr>
          <w:trHeight w:val="300"/>
          <w:jc w:val="center"/>
        </w:trPr>
        <w:tc>
          <w:tcPr>
            <w:tcW w:w="4306"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Иные бизнес-услуги</w:t>
            </w:r>
          </w:p>
        </w:tc>
        <w:tc>
          <w:tcPr>
            <w:tcW w:w="1134" w:type="dxa"/>
            <w:noWrap/>
            <w:vAlign w:val="center"/>
            <w:hideMark/>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17,5</w:t>
            </w:r>
          </w:p>
        </w:tc>
        <w:tc>
          <w:tcPr>
            <w:tcW w:w="1134" w:type="dxa"/>
            <w:vAlign w:val="center"/>
          </w:tcPr>
          <w:p w:rsidR="00C40ECF" w:rsidRPr="00DF7224" w:rsidRDefault="00C40ECF" w:rsidP="007E0CA0">
            <w:pPr>
              <w:autoSpaceDE w:val="0"/>
              <w:autoSpaceDN w:val="0"/>
              <w:adjustRightInd w:val="0"/>
              <w:spacing w:line="360" w:lineRule="auto"/>
              <w:contextualSpacing/>
              <w:jc w:val="center"/>
              <w:rPr>
                <w:rFonts w:ascii="Times New Roman" w:hAnsi="Times New Roman" w:cs="Times New Roman"/>
                <w:sz w:val="24"/>
                <w:szCs w:val="24"/>
              </w:rPr>
            </w:pPr>
            <w:r w:rsidRPr="00DF7224">
              <w:rPr>
                <w:rFonts w:ascii="Times New Roman" w:hAnsi="Times New Roman" w:cs="Times New Roman"/>
                <w:sz w:val="24"/>
                <w:szCs w:val="24"/>
              </w:rPr>
              <w:t>22,9</w:t>
            </w:r>
          </w:p>
        </w:tc>
      </w:tr>
    </w:tbl>
    <w:p w:rsidR="00C40ECF" w:rsidRPr="00DF7224" w:rsidRDefault="00C40ECF" w:rsidP="00985B19">
      <w:pPr>
        <w:spacing w:after="0" w:line="240" w:lineRule="auto"/>
        <w:ind w:firstLine="709"/>
        <w:rPr>
          <w:rFonts w:ascii="Times New Roman" w:hAnsi="Times New Roman" w:cs="Times New Roman"/>
          <w:sz w:val="20"/>
          <w:szCs w:val="24"/>
        </w:rPr>
      </w:pPr>
      <w:r w:rsidRPr="00DF7224">
        <w:rPr>
          <w:rFonts w:ascii="Times New Roman" w:hAnsi="Times New Roman" w:cs="Times New Roman"/>
          <w:i/>
          <w:sz w:val="20"/>
          <w:szCs w:val="24"/>
        </w:rPr>
        <w:t>Источник:</w:t>
      </w:r>
      <w:r w:rsidRPr="00DF7224">
        <w:rPr>
          <w:rFonts w:ascii="Times New Roman" w:hAnsi="Times New Roman" w:cs="Times New Roman"/>
          <w:sz w:val="20"/>
          <w:szCs w:val="24"/>
        </w:rPr>
        <w:t xml:space="preserve"> составлено автором по данным ЮНКТАД</w:t>
      </w:r>
    </w:p>
    <w:p w:rsidR="00C40ECF" w:rsidRPr="00DF7224" w:rsidRDefault="00985B19" w:rsidP="00985B19">
      <w:pPr>
        <w:spacing w:after="0" w:line="240" w:lineRule="auto"/>
        <w:ind w:firstLine="709"/>
        <w:contextualSpacing/>
        <w:rPr>
          <w:rFonts w:ascii="Times New Roman" w:hAnsi="Times New Roman" w:cs="Times New Roman"/>
          <w:sz w:val="20"/>
          <w:szCs w:val="24"/>
        </w:rPr>
      </w:pPr>
      <w:r w:rsidRPr="00DF7224">
        <w:rPr>
          <w:rFonts w:ascii="Times New Roman" w:hAnsi="Times New Roman" w:cs="Times New Roman"/>
          <w:sz w:val="20"/>
          <w:szCs w:val="24"/>
        </w:rPr>
        <w:t>http://unctadstat.unctad.org/wds/TableViewer/tableView.aspx</w:t>
      </w:r>
    </w:p>
    <w:p w:rsidR="00985B19" w:rsidRPr="00DF7224" w:rsidRDefault="00985B19" w:rsidP="007E0CA0">
      <w:pPr>
        <w:spacing w:after="0" w:line="360" w:lineRule="auto"/>
        <w:contextualSpacing/>
        <w:rPr>
          <w:rFonts w:ascii="Times New Roman" w:hAnsi="Times New Roman" w:cs="Times New Roman"/>
          <w:sz w:val="24"/>
          <w:szCs w:val="24"/>
        </w:rPr>
      </w:pPr>
    </w:p>
    <w:p w:rsidR="00D6715E" w:rsidRPr="00DF7224" w:rsidRDefault="00C40ECF"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В структуре экспорта Испании преобладает туризм (49,1%)</w:t>
      </w:r>
      <w:r w:rsidR="00DE3497" w:rsidRPr="00DF7224">
        <w:rPr>
          <w:rFonts w:ascii="Times New Roman" w:hAnsi="Times New Roman" w:cs="Times New Roman"/>
          <w:sz w:val="28"/>
          <w:szCs w:val="28"/>
        </w:rPr>
        <w:t>. Другие услуги составляют 34,9</w:t>
      </w:r>
      <w:r w:rsidRPr="00DF7224">
        <w:rPr>
          <w:rFonts w:ascii="Times New Roman" w:hAnsi="Times New Roman" w:cs="Times New Roman"/>
          <w:sz w:val="28"/>
          <w:szCs w:val="28"/>
        </w:rPr>
        <w:t xml:space="preserve">% в структуре экспорта услуг ЕС в 2017 году, а </w:t>
      </w:r>
      <w:r w:rsidR="00DE3497" w:rsidRPr="00DF7224">
        <w:rPr>
          <w:rFonts w:ascii="Times New Roman" w:hAnsi="Times New Roman" w:cs="Times New Roman"/>
          <w:sz w:val="28"/>
          <w:szCs w:val="28"/>
        </w:rPr>
        <w:t>именно иные бизнес услуги (17,5</w:t>
      </w:r>
      <w:r w:rsidRPr="00DF7224">
        <w:rPr>
          <w:rFonts w:ascii="Times New Roman" w:hAnsi="Times New Roman" w:cs="Times New Roman"/>
          <w:sz w:val="28"/>
          <w:szCs w:val="28"/>
        </w:rPr>
        <w:t>%), телекоммуникации,</w:t>
      </w:r>
      <w:r w:rsidRPr="00DF7224">
        <w:rPr>
          <w:rFonts w:ascii="Times New Roman" w:eastAsiaTheme="minorEastAsia" w:hAnsi="Times New Roman" w:cs="Times New Roman"/>
          <w:sz w:val="24"/>
          <w:szCs w:val="24"/>
          <w:lang w:eastAsia="ru-RU"/>
        </w:rPr>
        <w:t xml:space="preserve"> </w:t>
      </w:r>
      <w:r w:rsidRPr="00DF7224">
        <w:rPr>
          <w:rFonts w:ascii="Times New Roman" w:hAnsi="Times New Roman" w:cs="Times New Roman"/>
          <w:sz w:val="28"/>
          <w:szCs w:val="28"/>
        </w:rPr>
        <w:t>компьютерны</w:t>
      </w:r>
      <w:r w:rsidR="00DE3497" w:rsidRPr="00DF7224">
        <w:rPr>
          <w:rFonts w:ascii="Times New Roman" w:hAnsi="Times New Roman" w:cs="Times New Roman"/>
          <w:sz w:val="28"/>
          <w:szCs w:val="28"/>
        </w:rPr>
        <w:t>е и информационные услуги (9,08</w:t>
      </w:r>
      <w:r w:rsidRPr="00DF7224">
        <w:rPr>
          <w:rFonts w:ascii="Times New Roman" w:hAnsi="Times New Roman" w:cs="Times New Roman"/>
          <w:sz w:val="28"/>
          <w:szCs w:val="28"/>
        </w:rPr>
        <w:t>%), финансовые услуг</w:t>
      </w:r>
      <w:r w:rsidR="00DE3497" w:rsidRPr="00DF7224">
        <w:rPr>
          <w:rFonts w:ascii="Times New Roman" w:hAnsi="Times New Roman" w:cs="Times New Roman"/>
          <w:sz w:val="28"/>
          <w:szCs w:val="28"/>
        </w:rPr>
        <w:t>и (2,63%). Транспорт имеет 12,8</w:t>
      </w:r>
      <w:r w:rsidRPr="00DF7224">
        <w:rPr>
          <w:rFonts w:ascii="Times New Roman" w:hAnsi="Times New Roman" w:cs="Times New Roman"/>
          <w:sz w:val="28"/>
          <w:szCs w:val="28"/>
        </w:rPr>
        <w:t xml:space="preserve">%. В структуре импорта Испании преобладают другие услуги (49,9%), а </w:t>
      </w:r>
      <w:r w:rsidR="00DE3497" w:rsidRPr="00DF7224">
        <w:rPr>
          <w:rFonts w:ascii="Times New Roman" w:hAnsi="Times New Roman" w:cs="Times New Roman"/>
          <w:sz w:val="28"/>
          <w:szCs w:val="28"/>
        </w:rPr>
        <w:t>именно иные бизнес услуги (22,9</w:t>
      </w:r>
      <w:r w:rsidRPr="00DF7224">
        <w:rPr>
          <w:rFonts w:ascii="Times New Roman" w:hAnsi="Times New Roman" w:cs="Times New Roman"/>
          <w:sz w:val="28"/>
          <w:szCs w:val="28"/>
        </w:rPr>
        <w:t>%), телекоммуникации,</w:t>
      </w:r>
      <w:r w:rsidRPr="00DF7224">
        <w:rPr>
          <w:rFonts w:ascii="Times New Roman" w:eastAsiaTheme="minorEastAsia" w:hAnsi="Times New Roman" w:cs="Times New Roman"/>
          <w:sz w:val="24"/>
          <w:szCs w:val="24"/>
          <w:lang w:eastAsia="ru-RU"/>
        </w:rPr>
        <w:t xml:space="preserve"> </w:t>
      </w:r>
      <w:r w:rsidRPr="00DF7224">
        <w:rPr>
          <w:rFonts w:ascii="Times New Roman" w:hAnsi="Times New Roman" w:cs="Times New Roman"/>
          <w:sz w:val="28"/>
          <w:szCs w:val="28"/>
        </w:rPr>
        <w:t>компьютерны</w:t>
      </w:r>
      <w:r w:rsidR="00DE3497" w:rsidRPr="00DF7224">
        <w:rPr>
          <w:rFonts w:ascii="Times New Roman" w:hAnsi="Times New Roman" w:cs="Times New Roman"/>
          <w:sz w:val="28"/>
          <w:szCs w:val="28"/>
        </w:rPr>
        <w:t>е и информационные услуги (8,94</w:t>
      </w:r>
      <w:r w:rsidRPr="00DF7224">
        <w:rPr>
          <w:rFonts w:ascii="Times New Roman" w:hAnsi="Times New Roman" w:cs="Times New Roman"/>
          <w:sz w:val="28"/>
          <w:szCs w:val="28"/>
        </w:rPr>
        <w:t>%), финансовые услуги (</w:t>
      </w:r>
      <w:r w:rsidR="00DE3497" w:rsidRPr="00DF7224">
        <w:rPr>
          <w:rFonts w:ascii="Times New Roman" w:hAnsi="Times New Roman" w:cs="Times New Roman"/>
          <w:sz w:val="28"/>
          <w:szCs w:val="28"/>
        </w:rPr>
        <w:t>4,61%).  Туризм составляет 29,2</w:t>
      </w:r>
      <w:r w:rsidRPr="00DF7224">
        <w:rPr>
          <w:rFonts w:ascii="Times New Roman" w:hAnsi="Times New Roman" w:cs="Times New Roman"/>
          <w:sz w:val="28"/>
          <w:szCs w:val="28"/>
        </w:rPr>
        <w:t>% в структуре импорта услуг ЕС в 2017 году</w:t>
      </w:r>
      <w:r w:rsidR="00D6715E" w:rsidRPr="00DF7224">
        <w:rPr>
          <w:rFonts w:ascii="Times New Roman" w:hAnsi="Times New Roman" w:cs="Times New Roman"/>
          <w:sz w:val="28"/>
          <w:szCs w:val="28"/>
        </w:rPr>
        <w:t xml:space="preserve"> – каждая четвертая поездка была проведена европейцами за границей, поскольку Испания является главным зарубежным туристическим направлением ЕС (почти 21% поездок за границу). </w:t>
      </w:r>
    </w:p>
    <w:p w:rsidR="00985B19" w:rsidRPr="00DF7224" w:rsidRDefault="000207C1" w:rsidP="00D0049C">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 2017 г. 65,7% испанского экспорта был направлен в страны ЕС, что на 8% выше показателя предыдущего года. При этом поставки испанских товаров в страны, входящие в еврозону (51,6% экспорта), выросли на 8,5%, а </w:t>
      </w:r>
      <w:r w:rsidRPr="00DF7224">
        <w:rPr>
          <w:rFonts w:ascii="Times New Roman" w:hAnsi="Times New Roman" w:cs="Times New Roman"/>
          <w:sz w:val="28"/>
          <w:szCs w:val="28"/>
        </w:rPr>
        <w:lastRenderedPageBreak/>
        <w:t xml:space="preserve">в остальные страны ЕС (14,1%) – на 6,2%. В </w:t>
      </w:r>
      <w:r w:rsidR="00DE5ADA" w:rsidRPr="00DF7224">
        <w:rPr>
          <w:rFonts w:ascii="Times New Roman" w:hAnsi="Times New Roman" w:cs="Times New Roman"/>
          <w:sz w:val="28"/>
          <w:szCs w:val="28"/>
        </w:rPr>
        <w:t>Т</w:t>
      </w:r>
      <w:r w:rsidR="00236D36" w:rsidRPr="00DF7224">
        <w:rPr>
          <w:rFonts w:ascii="Times New Roman" w:hAnsi="Times New Roman" w:cs="Times New Roman"/>
          <w:sz w:val="28"/>
          <w:szCs w:val="28"/>
        </w:rPr>
        <w:t>аблице 2.11</w:t>
      </w:r>
      <w:r w:rsidRPr="00DF7224">
        <w:rPr>
          <w:rFonts w:ascii="Times New Roman" w:hAnsi="Times New Roman" w:cs="Times New Roman"/>
          <w:sz w:val="28"/>
          <w:szCs w:val="28"/>
        </w:rPr>
        <w:t xml:space="preserve"> показаны три крупнейших торговых партнеров в ЕС-28 в 2017 году.</w:t>
      </w:r>
    </w:p>
    <w:p w:rsidR="00D6715E" w:rsidRPr="00DF7224" w:rsidRDefault="00236D36" w:rsidP="007E0CA0">
      <w:pPr>
        <w:spacing w:after="0" w:line="240" w:lineRule="auto"/>
        <w:ind w:firstLine="709"/>
        <w:rPr>
          <w:rFonts w:ascii="Times New Roman" w:hAnsi="Times New Roman" w:cs="Times New Roman"/>
          <w:sz w:val="28"/>
        </w:rPr>
      </w:pPr>
      <w:r w:rsidRPr="00DF7224">
        <w:rPr>
          <w:rFonts w:ascii="Times New Roman" w:hAnsi="Times New Roman" w:cs="Times New Roman"/>
          <w:sz w:val="28"/>
        </w:rPr>
        <w:t>Таблица 2.11</w:t>
      </w:r>
      <w:r w:rsidR="00D6715E" w:rsidRPr="00DF7224">
        <w:rPr>
          <w:rFonts w:ascii="Times New Roman" w:hAnsi="Times New Roman" w:cs="Times New Roman"/>
          <w:sz w:val="28"/>
        </w:rPr>
        <w:t xml:space="preserve"> –  Географическая структура внутриинтеграционной торговли Испании в 2017 г.</w:t>
      </w:r>
    </w:p>
    <w:p w:rsidR="00985B19" w:rsidRPr="00DF7224" w:rsidRDefault="00985B19" w:rsidP="007E0CA0">
      <w:pPr>
        <w:spacing w:after="0" w:line="240" w:lineRule="auto"/>
        <w:ind w:firstLine="709"/>
        <w:rPr>
          <w:rFonts w:ascii="Times New Roman" w:hAnsi="Times New Roman" w:cs="Times New Roman"/>
          <w:sz w:val="28"/>
        </w:rPr>
      </w:pPr>
    </w:p>
    <w:tbl>
      <w:tblPr>
        <w:tblStyle w:val="ab"/>
        <w:tblW w:w="5000" w:type="pct"/>
        <w:jc w:val="center"/>
        <w:tblInd w:w="0" w:type="dxa"/>
        <w:tblLook w:val="04A0" w:firstRow="1" w:lastRow="0" w:firstColumn="1" w:lastColumn="0" w:noHBand="0" w:noVBand="1"/>
      </w:tblPr>
      <w:tblGrid>
        <w:gridCol w:w="1203"/>
        <w:gridCol w:w="2425"/>
        <w:gridCol w:w="2813"/>
        <w:gridCol w:w="3130"/>
      </w:tblGrid>
      <w:tr w:rsidR="00D6715E" w:rsidRPr="00DF7224" w:rsidTr="008A28C6">
        <w:trPr>
          <w:trHeight w:val="300"/>
          <w:jc w:val="center"/>
        </w:trPr>
        <w:tc>
          <w:tcPr>
            <w:tcW w:w="961"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rPr>
                <w:rFonts w:ascii="Times New Roman" w:hAnsi="Times New Roman" w:cs="Times New Roman"/>
              </w:rPr>
            </w:pPr>
          </w:p>
        </w:tc>
        <w:tc>
          <w:tcPr>
            <w:tcW w:w="1110"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Крупнейший партнер</w:t>
            </w:r>
          </w:p>
        </w:tc>
        <w:tc>
          <w:tcPr>
            <w:tcW w:w="961"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2-й Крупнейший партнер</w:t>
            </w:r>
          </w:p>
        </w:tc>
        <w:tc>
          <w:tcPr>
            <w:tcW w:w="1968"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3-й Крупнейший партнер</w:t>
            </w:r>
          </w:p>
        </w:tc>
      </w:tr>
      <w:tr w:rsidR="00D6715E" w:rsidRPr="00DF7224" w:rsidTr="008A28C6">
        <w:trPr>
          <w:trHeight w:val="300"/>
          <w:jc w:val="center"/>
        </w:trPr>
        <w:tc>
          <w:tcPr>
            <w:tcW w:w="961"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Страна</w:t>
            </w:r>
          </w:p>
        </w:tc>
        <w:tc>
          <w:tcPr>
            <w:tcW w:w="1110"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Германия</w:t>
            </w:r>
          </w:p>
        </w:tc>
        <w:tc>
          <w:tcPr>
            <w:tcW w:w="961"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Франция</w:t>
            </w:r>
          </w:p>
        </w:tc>
        <w:tc>
          <w:tcPr>
            <w:tcW w:w="1968"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Италия</w:t>
            </w:r>
          </w:p>
        </w:tc>
      </w:tr>
      <w:tr w:rsidR="00D6715E" w:rsidRPr="00DF7224" w:rsidTr="008A28C6">
        <w:trPr>
          <w:trHeight w:val="300"/>
          <w:jc w:val="center"/>
        </w:trPr>
        <w:tc>
          <w:tcPr>
            <w:tcW w:w="961"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w:t>
            </w:r>
          </w:p>
        </w:tc>
        <w:tc>
          <w:tcPr>
            <w:tcW w:w="1110"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23</w:t>
            </w:r>
          </w:p>
        </w:tc>
        <w:tc>
          <w:tcPr>
            <w:tcW w:w="961"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19</w:t>
            </w:r>
          </w:p>
        </w:tc>
        <w:tc>
          <w:tcPr>
            <w:tcW w:w="1968" w:type="pct"/>
            <w:tcBorders>
              <w:top w:val="single" w:sz="4" w:space="0" w:color="auto"/>
              <w:left w:val="single" w:sz="4" w:space="0" w:color="auto"/>
              <w:bottom w:val="single" w:sz="4" w:space="0" w:color="auto"/>
              <w:right w:val="single" w:sz="4" w:space="0" w:color="auto"/>
            </w:tcBorders>
            <w:noWrap/>
            <w:vAlign w:val="center"/>
            <w:hideMark/>
          </w:tcPr>
          <w:p w:rsidR="00D6715E" w:rsidRPr="00DF7224" w:rsidRDefault="00D6715E" w:rsidP="007E0CA0">
            <w:pPr>
              <w:jc w:val="center"/>
              <w:rPr>
                <w:rFonts w:ascii="Times New Roman" w:eastAsia="Times New Roman" w:hAnsi="Times New Roman" w:cs="Times New Roman"/>
                <w:sz w:val="24"/>
                <w:szCs w:val="24"/>
                <w:lang w:eastAsia="ru-RU"/>
              </w:rPr>
            </w:pPr>
            <w:r w:rsidRPr="00DF7224">
              <w:rPr>
                <w:rFonts w:ascii="Times New Roman" w:eastAsia="Times New Roman" w:hAnsi="Times New Roman" w:cs="Times New Roman"/>
                <w:sz w:val="24"/>
                <w:szCs w:val="24"/>
                <w:lang w:eastAsia="ru-RU"/>
              </w:rPr>
              <w:t>12</w:t>
            </w:r>
          </w:p>
        </w:tc>
      </w:tr>
    </w:tbl>
    <w:p w:rsidR="00D6715E" w:rsidRPr="00DF7224" w:rsidRDefault="00985B19" w:rsidP="00985B19">
      <w:pPr>
        <w:spacing w:after="0" w:line="360" w:lineRule="auto"/>
        <w:ind w:firstLine="709"/>
        <w:contextualSpacing/>
        <w:rPr>
          <w:rFonts w:ascii="Times New Roman" w:hAnsi="Times New Roman" w:cs="Times New Roman"/>
          <w:sz w:val="20"/>
          <w:szCs w:val="24"/>
        </w:rPr>
      </w:pPr>
      <w:r w:rsidRPr="00DF7224">
        <w:rPr>
          <w:rFonts w:ascii="Times New Roman" w:hAnsi="Times New Roman" w:cs="Times New Roman"/>
          <w:i/>
          <w:sz w:val="20"/>
          <w:szCs w:val="24"/>
        </w:rPr>
        <w:t>Источник</w:t>
      </w:r>
      <w:r w:rsidR="00461892" w:rsidRPr="00DF7224">
        <w:rPr>
          <w:rFonts w:ascii="Times New Roman" w:hAnsi="Times New Roman" w:cs="Times New Roman"/>
          <w:i/>
          <w:sz w:val="20"/>
          <w:szCs w:val="24"/>
        </w:rPr>
        <w:t xml:space="preserve"> </w:t>
      </w:r>
      <w:r w:rsidRPr="00DF7224">
        <w:rPr>
          <w:rFonts w:ascii="Times New Roman" w:hAnsi="Times New Roman" w:cs="Times New Roman"/>
          <w:i/>
          <w:sz w:val="20"/>
          <w:szCs w:val="24"/>
        </w:rPr>
        <w:t>:</w:t>
      </w:r>
      <w:r w:rsidR="00D6715E" w:rsidRPr="00DF7224">
        <w:rPr>
          <w:rFonts w:ascii="Times New Roman" w:hAnsi="Times New Roman" w:cs="Times New Roman"/>
          <w:sz w:val="20"/>
          <w:szCs w:val="24"/>
        </w:rPr>
        <w:t>http://appsso.eurostat.ec.europa.eu/nui/show.do?dataset=ext_st_28msbec&amp;lang=en</w:t>
      </w:r>
    </w:p>
    <w:p w:rsidR="00985B19" w:rsidRPr="00DF7224" w:rsidRDefault="00985B19" w:rsidP="007E0CA0">
      <w:pPr>
        <w:spacing w:after="0" w:line="360" w:lineRule="auto"/>
        <w:contextualSpacing/>
        <w:rPr>
          <w:rFonts w:ascii="Times New Roman" w:hAnsi="Times New Roman" w:cs="Times New Roman"/>
          <w:sz w:val="24"/>
          <w:szCs w:val="24"/>
        </w:rPr>
      </w:pPr>
    </w:p>
    <w:p w:rsidR="000207C1" w:rsidRPr="00DF7224" w:rsidRDefault="000207C1"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В тройку крупнейших партеров по торговле в 2017 году входят Германия, Франция и Италия. Германия составляет 23% в товарообороте Испании, Франция – 19%, Италия -12%.</w:t>
      </w:r>
    </w:p>
    <w:p w:rsidR="00266FE2" w:rsidRPr="00DF7224" w:rsidRDefault="00F03D1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Испания </w:t>
      </w:r>
      <w:r w:rsidR="002F62C5" w:rsidRPr="00DF7224">
        <w:rPr>
          <w:rFonts w:ascii="Times New Roman" w:hAnsi="Times New Roman" w:cs="Times New Roman"/>
          <w:sz w:val="28"/>
          <w:szCs w:val="28"/>
        </w:rPr>
        <w:t>проводит единую политику Европейского Союза по стратегическим направлениям. Основными вопросами актуальной повестки дня ЕС и Испании в том числе, по которым ведется ежедневная работа, сосредото</w:t>
      </w:r>
      <w:r w:rsidR="00266FE2" w:rsidRPr="00DF7224">
        <w:rPr>
          <w:rFonts w:ascii="Times New Roman" w:hAnsi="Times New Roman" w:cs="Times New Roman"/>
          <w:sz w:val="28"/>
          <w:szCs w:val="28"/>
        </w:rPr>
        <w:t>чена на 20 основных направлениях, обозначенных</w:t>
      </w:r>
      <w:r w:rsidR="002F62C5" w:rsidRPr="00DF7224">
        <w:rPr>
          <w:rFonts w:ascii="Times New Roman" w:hAnsi="Times New Roman" w:cs="Times New Roman"/>
          <w:sz w:val="28"/>
          <w:szCs w:val="28"/>
        </w:rPr>
        <w:t xml:space="preserve"> в «Европейской Стратегии 2020»: </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Внутренний рынок</w:t>
      </w:r>
      <w:r w:rsidR="00266FE2" w:rsidRPr="00DF7224">
        <w:rPr>
          <w:rFonts w:ascii="Times New Roman" w:hAnsi="Times New Roman" w:cs="Times New Roman"/>
          <w:i/>
          <w:sz w:val="28"/>
          <w:szCs w:val="28"/>
        </w:rPr>
        <w:t>.</w:t>
      </w:r>
      <w:r w:rsidRPr="00DF7224">
        <w:rPr>
          <w:rFonts w:ascii="Times New Roman" w:hAnsi="Times New Roman" w:cs="Times New Roman"/>
          <w:sz w:val="28"/>
          <w:szCs w:val="28"/>
        </w:rPr>
        <w:t xml:space="preserve"> Единое пространства без границ, со свободным движением товаров, услуг, капиталов и людей, способствующий росту экономик стран-членов ЕС. За последние 10 лет товарооборот между странами ЕС ежегодно увеличивается на 15%. На постоянной основе ведется работа по гармонизации и взаимному признанию технических норм и правил. Проводимая политика в данном направлении способствовала созданию дополнительных 2,5 млн. рабочих мест и дополнительному росту экономики ЕС на 1,8% за последние 10 лет. </w:t>
      </w:r>
    </w:p>
    <w:p w:rsidR="00266FE2" w:rsidRPr="00DF7224" w:rsidRDefault="00266FE2"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Занятость и социальная политик</w:t>
      </w:r>
      <w:r w:rsidR="000F201D" w:rsidRPr="00DF7224">
        <w:rPr>
          <w:rFonts w:ascii="Times New Roman" w:hAnsi="Times New Roman" w:cs="Times New Roman"/>
          <w:i/>
          <w:sz w:val="28"/>
          <w:szCs w:val="28"/>
        </w:rPr>
        <w:t>а</w:t>
      </w:r>
      <w:r w:rsidRPr="00DF7224">
        <w:rPr>
          <w:rFonts w:ascii="Times New Roman" w:hAnsi="Times New Roman" w:cs="Times New Roman"/>
          <w:i/>
          <w:sz w:val="28"/>
          <w:szCs w:val="28"/>
        </w:rPr>
        <w:t xml:space="preserve">. </w:t>
      </w:r>
      <w:r w:rsidR="002F62C5" w:rsidRPr="00DF7224">
        <w:rPr>
          <w:rFonts w:ascii="Times New Roman" w:hAnsi="Times New Roman" w:cs="Times New Roman"/>
          <w:sz w:val="28"/>
          <w:szCs w:val="28"/>
        </w:rPr>
        <w:t xml:space="preserve">Целью социальной политики ЕС является увеличение занятости населения, в особенности, молодежи, улучшение условий труда, мобильность рабочей силы, борьба с бедностью, гендерное равенство и модернизация системы социальных гарантий. </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Сплоченность экономическая, социальная и территориальная</w:t>
      </w:r>
      <w:r w:rsidR="00266FE2" w:rsidRPr="00DF7224">
        <w:rPr>
          <w:rFonts w:ascii="Times New Roman" w:hAnsi="Times New Roman" w:cs="Times New Roman"/>
          <w:i/>
          <w:sz w:val="28"/>
          <w:szCs w:val="28"/>
        </w:rPr>
        <w:t>.</w:t>
      </w:r>
      <w:r w:rsidRPr="00DF7224">
        <w:rPr>
          <w:rFonts w:ascii="Times New Roman" w:hAnsi="Times New Roman" w:cs="Times New Roman"/>
          <w:sz w:val="28"/>
          <w:szCs w:val="28"/>
        </w:rPr>
        <w:t xml:space="preserve"> ЕС стремится сократить неравенство развития разных регионов стран, уделяя </w:t>
      </w:r>
      <w:r w:rsidRPr="00DF7224">
        <w:rPr>
          <w:rFonts w:ascii="Times New Roman" w:hAnsi="Times New Roman" w:cs="Times New Roman"/>
          <w:sz w:val="28"/>
          <w:szCs w:val="28"/>
        </w:rPr>
        <w:lastRenderedPageBreak/>
        <w:t xml:space="preserve">особое внимание сельской местности и наиболее неблагоприятным зонам с демографической и природной точек зрения с целью сбалансированного развития всех своих территорий. Для достижения этой цели ЕС использует систему финансовой помощи, осуществляемой через специальные фонды. Испания является страной бенефициаром в данном направлении. </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Сельское хозяйство</w:t>
      </w:r>
      <w:r w:rsidR="00266FE2" w:rsidRPr="00DF7224">
        <w:rPr>
          <w:rFonts w:ascii="Times New Roman" w:hAnsi="Times New Roman" w:cs="Times New Roman"/>
          <w:i/>
          <w:sz w:val="28"/>
          <w:szCs w:val="28"/>
        </w:rPr>
        <w:t>.</w:t>
      </w:r>
      <w:r w:rsidRPr="00DF7224">
        <w:rPr>
          <w:rFonts w:ascii="Times New Roman" w:hAnsi="Times New Roman" w:cs="Times New Roman"/>
          <w:sz w:val="28"/>
          <w:szCs w:val="28"/>
        </w:rPr>
        <w:t xml:space="preserve"> Сельское хозяйство является одним из центральных направлений политики ЕС, в формате Единой сельскохозяйственной политики, целью которой является улучшение производительности и гарантирования гражданам ЕС сельхоз безопасности. На финансирование сельского хозяйства в ЕС приходится порядка 40% бюджета ЕС. В период с 2014 по 2020 г. сельское хозяйство в Испании получит прямой помощи в сумме 35,7 млрд. евро. </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Рыбная ловля</w:t>
      </w:r>
      <w:r w:rsidR="00266FE2" w:rsidRPr="00DF7224">
        <w:rPr>
          <w:rFonts w:ascii="Times New Roman" w:hAnsi="Times New Roman" w:cs="Times New Roman"/>
          <w:i/>
          <w:sz w:val="28"/>
          <w:szCs w:val="28"/>
        </w:rPr>
        <w:t>.</w:t>
      </w:r>
      <w:r w:rsidRPr="00DF7224">
        <w:rPr>
          <w:rFonts w:ascii="Times New Roman" w:hAnsi="Times New Roman" w:cs="Times New Roman"/>
          <w:sz w:val="28"/>
          <w:szCs w:val="28"/>
        </w:rPr>
        <w:t xml:space="preserve"> Единая политика рыбной ловли направлена на исключение незаконной ловли рыбы и развитие рыболо</w:t>
      </w:r>
      <w:r w:rsidR="000F201D" w:rsidRPr="00DF7224">
        <w:rPr>
          <w:rFonts w:ascii="Times New Roman" w:hAnsi="Times New Roman" w:cs="Times New Roman"/>
          <w:sz w:val="28"/>
          <w:szCs w:val="28"/>
        </w:rPr>
        <w:t>вства. Финансовым инструментом е</w:t>
      </w:r>
      <w:r w:rsidRPr="00DF7224">
        <w:rPr>
          <w:rFonts w:ascii="Times New Roman" w:hAnsi="Times New Roman" w:cs="Times New Roman"/>
          <w:sz w:val="28"/>
          <w:szCs w:val="28"/>
        </w:rPr>
        <w:t xml:space="preserve">диной политики рыбной ловли является ее финансирование из Европейского Фонда морского дела и рыболовства в период 2014-2020 гг. с общим объемом финансовых средств </w:t>
      </w:r>
      <w:r w:rsidR="004236BA" w:rsidRPr="00DF7224">
        <w:rPr>
          <w:rFonts w:ascii="Times New Roman" w:hAnsi="Times New Roman" w:cs="Times New Roman"/>
          <w:sz w:val="28"/>
          <w:szCs w:val="28"/>
        </w:rPr>
        <w:t>на сумму</w:t>
      </w:r>
      <w:r w:rsidRPr="00DF7224">
        <w:rPr>
          <w:rFonts w:ascii="Times New Roman" w:hAnsi="Times New Roman" w:cs="Times New Roman"/>
          <w:sz w:val="28"/>
          <w:szCs w:val="28"/>
        </w:rPr>
        <w:t xml:space="preserve"> 6,4 млрд. евро. Испании среди стран ЕС предназначается наибольшая сумма в размере 1,16 млрд., т.е. порядка 20% - часть, эквивалентная ее доле в рыбной ловле стран ЕС. </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Защита окружающей среды</w:t>
      </w:r>
      <w:r w:rsidR="00266FE2" w:rsidRPr="00DF7224">
        <w:rPr>
          <w:rFonts w:ascii="Times New Roman" w:hAnsi="Times New Roman" w:cs="Times New Roman"/>
          <w:i/>
          <w:sz w:val="28"/>
          <w:szCs w:val="28"/>
        </w:rPr>
        <w:t>.</w:t>
      </w:r>
      <w:r w:rsidRPr="00DF7224">
        <w:rPr>
          <w:rFonts w:ascii="Times New Roman" w:hAnsi="Times New Roman" w:cs="Times New Roman"/>
          <w:sz w:val="28"/>
          <w:szCs w:val="28"/>
        </w:rPr>
        <w:t xml:space="preserve"> Защита окружающей среды также является приоритетным направлением для ЕС и Испании, и регулируется нормативноправовой базой</w:t>
      </w:r>
      <w:r w:rsidR="000F201D" w:rsidRPr="00DF7224">
        <w:rPr>
          <w:rFonts w:ascii="Times New Roman" w:hAnsi="Times New Roman" w:cs="Times New Roman"/>
          <w:sz w:val="28"/>
          <w:szCs w:val="28"/>
        </w:rPr>
        <w:t>. Основными целями</w:t>
      </w:r>
      <w:r w:rsidRPr="00DF7224">
        <w:rPr>
          <w:rFonts w:ascii="Times New Roman" w:hAnsi="Times New Roman" w:cs="Times New Roman"/>
          <w:sz w:val="28"/>
          <w:szCs w:val="28"/>
        </w:rPr>
        <w:t xml:space="preserve"> является сохранение, защита и улучшение состояния окружающей среды, защита здоровья людей, рациональное использование природных ресурсов. </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Транспорт</w:t>
      </w:r>
      <w:r w:rsidR="00266FE2" w:rsidRPr="00DF7224">
        <w:rPr>
          <w:rFonts w:ascii="Times New Roman" w:hAnsi="Times New Roman" w:cs="Times New Roman"/>
          <w:sz w:val="28"/>
          <w:szCs w:val="28"/>
        </w:rPr>
        <w:t xml:space="preserve">. </w:t>
      </w:r>
      <w:r w:rsidRPr="00DF7224">
        <w:rPr>
          <w:rFonts w:ascii="Times New Roman" w:hAnsi="Times New Roman" w:cs="Times New Roman"/>
          <w:sz w:val="28"/>
          <w:szCs w:val="28"/>
        </w:rPr>
        <w:t>Страны ЕС стремятся достигнуть единого транспортного пространства, которое облегчит передвижение граждан, товаров, а также сократит расходы и повысит безопасность.</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Энергетика</w:t>
      </w:r>
      <w:r w:rsidR="00266FE2" w:rsidRPr="00DF7224">
        <w:rPr>
          <w:rFonts w:ascii="Times New Roman" w:hAnsi="Times New Roman" w:cs="Times New Roman"/>
          <w:sz w:val="28"/>
          <w:szCs w:val="28"/>
        </w:rPr>
        <w:t>.</w:t>
      </w:r>
      <w:r w:rsidRPr="00DF7224">
        <w:rPr>
          <w:rFonts w:ascii="Times New Roman" w:hAnsi="Times New Roman" w:cs="Times New Roman"/>
          <w:sz w:val="28"/>
          <w:szCs w:val="28"/>
        </w:rPr>
        <w:t xml:space="preserve"> Энергетика является приоритетным направлением работы ЕС, целью которой является создание внутреннего энергетического рынка с </w:t>
      </w:r>
      <w:r w:rsidRPr="00DF7224">
        <w:rPr>
          <w:rFonts w:ascii="Times New Roman" w:hAnsi="Times New Roman" w:cs="Times New Roman"/>
          <w:sz w:val="28"/>
          <w:szCs w:val="28"/>
        </w:rPr>
        <w:lastRenderedPageBreak/>
        <w:t>конкурентоспособными ценами, гарантия энергетической безопасности и стабильности поставок энергопродуктов, а также их безопасное производство. В Стратегии 2020 прописаны цели снижения на 20% относительно 1990 г. выбросов парниковых газов и у</w:t>
      </w:r>
      <w:r w:rsidR="000F201D" w:rsidRPr="00DF7224">
        <w:rPr>
          <w:rFonts w:ascii="Times New Roman" w:hAnsi="Times New Roman" w:cs="Times New Roman"/>
          <w:sz w:val="28"/>
          <w:szCs w:val="28"/>
        </w:rPr>
        <w:t>величение на 20% энергетической</w:t>
      </w:r>
      <w:r w:rsidRPr="00DF7224">
        <w:rPr>
          <w:rFonts w:ascii="Times New Roman" w:hAnsi="Times New Roman" w:cs="Times New Roman"/>
          <w:sz w:val="28"/>
          <w:szCs w:val="28"/>
        </w:rPr>
        <w:t xml:space="preserve"> эффективности. Кроме того, отмечается значение развития современной и единой инфраструктуры в сфере энергетики, что является необходимым условием для достижения Единого внутреннего рынка газа и электроэнергии.</w:t>
      </w:r>
    </w:p>
    <w:p w:rsidR="00266FE2" w:rsidRPr="00DF7224" w:rsidRDefault="002F62C5"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i/>
          <w:sz w:val="28"/>
          <w:szCs w:val="28"/>
        </w:rPr>
        <w:t>Промышленность</w:t>
      </w:r>
      <w:r w:rsidR="00266FE2" w:rsidRPr="00DF7224">
        <w:rPr>
          <w:rFonts w:ascii="Times New Roman" w:hAnsi="Times New Roman" w:cs="Times New Roman"/>
          <w:i/>
          <w:sz w:val="28"/>
          <w:szCs w:val="28"/>
        </w:rPr>
        <w:t>.</w:t>
      </w:r>
      <w:r w:rsidRPr="00DF7224">
        <w:rPr>
          <w:rFonts w:ascii="Times New Roman" w:hAnsi="Times New Roman" w:cs="Times New Roman"/>
          <w:sz w:val="28"/>
          <w:szCs w:val="28"/>
        </w:rPr>
        <w:t xml:space="preserve"> Целью промышленной политики ЕС является повышение ее конкурентоспособности и сохранение ее роли в росте экономик стран ЕС и занятости населения. С этой целью она интегрирована в прочие стратегии ЕС, в том числе, связанные с торговлей, инновационным развитием, занятостью, защитой окружающей среды и пр. Для достижения данных целей ЕС работает по таким направлениям, как ускорение адаптации промышленных производств к структурным изменениям, создание благоприятной среды для развития компаний и фирм, в том числе малых и средних предприятий, улучшение условия для бизнес-кооперации, способствование внедрению в промышленность инновационных и научно-технологических разработок. </w:t>
      </w:r>
    </w:p>
    <w:p w:rsidR="002F62C5" w:rsidRPr="00DF7224" w:rsidRDefault="000F201D"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Остальные 10</w:t>
      </w:r>
      <w:r w:rsidR="002F62C5" w:rsidRPr="00DF7224">
        <w:rPr>
          <w:rFonts w:ascii="Times New Roman" w:hAnsi="Times New Roman" w:cs="Times New Roman"/>
          <w:sz w:val="28"/>
          <w:szCs w:val="28"/>
        </w:rPr>
        <w:t xml:space="preserve"> стратегических направлений развития ЕС и взаимодействия стран-членов ЕС, являются следующие: </w:t>
      </w:r>
      <w:r w:rsidRPr="00DF7224">
        <w:rPr>
          <w:rFonts w:ascii="Times New Roman" w:hAnsi="Times New Roman" w:cs="Times New Roman"/>
          <w:sz w:val="28"/>
          <w:szCs w:val="28"/>
        </w:rPr>
        <w:t>Защита потребителей; Трансъевропейские сети; п</w:t>
      </w:r>
      <w:r w:rsidR="002F62C5" w:rsidRPr="00DF7224">
        <w:rPr>
          <w:rFonts w:ascii="Times New Roman" w:hAnsi="Times New Roman" w:cs="Times New Roman"/>
          <w:sz w:val="28"/>
          <w:szCs w:val="28"/>
        </w:rPr>
        <w:t>ространство свободы, безопасности и права; Вопросы контроля границ и иммиграции; Юридическое взаимодействие по гражданским вопросам; Юридическое взаимо</w:t>
      </w:r>
      <w:r w:rsidRPr="00DF7224">
        <w:rPr>
          <w:rFonts w:ascii="Times New Roman" w:hAnsi="Times New Roman" w:cs="Times New Roman"/>
          <w:sz w:val="28"/>
          <w:szCs w:val="28"/>
        </w:rPr>
        <w:t xml:space="preserve">действие по уголовным вопросам; </w:t>
      </w:r>
      <w:r w:rsidR="002F62C5" w:rsidRPr="00DF7224">
        <w:rPr>
          <w:rFonts w:ascii="Times New Roman" w:hAnsi="Times New Roman" w:cs="Times New Roman"/>
          <w:sz w:val="28"/>
          <w:szCs w:val="28"/>
        </w:rPr>
        <w:t>Защита и улучшение здоровья людей; Туризм; Культура; Образование, спорт, поддержка молодежи.</w:t>
      </w:r>
    </w:p>
    <w:p w:rsidR="00637FC1" w:rsidRPr="00DF7224" w:rsidRDefault="00637FC1" w:rsidP="00461892">
      <w:pPr>
        <w:spacing w:after="0" w:line="360" w:lineRule="auto"/>
        <w:ind w:firstLine="709"/>
        <w:jc w:val="both"/>
        <w:rPr>
          <w:rFonts w:ascii="Times New Roman" w:hAnsi="Times New Roman" w:cs="Times New Roman"/>
          <w:sz w:val="28"/>
          <w:szCs w:val="24"/>
        </w:rPr>
      </w:pPr>
      <w:r w:rsidRPr="00DF7224">
        <w:rPr>
          <w:rFonts w:ascii="Times New Roman" w:hAnsi="Times New Roman" w:cs="Times New Roman"/>
          <w:sz w:val="28"/>
          <w:szCs w:val="24"/>
          <w:shd w:val="clear" w:color="auto" w:fill="FFFFFF"/>
        </w:rPr>
        <w:t xml:space="preserve">Вступление в Европейский Союз принесло Испании существенные выгоды как в экономической, так и в политической областях. Таким образом, Испания получила гораздо большую возможность оказывать реальное </w:t>
      </w:r>
      <w:r w:rsidRPr="00DF7224">
        <w:rPr>
          <w:rFonts w:ascii="Times New Roman" w:hAnsi="Times New Roman" w:cs="Times New Roman"/>
          <w:sz w:val="28"/>
          <w:szCs w:val="24"/>
          <w:shd w:val="clear" w:color="auto" w:fill="FFFFFF"/>
        </w:rPr>
        <w:lastRenderedPageBreak/>
        <w:t xml:space="preserve">воздействие на ход международных дел. </w:t>
      </w:r>
      <w:r w:rsidRPr="00DF7224">
        <w:rPr>
          <w:rFonts w:ascii="Times New Roman" w:hAnsi="Times New Roman" w:cs="Times New Roman"/>
          <w:sz w:val="28"/>
          <w:szCs w:val="24"/>
        </w:rPr>
        <w:t>Положительное влияние политики на создание рабочих мест, образование, развитие бизнеса, модернизацию транспортных сетей, инвестиции в НИОКР и состояние окружающей среды. Эффективность политики гарантируется принципами координации властей всех уровней, софинансирования программ из союзного и национального бюджетов и концентрации средств в проблемных регионах.</w:t>
      </w:r>
      <w:r w:rsidR="00985B19" w:rsidRPr="00DF7224">
        <w:rPr>
          <w:rFonts w:ascii="Times New Roman" w:hAnsi="Times New Roman" w:cs="Times New Roman"/>
          <w:sz w:val="28"/>
          <w:szCs w:val="24"/>
        </w:rPr>
        <w:br w:type="page"/>
      </w:r>
    </w:p>
    <w:p w:rsidR="001B4563" w:rsidRPr="00DF7224" w:rsidRDefault="00590FAA" w:rsidP="00985B19">
      <w:pPr>
        <w:keepNext/>
        <w:keepLines/>
        <w:spacing w:line="360" w:lineRule="auto"/>
        <w:ind w:left="357"/>
        <w:contextualSpacing/>
        <w:jc w:val="center"/>
        <w:outlineLvl w:val="0"/>
        <w:rPr>
          <w:rFonts w:ascii="Times New Roman" w:eastAsiaTheme="majorEastAsia" w:hAnsi="Times New Roman" w:cs="Times New Roman"/>
          <w:bCs/>
          <w:sz w:val="28"/>
          <w:szCs w:val="28"/>
        </w:rPr>
      </w:pPr>
      <w:bookmarkStart w:id="10" w:name="_Toc10992398"/>
      <w:r w:rsidRPr="00DF7224">
        <w:rPr>
          <w:rFonts w:ascii="Times New Roman" w:eastAsiaTheme="majorEastAsia" w:hAnsi="Times New Roman" w:cs="Times New Roman"/>
          <w:bCs/>
          <w:sz w:val="28"/>
          <w:szCs w:val="28"/>
        </w:rPr>
        <w:lastRenderedPageBreak/>
        <w:t xml:space="preserve">ГЛАВА </w:t>
      </w:r>
      <w:r w:rsidR="001B4563" w:rsidRPr="00DF7224">
        <w:rPr>
          <w:rFonts w:ascii="Times New Roman" w:eastAsiaTheme="majorEastAsia" w:hAnsi="Times New Roman" w:cs="Times New Roman"/>
          <w:bCs/>
          <w:sz w:val="28"/>
          <w:szCs w:val="28"/>
        </w:rPr>
        <w:t>3. ВНЕШНЕТОРГОВЫЕ ОТНОШЕНИЯ</w:t>
      </w:r>
      <w:r w:rsidR="00C12C54" w:rsidRPr="00DF7224">
        <w:rPr>
          <w:rFonts w:ascii="Times New Roman" w:eastAsiaTheme="majorEastAsia" w:hAnsi="Times New Roman" w:cs="Times New Roman"/>
          <w:bCs/>
          <w:sz w:val="28"/>
          <w:szCs w:val="28"/>
        </w:rPr>
        <w:t xml:space="preserve"> </w:t>
      </w:r>
      <w:r w:rsidR="001B4563" w:rsidRPr="00DF7224">
        <w:rPr>
          <w:rFonts w:ascii="Times New Roman" w:eastAsiaTheme="majorEastAsia" w:hAnsi="Times New Roman" w:cs="Times New Roman"/>
          <w:bCs/>
          <w:sz w:val="28"/>
          <w:szCs w:val="28"/>
        </w:rPr>
        <w:t>ИСПАНИИ С РОССИЙСКОЙ ФЕДЕРАЦИЕЙ</w:t>
      </w:r>
      <w:bookmarkEnd w:id="10"/>
    </w:p>
    <w:p w:rsidR="00985B19" w:rsidRPr="00DF7224" w:rsidRDefault="00985B19" w:rsidP="00985B19">
      <w:pPr>
        <w:keepNext/>
        <w:keepLines/>
        <w:spacing w:line="360" w:lineRule="auto"/>
        <w:ind w:left="357"/>
        <w:contextualSpacing/>
        <w:jc w:val="center"/>
        <w:outlineLvl w:val="0"/>
        <w:rPr>
          <w:rFonts w:ascii="Times New Roman" w:eastAsiaTheme="majorEastAsia" w:hAnsi="Times New Roman" w:cs="Times New Roman"/>
          <w:bCs/>
          <w:sz w:val="28"/>
          <w:szCs w:val="28"/>
        </w:rPr>
      </w:pPr>
    </w:p>
    <w:p w:rsidR="001B4563" w:rsidRPr="00DF7224" w:rsidRDefault="007D04A0" w:rsidP="00985B19">
      <w:pPr>
        <w:keepNext/>
        <w:keepLines/>
        <w:spacing w:after="0" w:line="360" w:lineRule="auto"/>
        <w:ind w:firstLine="709"/>
        <w:outlineLvl w:val="0"/>
        <w:rPr>
          <w:rFonts w:ascii="Times New Roman" w:eastAsiaTheme="majorEastAsia" w:hAnsi="Times New Roman" w:cs="Times New Roman"/>
          <w:bCs/>
          <w:sz w:val="28"/>
          <w:szCs w:val="28"/>
        </w:rPr>
      </w:pPr>
      <w:bookmarkStart w:id="11" w:name="_Toc10992399"/>
      <w:r w:rsidRPr="00DF7224">
        <w:rPr>
          <w:rFonts w:ascii="Times New Roman" w:eastAsiaTheme="majorEastAsia" w:hAnsi="Times New Roman" w:cs="Times New Roman"/>
          <w:bCs/>
          <w:sz w:val="28"/>
          <w:szCs w:val="28"/>
        </w:rPr>
        <w:t>3.1</w:t>
      </w:r>
      <w:r w:rsidR="001B4563" w:rsidRPr="00DF7224">
        <w:rPr>
          <w:rFonts w:ascii="Times New Roman" w:eastAsiaTheme="majorEastAsia" w:hAnsi="Times New Roman" w:cs="Times New Roman"/>
          <w:bCs/>
          <w:sz w:val="28"/>
          <w:szCs w:val="28"/>
        </w:rPr>
        <w:t xml:space="preserve"> История развития отношений Испании с РФ</w:t>
      </w:r>
      <w:bookmarkEnd w:id="11"/>
    </w:p>
    <w:p w:rsidR="00985B19" w:rsidRPr="00DF7224" w:rsidRDefault="00985B19" w:rsidP="007E0CA0">
      <w:pPr>
        <w:keepNext/>
        <w:keepLines/>
        <w:spacing w:after="0" w:line="360" w:lineRule="auto"/>
        <w:ind w:firstLine="709"/>
        <w:outlineLvl w:val="0"/>
        <w:rPr>
          <w:rFonts w:ascii="Times New Roman" w:eastAsiaTheme="majorEastAsia" w:hAnsi="Times New Roman" w:cs="Times New Roman"/>
          <w:bCs/>
          <w:sz w:val="28"/>
          <w:szCs w:val="28"/>
        </w:rPr>
      </w:pP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Испанско-российские отношения имеют долгую историю. За много лет русско-испанских связей наблюдаются и периоды сближения, и периоды с трудностями и долгими перерывами в отношениях. Но, не смотря на какие-либо возникающие трудности, между Испанией и Российским государством никогда не было военных столкновений и серьезных разногласий. </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Начало регулярным политическим связям между Испанией и Россией было положено в декабре 1667 года, когда в Испанию прибыли члены российской дипломатической миссии во главе с царским стольником П.И. Потемкиным. Российское государство постепенно интегрировало в европейскую международную систему, развивая контакты и устанавливая официальные дипломатические отношения с Испанией. Серьезный шаг был сделан Петром I в 1722 году. Тогда Испания представлялась для России потенциальным союзником в складывавшемся в то время европейском "балансе сил". В свою очередь, и Испания, ущемленная Утрехтским миром, считала Россию своим естественным союзником. И уже в 1723 г. в Мадриде было открыто российское представительство, которое возглави</w:t>
      </w:r>
      <w:r w:rsidR="00985B19" w:rsidRPr="00DF7224">
        <w:rPr>
          <w:rFonts w:ascii="Times New Roman" w:hAnsi="Times New Roman" w:cs="Times New Roman"/>
          <w:sz w:val="28"/>
          <w:szCs w:val="28"/>
        </w:rPr>
        <w:t xml:space="preserve">л молодой князь С.Д. Голицын </w:t>
      </w:r>
      <w:r w:rsidR="00036017" w:rsidRPr="00DF7224">
        <w:rPr>
          <w:rFonts w:ascii="Times New Roman" w:hAnsi="Times New Roman" w:cs="Times New Roman"/>
          <w:sz w:val="28"/>
          <w:szCs w:val="28"/>
        </w:rPr>
        <w:t>[8</w:t>
      </w:r>
      <w:r w:rsidRPr="00DF7224">
        <w:rPr>
          <w:rFonts w:ascii="Times New Roman" w:hAnsi="Times New Roman" w:cs="Times New Roman"/>
          <w:sz w:val="28"/>
          <w:szCs w:val="28"/>
        </w:rPr>
        <w:t>]</w:t>
      </w:r>
      <w:r w:rsidR="00985B19" w:rsidRPr="00DF7224">
        <w:rPr>
          <w:rFonts w:ascii="Times New Roman" w:hAnsi="Times New Roman" w:cs="Times New Roman"/>
          <w:sz w:val="28"/>
          <w:szCs w:val="28"/>
        </w:rPr>
        <w:t>.</w:t>
      </w:r>
    </w:p>
    <w:p w:rsidR="001B4563" w:rsidRPr="00DF7224" w:rsidRDefault="001B4563" w:rsidP="008F7C19">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Вскоре, в отношениях между странами наступила длительная пауза, связанная расстановкой сил на политической арене Европы, не создававшая взаимной заинтересованности в поддержании связей. Но уже в конце восемнадцатого века была отмечена большая интенсивность взаимных контактов. Вторая половина 1811 - начало 1812 гг. знаменовали собой важный рубеж в русско-испанских отношениях. Оба государства сплотились для совместной борьбы с  Францией Наполеона. В 1812 г. был подписан </w:t>
      </w:r>
      <w:r w:rsidRPr="00DF7224">
        <w:rPr>
          <w:rFonts w:ascii="Times New Roman" w:hAnsi="Times New Roman" w:cs="Times New Roman"/>
          <w:sz w:val="28"/>
          <w:szCs w:val="28"/>
        </w:rPr>
        <w:lastRenderedPageBreak/>
        <w:t>русско-испанский союзный договор. Русско-испанские отношения этого периода заслуживают пристального внимания еще и потому, что они оставили глубокий след в сфере культуры, в истории общественной мысли, стимулируя взаимный интерес к проявлениям духовной жизни народов обеих стран.</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Итоги Венского конгресса</w:t>
      </w:r>
      <w:r w:rsidRPr="00DF7224">
        <w:rPr>
          <w:rFonts w:ascii="Times New Roman" w:hAnsi="Times New Roman" w:cs="Times New Roman"/>
          <w:sz w:val="28"/>
          <w:szCs w:val="28"/>
          <w:vertAlign w:val="superscript"/>
        </w:rPr>
        <w:footnoteReference w:id="5"/>
      </w:r>
      <w:r w:rsidRPr="00DF7224">
        <w:rPr>
          <w:rFonts w:ascii="Times New Roman" w:hAnsi="Times New Roman" w:cs="Times New Roman"/>
          <w:sz w:val="28"/>
          <w:szCs w:val="28"/>
        </w:rPr>
        <w:t xml:space="preserve"> практически устранили Испанию от активного участия в делах послевоенного устройства Европы. Поэтому интенсивные дипломатические и торговые отношения между Россией и Испанией в последующие годы сыграли важную роль в упрочении международных позиций Мадрида.</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В сентябре 1833 г. петербургский кабинет отказался признать право на престол за Изабеллой II</w:t>
      </w:r>
      <w:r w:rsidRPr="00DF7224">
        <w:rPr>
          <w:rFonts w:ascii="Times New Roman" w:hAnsi="Times New Roman" w:cs="Times New Roman"/>
          <w:sz w:val="28"/>
          <w:szCs w:val="28"/>
          <w:vertAlign w:val="superscript"/>
        </w:rPr>
        <w:footnoteReference w:id="6"/>
      </w:r>
      <w:r w:rsidRPr="00DF7224">
        <w:rPr>
          <w:rFonts w:ascii="Times New Roman" w:hAnsi="Times New Roman" w:cs="Times New Roman"/>
          <w:sz w:val="28"/>
          <w:szCs w:val="28"/>
        </w:rPr>
        <w:t>, и в дипломатических отношениях между Россией и Испанией наступила длительная, более чем двадцатилетняя, пауза.</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С середины девятнадцатого века торговые, культурные и иные контакты между двумя странами вновь активизировались, после того, как Российское государство признало</w:t>
      </w:r>
      <w:r w:rsidR="00985B19" w:rsidRPr="00DF7224">
        <w:rPr>
          <w:rFonts w:ascii="Times New Roman" w:hAnsi="Times New Roman" w:cs="Times New Roman"/>
          <w:sz w:val="28"/>
          <w:szCs w:val="28"/>
        </w:rPr>
        <w:t>,</w:t>
      </w:r>
      <w:r w:rsidRPr="00DF7224">
        <w:rPr>
          <w:rFonts w:ascii="Times New Roman" w:hAnsi="Times New Roman" w:cs="Times New Roman"/>
          <w:sz w:val="28"/>
          <w:szCs w:val="28"/>
        </w:rPr>
        <w:t xml:space="preserve"> и официально извинилась перед Королевой Испании. С назначением М.А.Голицына посланником в Испанию в 1856 году завершился процесс восстановления русско-испанских дипломатических отношений. </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 конце девятнадцатого века русско-испанские политические отношения отличались стабильностью и взаимным миролюбием. Россия и Испания неизменно соблюдали нейтралитет по отношению к конфликтам, в которые была вовлечена одна из сторон. В мае 1877 г. испанское правительство заявило о своем нейтралитете на период войны России с Турцией, 20 апреля 1898 г. была принята Декларация "О нейтралитете России по случаю войны между Испанией и США". Такой характер отношений </w:t>
      </w:r>
      <w:r w:rsidRPr="00DF7224">
        <w:rPr>
          <w:rFonts w:ascii="Times New Roman" w:hAnsi="Times New Roman" w:cs="Times New Roman"/>
          <w:sz w:val="28"/>
          <w:szCs w:val="28"/>
        </w:rPr>
        <w:lastRenderedPageBreak/>
        <w:t xml:space="preserve">благоприятно сказывался и на развитии торговых и культурных контактов. Подобная тенденция в русско-испанских отношениях сохранялась и в XX веке. Во время русско-японской войны 1904-1905 гг. Испания заявила о своем нейтралитете, несмотря на оказанное давление японских представителей в Мадриде. </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Дипломатические отношения между СССР и Испанией были установлены 28 июля 1933 г</w:t>
      </w:r>
      <w:r w:rsidR="00985B19" w:rsidRPr="00DF7224">
        <w:rPr>
          <w:rFonts w:ascii="Times New Roman" w:hAnsi="Times New Roman" w:cs="Times New Roman"/>
          <w:sz w:val="28"/>
          <w:szCs w:val="28"/>
        </w:rPr>
        <w:t>.</w:t>
      </w:r>
      <w:r w:rsidRPr="00DF7224">
        <w:rPr>
          <w:rFonts w:ascii="Times New Roman" w:hAnsi="Times New Roman" w:cs="Times New Roman"/>
          <w:sz w:val="28"/>
          <w:szCs w:val="28"/>
        </w:rPr>
        <w:t xml:space="preserve"> и прекращены в марте 1939 г</w:t>
      </w:r>
      <w:r w:rsidR="00985B19" w:rsidRPr="00DF7224">
        <w:rPr>
          <w:rFonts w:ascii="Times New Roman" w:hAnsi="Times New Roman" w:cs="Times New Roman"/>
          <w:sz w:val="28"/>
          <w:szCs w:val="28"/>
        </w:rPr>
        <w:t>.</w:t>
      </w:r>
      <w:r w:rsidRPr="00DF7224">
        <w:rPr>
          <w:rFonts w:ascii="Times New Roman" w:hAnsi="Times New Roman" w:cs="Times New Roman"/>
          <w:sz w:val="28"/>
          <w:szCs w:val="28"/>
        </w:rPr>
        <w:t xml:space="preserve"> в связи с гражданской войной в Испании и приходом к власти Франко.  Дипломатические отношения были восстановлены 9 февраля 1977 г. Даже во время длительной паузы в дипломатических отношениях между СССР и франкистской Испанией существовала взаимная потребность в контактах в сфере торговли и морских перевозок. В 1969 году в Мадриде было открыто представительство Черноморского морского пароходства и привело к подписанию 15 сентября 1972 г. в Париже советско-испанского межправительственного торгового соглашения, по условиям которого стороны предоставляли друг другу режим наибольшего благоприятствования. Смерть Франко и демонтаж институтов диктатуры открыли пу</w:t>
      </w:r>
      <w:r w:rsidR="00985B19" w:rsidRPr="00DF7224">
        <w:rPr>
          <w:rFonts w:ascii="Times New Roman" w:hAnsi="Times New Roman" w:cs="Times New Roman"/>
          <w:sz w:val="28"/>
          <w:szCs w:val="28"/>
        </w:rPr>
        <w:t xml:space="preserve">ть к налаживанию сотрудничества </w:t>
      </w:r>
      <w:r w:rsidRPr="00DF7224">
        <w:rPr>
          <w:rFonts w:ascii="Times New Roman" w:hAnsi="Times New Roman" w:cs="Times New Roman"/>
          <w:sz w:val="28"/>
          <w:szCs w:val="28"/>
        </w:rPr>
        <w:t>государств. После интенсивных двусторонних переговоров 9 февраля 1977 г. Советский Союз и Испания обменялись нотами об установле</w:t>
      </w:r>
      <w:r w:rsidR="00985B19" w:rsidRPr="00DF7224">
        <w:rPr>
          <w:rFonts w:ascii="Times New Roman" w:hAnsi="Times New Roman" w:cs="Times New Roman"/>
          <w:sz w:val="28"/>
          <w:szCs w:val="28"/>
        </w:rPr>
        <w:t xml:space="preserve">нии дипломатических отношений </w:t>
      </w:r>
      <w:r w:rsidR="006212CE" w:rsidRPr="00DF7224">
        <w:rPr>
          <w:rFonts w:ascii="Times New Roman" w:hAnsi="Times New Roman" w:cs="Times New Roman"/>
          <w:sz w:val="28"/>
          <w:szCs w:val="28"/>
        </w:rPr>
        <w:t>[9</w:t>
      </w:r>
      <w:r w:rsidRPr="00DF7224">
        <w:rPr>
          <w:rFonts w:ascii="Times New Roman" w:hAnsi="Times New Roman" w:cs="Times New Roman"/>
          <w:sz w:val="28"/>
          <w:szCs w:val="28"/>
        </w:rPr>
        <w:t>]</w:t>
      </w:r>
      <w:r w:rsidR="00985B19" w:rsidRPr="00DF7224">
        <w:rPr>
          <w:rFonts w:ascii="Times New Roman" w:hAnsi="Times New Roman" w:cs="Times New Roman"/>
          <w:sz w:val="28"/>
          <w:szCs w:val="28"/>
        </w:rPr>
        <w:t>.</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27 декабря 1991 года Испания официально заявила о признании России в качестве государства-преемника СССР. Главной правовой основой испано-российских отношений является Договор о дружбе и сотрудничестве, подписанный в Мадриде 12 апреля 1994 г. Первоначально имевший 10-летний срок действия, этот базовый документ впоследствии неоднократно продлевался по настоящее время. </w:t>
      </w:r>
    </w:p>
    <w:p w:rsidR="001B4563" w:rsidRPr="00DF7224" w:rsidRDefault="008F7C19"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С начала восемнадцатого века </w:t>
      </w:r>
      <w:r w:rsidR="001B4563" w:rsidRPr="00DF7224">
        <w:rPr>
          <w:rFonts w:ascii="Times New Roman" w:hAnsi="Times New Roman" w:cs="Times New Roman"/>
          <w:sz w:val="28"/>
          <w:szCs w:val="28"/>
        </w:rPr>
        <w:t xml:space="preserve">до самого конца двадцатого века российские представительства и посольства не имели в Испании </w:t>
      </w:r>
      <w:r w:rsidR="001B4563" w:rsidRPr="00DF7224">
        <w:rPr>
          <w:rFonts w:ascii="Times New Roman" w:hAnsi="Times New Roman" w:cs="Times New Roman"/>
          <w:sz w:val="28"/>
          <w:szCs w:val="28"/>
        </w:rPr>
        <w:lastRenderedPageBreak/>
        <w:t xml:space="preserve">собственного здания, довольствуясь арендуемыми помещениями. Лишь в 1991 году было открыто первое посольство России в Испании в Мадриде. В настоящее время Российская Федерация имеет генеральное консульство в Барселоне, в то время как Испания </w:t>
      </w:r>
      <w:r w:rsidR="00985B19" w:rsidRPr="00DF7224">
        <w:rPr>
          <w:rFonts w:ascii="Times New Roman" w:hAnsi="Times New Roman" w:cs="Times New Roman"/>
          <w:sz w:val="28"/>
          <w:szCs w:val="28"/>
        </w:rPr>
        <w:t>в</w:t>
      </w:r>
      <w:r w:rsidR="001B4563" w:rsidRPr="00DF7224">
        <w:rPr>
          <w:rFonts w:ascii="Times New Roman" w:hAnsi="Times New Roman" w:cs="Times New Roman"/>
          <w:sz w:val="28"/>
          <w:szCs w:val="28"/>
        </w:rPr>
        <w:t xml:space="preserve"> Стремянном переулке 31/1 имеет посольство в Москве.</w:t>
      </w:r>
    </w:p>
    <w:p w:rsidR="00985B19" w:rsidRPr="00DF7224" w:rsidRDefault="00985B19" w:rsidP="007E0CA0">
      <w:pPr>
        <w:spacing w:after="0" w:line="360" w:lineRule="auto"/>
        <w:ind w:firstLine="709"/>
        <w:jc w:val="both"/>
        <w:rPr>
          <w:rFonts w:ascii="Times New Roman" w:hAnsi="Times New Roman" w:cs="Times New Roman"/>
          <w:sz w:val="28"/>
          <w:szCs w:val="28"/>
        </w:rPr>
      </w:pPr>
    </w:p>
    <w:p w:rsidR="00985B19" w:rsidRPr="00DF7224" w:rsidRDefault="001B4563" w:rsidP="00985B19">
      <w:pPr>
        <w:keepNext/>
        <w:keepLines/>
        <w:spacing w:after="0" w:line="360" w:lineRule="auto"/>
        <w:ind w:firstLine="709"/>
        <w:outlineLvl w:val="0"/>
        <w:rPr>
          <w:rFonts w:ascii="Times New Roman" w:eastAsiaTheme="majorEastAsia" w:hAnsi="Times New Roman" w:cs="Times New Roman"/>
          <w:bCs/>
          <w:sz w:val="28"/>
          <w:szCs w:val="28"/>
        </w:rPr>
      </w:pPr>
      <w:bookmarkStart w:id="12" w:name="_Toc10992400"/>
      <w:r w:rsidRPr="00DF7224">
        <w:rPr>
          <w:rFonts w:ascii="Times New Roman" w:eastAsiaTheme="majorEastAsia" w:hAnsi="Times New Roman" w:cs="Times New Roman"/>
          <w:bCs/>
          <w:sz w:val="28"/>
          <w:szCs w:val="28"/>
        </w:rPr>
        <w:t>3.2 Современные экономические отношения Испании и РФ</w:t>
      </w:r>
      <w:bookmarkEnd w:id="12"/>
    </w:p>
    <w:p w:rsidR="00985B19" w:rsidRPr="00DF7224" w:rsidRDefault="00985B19" w:rsidP="00985B19">
      <w:pPr>
        <w:keepNext/>
        <w:keepLines/>
        <w:spacing w:after="0" w:line="360" w:lineRule="auto"/>
        <w:outlineLvl w:val="0"/>
        <w:rPr>
          <w:rFonts w:ascii="Times New Roman" w:eastAsiaTheme="majorEastAsia" w:hAnsi="Times New Roman" w:cs="Times New Roman"/>
          <w:bCs/>
          <w:sz w:val="28"/>
          <w:szCs w:val="28"/>
        </w:rPr>
      </w:pP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Вначале 2000-х российско-испанская торговля характеризовалась структурной стабильностью, что свидетельствовало о наличии сформировавшихся товарных потоков. Основной причиной опережающего роста российского экспорта являлось увеличение объема поставок в Испанию минерального топлива (нефти и нефтепродуктов), на которое в целом приходилось более 80% российского экспорта в Испанию. Около 10% составляла доля черных металлов, занимавших вторую позицию. На третьем месте находились цветные металлы (алюминий и никель) – порядка 2,5%. В свою очередь, российский импорт был гораздо более диверсифицированным. В первом десятилетии текущего века более 900 испанских промышленных и сельскохозяйственных компаний поставляли около 150 наименований продукции в Россию</w:t>
      </w:r>
      <w:r w:rsidR="006B24AE" w:rsidRPr="00DF7224">
        <w:rPr>
          <w:rFonts w:ascii="Times New Roman" w:hAnsi="Times New Roman" w:cs="Times New Roman"/>
          <w:sz w:val="28"/>
          <w:szCs w:val="28"/>
        </w:rPr>
        <w:t>: П</w:t>
      </w:r>
      <w:r w:rsidRPr="00DF7224">
        <w:rPr>
          <w:rFonts w:ascii="Times New Roman" w:hAnsi="Times New Roman" w:cs="Times New Roman"/>
          <w:sz w:val="28"/>
          <w:szCs w:val="28"/>
        </w:rPr>
        <w:t>родовольственные товары (мясные и молочные продукты, вино, растительное масло, овощи и фрукты и т.д.), машины и оборудование, транспортные средства, электроприборы, строительные материалы и керамические изделия, мебель и другие товары для дома, одежда и обувь, металлы и металлоизделия, химические продукты.</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 2008-2009 гг. российско-испанское сотрудничество отличалось динамичным ростом взаимного товарооборота. С 1995 по 2008 гг. объем торговли между двумя странами вырос в 7,4 раза и превысил 10 млрд евро. При этом российский экспорт стабильно превышал импорт, обеспечивая России положительное внешнеторговое сальдо. </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lastRenderedPageBreak/>
        <w:t>Несмотря на сравнительно высокую динамику двусторонней торговли, объем товарооборота далеко не отражал реальных хозяйственных возможностей двух стран. Это объяснялось ярко выраженной монотоварной (энергетической) составляющей российского экспорта и слабой ориентацией испанских экспортеров на товарных рынках РФ</w:t>
      </w:r>
      <w:r w:rsidR="006B24AE" w:rsidRPr="00DF7224">
        <w:rPr>
          <w:rFonts w:ascii="Times New Roman" w:hAnsi="Times New Roman" w:cs="Times New Roman"/>
          <w:sz w:val="28"/>
          <w:szCs w:val="28"/>
        </w:rPr>
        <w:t>.</w:t>
      </w:r>
      <w:r w:rsidRPr="00DF7224">
        <w:rPr>
          <w:rFonts w:ascii="Times New Roman" w:hAnsi="Times New Roman" w:cs="Times New Roman"/>
          <w:sz w:val="28"/>
          <w:szCs w:val="28"/>
        </w:rPr>
        <w:t xml:space="preserve"> </w:t>
      </w:r>
      <w:r w:rsidR="006B24AE" w:rsidRPr="00DF7224">
        <w:rPr>
          <w:rFonts w:ascii="Times New Roman" w:hAnsi="Times New Roman" w:cs="Times New Roman"/>
          <w:sz w:val="28"/>
          <w:szCs w:val="28"/>
        </w:rPr>
        <w:t xml:space="preserve">Испанские экспортеры с повышенной осторожностью </w:t>
      </w:r>
      <w:r w:rsidRPr="00DF7224">
        <w:rPr>
          <w:rFonts w:ascii="Times New Roman" w:hAnsi="Times New Roman" w:cs="Times New Roman"/>
          <w:sz w:val="28"/>
          <w:szCs w:val="28"/>
        </w:rPr>
        <w:t>прин</w:t>
      </w:r>
      <w:r w:rsidR="006B24AE" w:rsidRPr="00DF7224">
        <w:rPr>
          <w:rFonts w:ascii="Times New Roman" w:hAnsi="Times New Roman" w:cs="Times New Roman"/>
          <w:sz w:val="28"/>
          <w:szCs w:val="28"/>
        </w:rPr>
        <w:t>имали</w:t>
      </w:r>
      <w:r w:rsidRPr="00DF7224">
        <w:rPr>
          <w:rFonts w:ascii="Times New Roman" w:hAnsi="Times New Roman" w:cs="Times New Roman"/>
          <w:sz w:val="28"/>
          <w:szCs w:val="28"/>
        </w:rPr>
        <w:t xml:space="preserve"> решени</w:t>
      </w:r>
      <w:r w:rsidR="006B24AE" w:rsidRPr="00DF7224">
        <w:rPr>
          <w:rFonts w:ascii="Times New Roman" w:hAnsi="Times New Roman" w:cs="Times New Roman"/>
          <w:sz w:val="28"/>
          <w:szCs w:val="28"/>
        </w:rPr>
        <w:t>я</w:t>
      </w:r>
      <w:r w:rsidRPr="00DF7224">
        <w:rPr>
          <w:rFonts w:ascii="Times New Roman" w:hAnsi="Times New Roman" w:cs="Times New Roman"/>
          <w:sz w:val="28"/>
          <w:szCs w:val="28"/>
        </w:rPr>
        <w:t xml:space="preserve"> о выходе на российские регионы.</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Для того чтобы понять, схожи ли Испания и Россия, и какие имеются различия, рассмотрим </w:t>
      </w:r>
      <w:r w:rsidR="006B24AE" w:rsidRPr="00DF7224">
        <w:rPr>
          <w:rFonts w:ascii="Times New Roman" w:hAnsi="Times New Roman" w:cs="Times New Roman"/>
          <w:sz w:val="28"/>
          <w:szCs w:val="28"/>
        </w:rPr>
        <w:t>позиции стран в различных мировых рейтингах</w:t>
      </w:r>
      <w:r w:rsidRPr="00DF7224">
        <w:rPr>
          <w:rFonts w:ascii="Times New Roman" w:hAnsi="Times New Roman" w:cs="Times New Roman"/>
          <w:sz w:val="28"/>
          <w:szCs w:val="28"/>
        </w:rPr>
        <w:t xml:space="preserve"> </w:t>
      </w:r>
      <w:r w:rsidR="006B24AE" w:rsidRPr="00DF7224">
        <w:rPr>
          <w:rFonts w:ascii="Times New Roman" w:hAnsi="Times New Roman" w:cs="Times New Roman"/>
          <w:sz w:val="28"/>
          <w:szCs w:val="28"/>
        </w:rPr>
        <w:t>(Табл.</w:t>
      </w:r>
      <w:r w:rsidRPr="00DF7224">
        <w:rPr>
          <w:rFonts w:ascii="Times New Roman" w:hAnsi="Times New Roman" w:cs="Times New Roman"/>
          <w:sz w:val="28"/>
          <w:szCs w:val="28"/>
        </w:rPr>
        <w:t xml:space="preserve"> </w:t>
      </w:r>
      <w:r w:rsidR="00036017" w:rsidRPr="00DF7224">
        <w:rPr>
          <w:rFonts w:ascii="Times New Roman" w:hAnsi="Times New Roman" w:cs="Times New Roman"/>
          <w:sz w:val="28"/>
          <w:szCs w:val="28"/>
        </w:rPr>
        <w:t>3.</w:t>
      </w:r>
      <w:r w:rsidRPr="00DF7224">
        <w:rPr>
          <w:rFonts w:ascii="Times New Roman" w:hAnsi="Times New Roman" w:cs="Times New Roman"/>
          <w:sz w:val="28"/>
          <w:szCs w:val="28"/>
        </w:rPr>
        <w:t>1</w:t>
      </w:r>
      <w:r w:rsidR="006B24AE" w:rsidRPr="00DF7224">
        <w:rPr>
          <w:rFonts w:ascii="Times New Roman" w:hAnsi="Times New Roman" w:cs="Times New Roman"/>
          <w:sz w:val="28"/>
          <w:szCs w:val="28"/>
        </w:rPr>
        <w:t>)</w:t>
      </w:r>
      <w:r w:rsidRPr="00DF7224">
        <w:rPr>
          <w:rFonts w:ascii="Times New Roman" w:hAnsi="Times New Roman" w:cs="Times New Roman"/>
          <w:sz w:val="28"/>
          <w:szCs w:val="28"/>
        </w:rPr>
        <w:t>. Так, например, страны очень близки в рейтинге по уровню ВВП, уровню образования, в рейтинге Ведения бизнеса и в Индексе экономической сложности. Страны имеют и различия, например, в рейтинге по уровню ВНД на душу населения и в Индексе человеческого р</w:t>
      </w:r>
      <w:r w:rsidR="00A10D1E" w:rsidRPr="00DF7224">
        <w:rPr>
          <w:rFonts w:ascii="Times New Roman" w:hAnsi="Times New Roman" w:cs="Times New Roman"/>
          <w:sz w:val="28"/>
          <w:szCs w:val="28"/>
        </w:rPr>
        <w:t>азвития.</w:t>
      </w:r>
    </w:p>
    <w:p w:rsidR="000E4183" w:rsidRPr="00DF7224" w:rsidRDefault="000E4183" w:rsidP="007747C0">
      <w:pPr>
        <w:spacing w:after="0" w:line="360" w:lineRule="auto"/>
        <w:jc w:val="both"/>
        <w:rPr>
          <w:rFonts w:ascii="Times New Roman" w:hAnsi="Times New Roman" w:cs="Times New Roman"/>
          <w:sz w:val="28"/>
          <w:szCs w:val="28"/>
        </w:rPr>
      </w:pPr>
    </w:p>
    <w:p w:rsidR="001B4563" w:rsidRPr="00DF7224" w:rsidRDefault="00A2287E" w:rsidP="007E0CA0">
      <w:pPr>
        <w:spacing w:after="0" w:line="240" w:lineRule="auto"/>
        <w:ind w:firstLine="709"/>
        <w:rPr>
          <w:rFonts w:ascii="Times New Roman" w:hAnsi="Times New Roman" w:cs="Times New Roman"/>
          <w:sz w:val="28"/>
          <w:szCs w:val="28"/>
        </w:rPr>
      </w:pPr>
      <w:r w:rsidRPr="00DF7224">
        <w:rPr>
          <w:rFonts w:ascii="Times New Roman" w:hAnsi="Times New Roman" w:cs="Times New Roman"/>
          <w:sz w:val="28"/>
          <w:szCs w:val="28"/>
        </w:rPr>
        <w:t>Таблица 3.1</w:t>
      </w:r>
      <w:r w:rsidR="00C12C54" w:rsidRPr="00DF7224">
        <w:rPr>
          <w:rFonts w:ascii="Times New Roman" w:hAnsi="Times New Roman" w:cs="Times New Roman"/>
          <w:sz w:val="28"/>
          <w:szCs w:val="28"/>
        </w:rPr>
        <w:t xml:space="preserve"> - </w:t>
      </w:r>
      <w:r w:rsidR="001B4563" w:rsidRPr="00DF7224">
        <w:rPr>
          <w:rFonts w:ascii="Times New Roman" w:hAnsi="Times New Roman" w:cs="Times New Roman"/>
          <w:sz w:val="28"/>
          <w:szCs w:val="28"/>
        </w:rPr>
        <w:t>Места в рейтинг</w:t>
      </w:r>
      <w:r w:rsidRPr="00DF7224">
        <w:rPr>
          <w:rFonts w:ascii="Times New Roman" w:hAnsi="Times New Roman" w:cs="Times New Roman"/>
          <w:sz w:val="28"/>
          <w:szCs w:val="28"/>
        </w:rPr>
        <w:t>ах Испании и России в 2018 году</w:t>
      </w:r>
    </w:p>
    <w:p w:rsidR="006B24AE" w:rsidRPr="00DF7224" w:rsidRDefault="006B24AE" w:rsidP="007E0CA0">
      <w:pPr>
        <w:spacing w:after="0" w:line="240" w:lineRule="auto"/>
        <w:ind w:firstLine="709"/>
        <w:rPr>
          <w:rFonts w:ascii="Times New Roman" w:hAnsi="Times New Roman" w:cs="Times New Roman"/>
          <w:sz w:val="28"/>
          <w:szCs w:val="28"/>
        </w:rPr>
      </w:pPr>
    </w:p>
    <w:tbl>
      <w:tblPr>
        <w:tblStyle w:val="ab"/>
        <w:tblW w:w="0" w:type="auto"/>
        <w:tblInd w:w="0" w:type="dxa"/>
        <w:tblLook w:val="04A0" w:firstRow="1" w:lastRow="0" w:firstColumn="1" w:lastColumn="0" w:noHBand="0" w:noVBand="1"/>
      </w:tblPr>
      <w:tblGrid>
        <w:gridCol w:w="6779"/>
        <w:gridCol w:w="1099"/>
        <w:gridCol w:w="922"/>
      </w:tblGrid>
      <w:tr w:rsidR="001B4563" w:rsidRPr="00DF7224" w:rsidTr="001B4563">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Рейтинг, 2018 год</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Испания</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Россия</w:t>
            </w:r>
          </w:p>
        </w:tc>
      </w:tr>
      <w:tr w:rsidR="001B4563" w:rsidRPr="00DF7224" w:rsidTr="001B4563">
        <w:tc>
          <w:tcPr>
            <w:tcW w:w="0" w:type="auto"/>
          </w:tcPr>
          <w:p w:rsidR="001B4563" w:rsidRPr="00DF7224" w:rsidRDefault="001B4563" w:rsidP="007E0CA0">
            <w:pPr>
              <w:spacing w:line="360" w:lineRule="auto"/>
              <w:jc w:val="both"/>
              <w:rPr>
                <w:rFonts w:ascii="Times New Roman" w:hAnsi="Times New Roman" w:cs="Times New Roman"/>
                <w:sz w:val="24"/>
                <w:szCs w:val="28"/>
              </w:rPr>
            </w:pPr>
            <w:r w:rsidRPr="00DF7224">
              <w:rPr>
                <w:rFonts w:ascii="Times New Roman" w:hAnsi="Times New Roman" w:cs="Times New Roman"/>
                <w:sz w:val="24"/>
                <w:szCs w:val="28"/>
              </w:rPr>
              <w:t>По уровню валового внутреннего продукта</w:t>
            </w:r>
            <w:r w:rsidRPr="00DF7224">
              <w:rPr>
                <w:rFonts w:ascii="Times New Roman" w:hAnsi="Times New Roman" w:cs="Times New Roman"/>
                <w:sz w:val="24"/>
                <w:szCs w:val="28"/>
                <w:vertAlign w:val="superscript"/>
              </w:rPr>
              <w:footnoteReference w:id="7"/>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14</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11</w:t>
            </w:r>
          </w:p>
        </w:tc>
      </w:tr>
      <w:tr w:rsidR="001B4563" w:rsidRPr="00DF7224" w:rsidTr="001B4563">
        <w:tc>
          <w:tcPr>
            <w:tcW w:w="0" w:type="auto"/>
          </w:tcPr>
          <w:p w:rsidR="001B4563" w:rsidRPr="00DF7224" w:rsidRDefault="001B4563" w:rsidP="007E0CA0">
            <w:pPr>
              <w:spacing w:line="360" w:lineRule="auto"/>
              <w:jc w:val="both"/>
              <w:rPr>
                <w:rFonts w:ascii="Times New Roman" w:hAnsi="Times New Roman" w:cs="Times New Roman"/>
                <w:sz w:val="24"/>
                <w:szCs w:val="28"/>
              </w:rPr>
            </w:pPr>
            <w:r w:rsidRPr="00DF7224">
              <w:rPr>
                <w:rFonts w:ascii="Times New Roman" w:hAnsi="Times New Roman" w:cs="Times New Roman"/>
                <w:sz w:val="24"/>
                <w:szCs w:val="28"/>
              </w:rPr>
              <w:t>По уровню валового национального дохода на душу населения</w:t>
            </w:r>
            <w:r w:rsidRPr="00DF7224">
              <w:rPr>
                <w:rFonts w:ascii="Times New Roman" w:hAnsi="Times New Roman" w:cs="Times New Roman"/>
                <w:sz w:val="24"/>
                <w:szCs w:val="28"/>
                <w:vertAlign w:val="superscript"/>
              </w:rPr>
              <w:footnoteReference w:id="8"/>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35</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67</w:t>
            </w:r>
          </w:p>
        </w:tc>
      </w:tr>
      <w:tr w:rsidR="001B4563" w:rsidRPr="00DF7224" w:rsidTr="001B4563">
        <w:tc>
          <w:tcPr>
            <w:tcW w:w="0" w:type="auto"/>
          </w:tcPr>
          <w:p w:rsidR="001B4563" w:rsidRPr="00DF7224" w:rsidRDefault="001B4563" w:rsidP="007E0CA0">
            <w:pPr>
              <w:spacing w:line="360" w:lineRule="auto"/>
              <w:jc w:val="both"/>
              <w:rPr>
                <w:rFonts w:ascii="Times New Roman" w:hAnsi="Times New Roman" w:cs="Times New Roman"/>
                <w:sz w:val="24"/>
                <w:szCs w:val="28"/>
              </w:rPr>
            </w:pPr>
            <w:r w:rsidRPr="00DF7224">
              <w:rPr>
                <w:rFonts w:ascii="Times New Roman" w:hAnsi="Times New Roman" w:cs="Times New Roman"/>
                <w:sz w:val="24"/>
                <w:szCs w:val="28"/>
              </w:rPr>
              <w:t>Индекс человеческого развития</w:t>
            </w:r>
            <w:r w:rsidRPr="00DF7224">
              <w:rPr>
                <w:rFonts w:ascii="Times New Roman" w:hAnsi="Times New Roman" w:cs="Times New Roman"/>
                <w:sz w:val="24"/>
                <w:szCs w:val="28"/>
                <w:vertAlign w:val="superscript"/>
              </w:rPr>
              <w:footnoteReference w:id="9"/>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26</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49</w:t>
            </w:r>
          </w:p>
        </w:tc>
      </w:tr>
      <w:tr w:rsidR="001B4563" w:rsidRPr="00DF7224" w:rsidTr="001B4563">
        <w:tc>
          <w:tcPr>
            <w:tcW w:w="0" w:type="auto"/>
          </w:tcPr>
          <w:p w:rsidR="001B4563" w:rsidRPr="00DF7224" w:rsidRDefault="001B4563" w:rsidP="007E0CA0">
            <w:pPr>
              <w:spacing w:line="360" w:lineRule="auto"/>
              <w:jc w:val="both"/>
              <w:rPr>
                <w:rFonts w:ascii="Times New Roman" w:hAnsi="Times New Roman" w:cs="Times New Roman"/>
                <w:sz w:val="24"/>
                <w:szCs w:val="28"/>
              </w:rPr>
            </w:pPr>
            <w:r w:rsidRPr="00DF7224">
              <w:rPr>
                <w:rFonts w:ascii="Times New Roman" w:hAnsi="Times New Roman" w:cs="Times New Roman"/>
                <w:sz w:val="24"/>
                <w:szCs w:val="28"/>
              </w:rPr>
              <w:t>По уровню образования</w:t>
            </w:r>
            <w:r w:rsidRPr="00DF7224">
              <w:rPr>
                <w:rFonts w:ascii="Times New Roman" w:hAnsi="Times New Roman" w:cs="Times New Roman"/>
                <w:sz w:val="24"/>
                <w:szCs w:val="28"/>
                <w:vertAlign w:val="superscript"/>
              </w:rPr>
              <w:footnoteReference w:id="10"/>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36</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32</w:t>
            </w:r>
          </w:p>
        </w:tc>
      </w:tr>
      <w:tr w:rsidR="001B4563" w:rsidRPr="00DF7224" w:rsidTr="001B4563">
        <w:tc>
          <w:tcPr>
            <w:tcW w:w="0" w:type="auto"/>
          </w:tcPr>
          <w:p w:rsidR="001B4563" w:rsidRPr="00DF7224" w:rsidRDefault="001B4563" w:rsidP="007E0CA0">
            <w:pPr>
              <w:spacing w:line="360" w:lineRule="auto"/>
              <w:jc w:val="both"/>
              <w:rPr>
                <w:rFonts w:ascii="Times New Roman" w:hAnsi="Times New Roman" w:cs="Times New Roman"/>
                <w:sz w:val="24"/>
                <w:szCs w:val="28"/>
              </w:rPr>
            </w:pPr>
            <w:r w:rsidRPr="00DF7224">
              <w:rPr>
                <w:rFonts w:ascii="Times New Roman" w:hAnsi="Times New Roman" w:cs="Times New Roman"/>
                <w:sz w:val="24"/>
                <w:szCs w:val="28"/>
              </w:rPr>
              <w:t>Глобальной конкурентоспособности</w:t>
            </w:r>
            <w:r w:rsidRPr="00DF7224">
              <w:rPr>
                <w:rFonts w:ascii="Times New Roman" w:hAnsi="Times New Roman" w:cs="Times New Roman"/>
                <w:sz w:val="24"/>
                <w:szCs w:val="28"/>
                <w:vertAlign w:val="superscript"/>
              </w:rPr>
              <w:footnoteReference w:id="11"/>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26</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43</w:t>
            </w:r>
          </w:p>
        </w:tc>
      </w:tr>
      <w:tr w:rsidR="001B4563" w:rsidRPr="00DF7224" w:rsidTr="001B4563">
        <w:tc>
          <w:tcPr>
            <w:tcW w:w="0" w:type="auto"/>
          </w:tcPr>
          <w:p w:rsidR="001B4563" w:rsidRPr="00DF7224" w:rsidRDefault="001B4563" w:rsidP="007E0CA0">
            <w:pPr>
              <w:spacing w:line="360" w:lineRule="auto"/>
              <w:jc w:val="both"/>
              <w:rPr>
                <w:rFonts w:ascii="Times New Roman" w:hAnsi="Times New Roman" w:cs="Times New Roman"/>
                <w:sz w:val="24"/>
                <w:szCs w:val="28"/>
              </w:rPr>
            </w:pPr>
            <w:r w:rsidRPr="00DF7224">
              <w:rPr>
                <w:rFonts w:ascii="Times New Roman" w:hAnsi="Times New Roman" w:cs="Times New Roman"/>
                <w:sz w:val="24"/>
                <w:szCs w:val="28"/>
              </w:rPr>
              <w:t>Ведения бизнеса</w:t>
            </w:r>
            <w:r w:rsidRPr="00DF7224">
              <w:rPr>
                <w:rFonts w:ascii="Times New Roman" w:hAnsi="Times New Roman" w:cs="Times New Roman"/>
                <w:sz w:val="24"/>
                <w:szCs w:val="28"/>
                <w:vertAlign w:val="superscript"/>
              </w:rPr>
              <w:footnoteReference w:id="12"/>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30</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31</w:t>
            </w:r>
          </w:p>
        </w:tc>
      </w:tr>
      <w:tr w:rsidR="001B4563" w:rsidRPr="00DF7224" w:rsidTr="001B4563">
        <w:tc>
          <w:tcPr>
            <w:tcW w:w="0" w:type="auto"/>
          </w:tcPr>
          <w:p w:rsidR="001B4563" w:rsidRPr="00DF7224" w:rsidRDefault="001B4563" w:rsidP="007E0CA0">
            <w:pPr>
              <w:spacing w:line="360" w:lineRule="auto"/>
              <w:jc w:val="both"/>
              <w:rPr>
                <w:rFonts w:ascii="Times New Roman" w:hAnsi="Times New Roman" w:cs="Times New Roman"/>
                <w:sz w:val="24"/>
                <w:szCs w:val="28"/>
              </w:rPr>
            </w:pPr>
            <w:r w:rsidRPr="00DF7224">
              <w:rPr>
                <w:rFonts w:ascii="Times New Roman" w:hAnsi="Times New Roman" w:cs="Times New Roman"/>
                <w:sz w:val="24"/>
                <w:szCs w:val="28"/>
              </w:rPr>
              <w:t>Индекс экономической сложности</w:t>
            </w:r>
            <w:r w:rsidRPr="00DF7224">
              <w:rPr>
                <w:rFonts w:ascii="Times New Roman" w:hAnsi="Times New Roman" w:cs="Times New Roman"/>
                <w:sz w:val="24"/>
                <w:szCs w:val="28"/>
                <w:vertAlign w:val="superscript"/>
              </w:rPr>
              <w:footnoteReference w:id="13"/>
            </w:r>
            <w:r w:rsidRPr="00DF7224">
              <w:rPr>
                <w:rFonts w:ascii="Times New Roman" w:hAnsi="Times New Roman" w:cs="Times New Roman"/>
                <w:sz w:val="24"/>
                <w:szCs w:val="28"/>
              </w:rPr>
              <w:t>(2017год)</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28</w:t>
            </w:r>
          </w:p>
        </w:tc>
        <w:tc>
          <w:tcPr>
            <w:tcW w:w="0" w:type="auto"/>
            <w:vAlign w:val="center"/>
          </w:tcPr>
          <w:p w:rsidR="001B4563" w:rsidRPr="00DF7224" w:rsidRDefault="001B4563" w:rsidP="007E0CA0">
            <w:pPr>
              <w:spacing w:line="360" w:lineRule="auto"/>
              <w:jc w:val="center"/>
              <w:rPr>
                <w:rFonts w:ascii="Times New Roman" w:hAnsi="Times New Roman" w:cs="Times New Roman"/>
                <w:sz w:val="24"/>
                <w:szCs w:val="28"/>
              </w:rPr>
            </w:pPr>
            <w:r w:rsidRPr="00DF7224">
              <w:rPr>
                <w:rFonts w:ascii="Times New Roman" w:hAnsi="Times New Roman" w:cs="Times New Roman"/>
                <w:sz w:val="24"/>
                <w:szCs w:val="28"/>
              </w:rPr>
              <w:t>27</w:t>
            </w:r>
          </w:p>
        </w:tc>
      </w:tr>
    </w:tbl>
    <w:p w:rsidR="001B4563" w:rsidRPr="00DF7224" w:rsidRDefault="001B4563" w:rsidP="006B24AE">
      <w:pPr>
        <w:spacing w:after="0" w:line="240" w:lineRule="auto"/>
        <w:ind w:firstLine="709"/>
        <w:rPr>
          <w:rFonts w:ascii="Times New Roman" w:hAnsi="Times New Roman" w:cs="Times New Roman"/>
          <w:sz w:val="20"/>
          <w:szCs w:val="28"/>
        </w:rPr>
      </w:pPr>
      <w:r w:rsidRPr="00DF7224">
        <w:rPr>
          <w:rFonts w:ascii="Times New Roman" w:hAnsi="Times New Roman" w:cs="Times New Roman"/>
          <w:i/>
          <w:sz w:val="20"/>
          <w:szCs w:val="28"/>
        </w:rPr>
        <w:t>Источник:</w:t>
      </w:r>
      <w:r w:rsidRPr="00DF7224">
        <w:rPr>
          <w:rFonts w:ascii="Times New Roman" w:hAnsi="Times New Roman" w:cs="Times New Roman"/>
          <w:sz w:val="20"/>
          <w:szCs w:val="28"/>
        </w:rPr>
        <w:t xml:space="preserve"> составлено автор</w:t>
      </w:r>
      <w:r w:rsidR="00A10D1E" w:rsidRPr="00DF7224">
        <w:rPr>
          <w:rFonts w:ascii="Times New Roman" w:hAnsi="Times New Roman" w:cs="Times New Roman"/>
          <w:sz w:val="20"/>
          <w:szCs w:val="28"/>
        </w:rPr>
        <w:t>ом по данным мировых рейтингов.</w:t>
      </w:r>
    </w:p>
    <w:p w:rsidR="006B24AE" w:rsidRPr="00DF7224" w:rsidRDefault="006B24AE" w:rsidP="007E0CA0">
      <w:pPr>
        <w:spacing w:after="0" w:line="240" w:lineRule="auto"/>
        <w:rPr>
          <w:rFonts w:ascii="Times New Roman" w:hAnsi="Times New Roman" w:cs="Times New Roman"/>
          <w:szCs w:val="28"/>
        </w:rPr>
      </w:pP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Испания всегда выступала за дружественные отношения с Россией, но российское вторжение на Крымский полуостров прервало практически все </w:t>
      </w:r>
      <w:r w:rsidRPr="00DF7224">
        <w:rPr>
          <w:rFonts w:ascii="Times New Roman" w:hAnsi="Times New Roman" w:cs="Times New Roman"/>
          <w:sz w:val="28"/>
          <w:szCs w:val="28"/>
        </w:rPr>
        <w:lastRenderedPageBreak/>
        <w:t xml:space="preserve">связи между Москвой и ЕС, в том числе и связи с Испанией. С 2014 по декабрь 2017 года было введено порядка 20 санкций. В настоящее время разрядка напряженности идет в обоих направлениях. Испания, которая никогда не была ярой сторонницей введения санкций ЕС в отношении России, сейчас с особой силой выступает за их отмену при условии выполнения Минских договоренностей. Война санкций между ЕС и Россией, несомненно, нанесла большой ущерб испанской экономике и испанско-российским отношения в целом. </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Испания – одна из стран, в наибольшей степени пострадавших от санкций. Экспорт в Россию концентрировался в большой степени на секторах, которые были затронуты ответными российскими мерами. В 2015 г. такие товары, как фрукты, овощи, рыба, мясо и молочные продукты почти полностью перестали импортироваться в Россию. Импорт машин и оборудования снизился на 24%, автомобилей – на 58%, фармацевтической продукции – на 65%. Существует и положительный момент наличия санкций – возможность развивать сотрудничество в иных отраслях, не подпадающих под ограничения. Небольшой рост двусторонней торговли после трех лет падения объясняется адаптацией бизнеса к политическим условиям. Из наиболее крупных проектов выделяется сотрудничество Группы «Черкизово» и Grupo Fuertes, контракт на поставку СПГ между НОВАТЭКом и Gas Natural Fenosa, а также партнерство «Газпром нефти» и Repsol. Также, в российско-испанских отношениях наблюдается макроэкономическое явление, известное как отклонение торговли: переориентация экспорта и импорта партнеров на другие международные рынки, что сыграло определенную роль в уменьшении товарооборота между стран.</w:t>
      </w:r>
    </w:p>
    <w:p w:rsidR="00A10D1E"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На рисунках </w:t>
      </w:r>
      <w:r w:rsidR="00001C70" w:rsidRPr="00DF7224">
        <w:rPr>
          <w:rFonts w:ascii="Times New Roman" w:hAnsi="Times New Roman" w:cs="Times New Roman"/>
          <w:sz w:val="28"/>
          <w:szCs w:val="28"/>
        </w:rPr>
        <w:t>3.</w:t>
      </w:r>
      <w:r w:rsidRPr="00DF7224">
        <w:rPr>
          <w:rFonts w:ascii="Times New Roman" w:hAnsi="Times New Roman" w:cs="Times New Roman"/>
          <w:sz w:val="28"/>
          <w:szCs w:val="28"/>
        </w:rPr>
        <w:t xml:space="preserve">1 и </w:t>
      </w:r>
      <w:r w:rsidR="00001C70" w:rsidRPr="00DF7224">
        <w:rPr>
          <w:rFonts w:ascii="Times New Roman" w:hAnsi="Times New Roman" w:cs="Times New Roman"/>
          <w:sz w:val="28"/>
          <w:szCs w:val="28"/>
        </w:rPr>
        <w:t>3.</w:t>
      </w:r>
      <w:r w:rsidRPr="00DF7224">
        <w:rPr>
          <w:rFonts w:ascii="Times New Roman" w:hAnsi="Times New Roman" w:cs="Times New Roman"/>
          <w:sz w:val="28"/>
          <w:szCs w:val="28"/>
        </w:rPr>
        <w:t xml:space="preserve">2 рассмотрим более подробно </w:t>
      </w:r>
      <w:r w:rsidR="00001C70" w:rsidRPr="00DF7224">
        <w:rPr>
          <w:rFonts w:ascii="Times New Roman" w:hAnsi="Times New Roman" w:cs="Times New Roman"/>
          <w:sz w:val="28"/>
          <w:szCs w:val="28"/>
        </w:rPr>
        <w:t xml:space="preserve">динамику </w:t>
      </w:r>
      <w:r w:rsidRPr="00DF7224">
        <w:rPr>
          <w:rFonts w:ascii="Times New Roman" w:hAnsi="Times New Roman" w:cs="Times New Roman"/>
          <w:sz w:val="28"/>
          <w:szCs w:val="28"/>
        </w:rPr>
        <w:t>импорт</w:t>
      </w:r>
      <w:r w:rsidR="00001C70" w:rsidRPr="00DF7224">
        <w:rPr>
          <w:rFonts w:ascii="Times New Roman" w:hAnsi="Times New Roman" w:cs="Times New Roman"/>
          <w:sz w:val="28"/>
          <w:szCs w:val="28"/>
        </w:rPr>
        <w:t>а</w:t>
      </w:r>
      <w:r w:rsidRPr="00DF7224">
        <w:rPr>
          <w:rFonts w:ascii="Times New Roman" w:hAnsi="Times New Roman" w:cs="Times New Roman"/>
          <w:sz w:val="28"/>
          <w:szCs w:val="28"/>
        </w:rPr>
        <w:t xml:space="preserve"> и экспорт</w:t>
      </w:r>
      <w:r w:rsidR="00001C70" w:rsidRPr="00DF7224">
        <w:rPr>
          <w:rFonts w:ascii="Times New Roman" w:hAnsi="Times New Roman" w:cs="Times New Roman"/>
          <w:sz w:val="28"/>
          <w:szCs w:val="28"/>
        </w:rPr>
        <w:t>а</w:t>
      </w:r>
      <w:r w:rsidRPr="00DF7224">
        <w:rPr>
          <w:rFonts w:ascii="Times New Roman" w:hAnsi="Times New Roman" w:cs="Times New Roman"/>
          <w:sz w:val="28"/>
          <w:szCs w:val="28"/>
        </w:rPr>
        <w:t xml:space="preserve"> Испании за 10 лет с 2009 год по 2018 год. После кризиса 2008-2009 годов видно, как и импорт и экспорт имеют тенденцию к увеличению до 2012 г. После 2012 наблюдается небольшой спад товарооборота между странами. </w:t>
      </w:r>
      <w:r w:rsidRPr="00DF7224">
        <w:rPr>
          <w:rFonts w:ascii="Times New Roman" w:hAnsi="Times New Roman" w:cs="Times New Roman"/>
          <w:sz w:val="28"/>
          <w:szCs w:val="28"/>
        </w:rPr>
        <w:lastRenderedPageBreak/>
        <w:t xml:space="preserve">На Рисунке 1 в 2014 году наблюдается резкое снижение объема импорта российской продукции в Испанию. А в 2015 импорт сократился практически в два раза. В последующий период до 2018 г. объем поставок в Испанию из России остается практически неизменным - около 3100 млн. евро за год. Экспорт же, напротив, с 2015 года имеет тенденцию к увеличению и, как показано на рисунке </w:t>
      </w:r>
      <w:r w:rsidR="00001C70" w:rsidRPr="00DF7224">
        <w:rPr>
          <w:rFonts w:ascii="Times New Roman" w:hAnsi="Times New Roman" w:cs="Times New Roman"/>
          <w:sz w:val="28"/>
          <w:szCs w:val="28"/>
        </w:rPr>
        <w:t>3.</w:t>
      </w:r>
      <w:r w:rsidRPr="00DF7224">
        <w:rPr>
          <w:rFonts w:ascii="Times New Roman" w:hAnsi="Times New Roman" w:cs="Times New Roman"/>
          <w:sz w:val="28"/>
          <w:szCs w:val="28"/>
        </w:rPr>
        <w:t>2, в 2018 году составил около 2000 млн. евро. Можно утверждать, что из-за ведения санкций Европейским союзом экспорт Испании менее изменился, чем импорт.</w:t>
      </w:r>
      <w:r w:rsidRPr="00DF7224">
        <w:rPr>
          <w:rFonts w:ascii="Times New Roman" w:hAnsi="Times New Roman" w:cs="Times New Roman"/>
          <w:sz w:val="28"/>
          <w:szCs w:val="28"/>
        </w:rPr>
        <w:tab/>
      </w:r>
    </w:p>
    <w:p w:rsidR="001B4563" w:rsidRPr="00DF7224" w:rsidRDefault="001B4563"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noProof/>
          <w:sz w:val="28"/>
          <w:szCs w:val="28"/>
          <w:lang w:eastAsia="ru-RU"/>
        </w:rPr>
        <w:drawing>
          <wp:inline distT="0" distB="0" distL="0" distR="0" wp14:anchorId="57890FC0" wp14:editId="402E10CB">
            <wp:extent cx="5450774" cy="2565070"/>
            <wp:effectExtent l="0" t="0" r="17145" b="2603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B24AE" w:rsidRPr="00DF7224" w:rsidRDefault="006B24AE" w:rsidP="007E0CA0">
      <w:pPr>
        <w:spacing w:after="0" w:line="240" w:lineRule="auto"/>
        <w:jc w:val="center"/>
        <w:rPr>
          <w:rFonts w:ascii="Times New Roman" w:hAnsi="Times New Roman" w:cs="Times New Roman"/>
          <w:sz w:val="28"/>
          <w:szCs w:val="28"/>
        </w:rPr>
      </w:pPr>
    </w:p>
    <w:p w:rsidR="001B4563" w:rsidRPr="00DF7224" w:rsidRDefault="00A2287E" w:rsidP="007E0CA0">
      <w:pPr>
        <w:spacing w:after="0" w:line="240" w:lineRule="auto"/>
        <w:ind w:firstLine="709"/>
        <w:jc w:val="center"/>
        <w:rPr>
          <w:rFonts w:ascii="Times New Roman" w:hAnsi="Times New Roman" w:cs="Times New Roman"/>
          <w:sz w:val="28"/>
          <w:szCs w:val="28"/>
        </w:rPr>
      </w:pPr>
      <w:r w:rsidRPr="00DF7224">
        <w:rPr>
          <w:rFonts w:ascii="Times New Roman" w:hAnsi="Times New Roman" w:cs="Times New Roman"/>
          <w:sz w:val="28"/>
          <w:szCs w:val="28"/>
        </w:rPr>
        <w:t>Рисунок 3</w:t>
      </w:r>
      <w:r w:rsidR="008B4C4C" w:rsidRPr="00DF7224">
        <w:rPr>
          <w:rFonts w:ascii="Times New Roman" w:hAnsi="Times New Roman" w:cs="Times New Roman"/>
          <w:sz w:val="28"/>
          <w:szCs w:val="28"/>
        </w:rPr>
        <w:t>.1</w:t>
      </w:r>
      <w:r w:rsidR="001B4563" w:rsidRPr="00DF7224">
        <w:rPr>
          <w:rFonts w:ascii="Times New Roman" w:hAnsi="Times New Roman" w:cs="Times New Roman"/>
          <w:sz w:val="28"/>
          <w:szCs w:val="28"/>
        </w:rPr>
        <w:t xml:space="preserve"> – Динамика импорт</w:t>
      </w:r>
      <w:r w:rsidR="00F515AF" w:rsidRPr="00DF7224">
        <w:rPr>
          <w:rFonts w:ascii="Times New Roman" w:hAnsi="Times New Roman" w:cs="Times New Roman"/>
          <w:sz w:val="28"/>
          <w:szCs w:val="28"/>
        </w:rPr>
        <w:t>а</w:t>
      </w:r>
      <w:r w:rsidR="001B4563" w:rsidRPr="00DF7224">
        <w:rPr>
          <w:rFonts w:ascii="Times New Roman" w:hAnsi="Times New Roman" w:cs="Times New Roman"/>
          <w:sz w:val="28"/>
          <w:szCs w:val="28"/>
        </w:rPr>
        <w:t xml:space="preserve"> Испании из РФ в 2009-201</w:t>
      </w:r>
      <w:r w:rsidRPr="00DF7224">
        <w:rPr>
          <w:rFonts w:ascii="Times New Roman" w:hAnsi="Times New Roman" w:cs="Times New Roman"/>
          <w:sz w:val="28"/>
          <w:szCs w:val="28"/>
        </w:rPr>
        <w:t xml:space="preserve">8 гг, </w:t>
      </w:r>
      <w:r w:rsidR="00001C70" w:rsidRPr="00DF7224">
        <w:rPr>
          <w:rFonts w:ascii="Times New Roman" w:hAnsi="Times New Roman" w:cs="Times New Roman"/>
          <w:sz w:val="28"/>
          <w:szCs w:val="28"/>
        </w:rPr>
        <w:t>(</w:t>
      </w:r>
      <w:r w:rsidRPr="00DF7224">
        <w:rPr>
          <w:rFonts w:ascii="Times New Roman" w:hAnsi="Times New Roman" w:cs="Times New Roman"/>
          <w:sz w:val="28"/>
          <w:szCs w:val="28"/>
        </w:rPr>
        <w:t>млн. евро</w:t>
      </w:r>
      <w:r w:rsidR="00001C70" w:rsidRPr="00DF7224">
        <w:rPr>
          <w:rFonts w:ascii="Times New Roman" w:hAnsi="Times New Roman" w:cs="Times New Roman"/>
          <w:sz w:val="28"/>
          <w:szCs w:val="28"/>
        </w:rPr>
        <w:t>)</w:t>
      </w:r>
    </w:p>
    <w:p w:rsidR="006B24AE" w:rsidRPr="00DF7224" w:rsidRDefault="006B24AE" w:rsidP="007E0CA0">
      <w:pPr>
        <w:spacing w:after="0" w:line="240" w:lineRule="auto"/>
        <w:ind w:firstLine="709"/>
        <w:jc w:val="center"/>
        <w:rPr>
          <w:rFonts w:ascii="Times New Roman" w:hAnsi="Times New Roman" w:cs="Times New Roman"/>
          <w:sz w:val="28"/>
          <w:szCs w:val="28"/>
        </w:rPr>
      </w:pPr>
    </w:p>
    <w:p w:rsidR="001B4563" w:rsidRPr="00DF7224" w:rsidRDefault="001B4563"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noProof/>
          <w:lang w:eastAsia="ru-RU"/>
        </w:rPr>
        <w:drawing>
          <wp:inline distT="0" distB="0" distL="0" distR="0" wp14:anchorId="4246FFA2" wp14:editId="38C9B30F">
            <wp:extent cx="5474525" cy="2185060"/>
            <wp:effectExtent l="0" t="0" r="12065" b="2476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B24AE" w:rsidRPr="00DF7224" w:rsidRDefault="006B24AE" w:rsidP="006B24AE">
      <w:pPr>
        <w:spacing w:after="0" w:line="240" w:lineRule="auto"/>
        <w:rPr>
          <w:rFonts w:ascii="Times New Roman" w:hAnsi="Times New Roman" w:cs="Times New Roman"/>
          <w:sz w:val="28"/>
          <w:szCs w:val="28"/>
        </w:rPr>
      </w:pPr>
    </w:p>
    <w:p w:rsidR="001B4563" w:rsidRPr="00DF7224" w:rsidRDefault="00461892" w:rsidP="006B24AE">
      <w:pPr>
        <w:spacing w:after="0" w:line="240" w:lineRule="auto"/>
        <w:ind w:firstLine="709"/>
        <w:rPr>
          <w:rFonts w:ascii="Times New Roman" w:hAnsi="Times New Roman" w:cs="Times New Roman"/>
          <w:sz w:val="28"/>
          <w:szCs w:val="28"/>
        </w:rPr>
      </w:pPr>
      <w:r w:rsidRPr="00DF7224">
        <w:rPr>
          <w:rFonts w:ascii="Times New Roman" w:hAnsi="Times New Roman" w:cs="Times New Roman"/>
          <w:sz w:val="28"/>
          <w:szCs w:val="28"/>
        </w:rPr>
        <w:t xml:space="preserve">Рисунок </w:t>
      </w:r>
      <w:r w:rsidR="008B4C4C" w:rsidRPr="00DF7224">
        <w:rPr>
          <w:rFonts w:ascii="Times New Roman" w:hAnsi="Times New Roman" w:cs="Times New Roman"/>
          <w:sz w:val="28"/>
          <w:szCs w:val="28"/>
        </w:rPr>
        <w:t xml:space="preserve">3.2 – </w:t>
      </w:r>
      <w:r w:rsidR="001B4563" w:rsidRPr="00DF7224">
        <w:rPr>
          <w:rFonts w:ascii="Times New Roman" w:hAnsi="Times New Roman" w:cs="Times New Roman"/>
          <w:sz w:val="28"/>
          <w:szCs w:val="28"/>
        </w:rPr>
        <w:t>Динамика экспорта Испани</w:t>
      </w:r>
      <w:r w:rsidR="00A2287E" w:rsidRPr="00DF7224">
        <w:rPr>
          <w:rFonts w:ascii="Times New Roman" w:hAnsi="Times New Roman" w:cs="Times New Roman"/>
          <w:sz w:val="28"/>
          <w:szCs w:val="28"/>
        </w:rPr>
        <w:t xml:space="preserve">и в РФ, 2009-2018 гг, </w:t>
      </w:r>
      <w:r w:rsidR="00001C70" w:rsidRPr="00DF7224">
        <w:rPr>
          <w:rFonts w:ascii="Times New Roman" w:hAnsi="Times New Roman" w:cs="Times New Roman"/>
          <w:sz w:val="28"/>
          <w:szCs w:val="28"/>
        </w:rPr>
        <w:t>(</w:t>
      </w:r>
      <w:r w:rsidR="00A2287E" w:rsidRPr="00DF7224">
        <w:rPr>
          <w:rFonts w:ascii="Times New Roman" w:hAnsi="Times New Roman" w:cs="Times New Roman"/>
          <w:sz w:val="28"/>
          <w:szCs w:val="28"/>
        </w:rPr>
        <w:t>млн. евро</w:t>
      </w:r>
      <w:r w:rsidR="00001C70" w:rsidRPr="00DF7224">
        <w:rPr>
          <w:rFonts w:ascii="Times New Roman" w:hAnsi="Times New Roman" w:cs="Times New Roman"/>
          <w:sz w:val="28"/>
          <w:szCs w:val="28"/>
        </w:rPr>
        <w:t>)</w:t>
      </w:r>
    </w:p>
    <w:p w:rsidR="006B24AE" w:rsidRPr="00DF7224" w:rsidRDefault="006B24AE" w:rsidP="007E0CA0">
      <w:pPr>
        <w:spacing w:after="0" w:line="240" w:lineRule="auto"/>
        <w:ind w:firstLine="709"/>
        <w:jc w:val="center"/>
        <w:rPr>
          <w:rFonts w:ascii="Times New Roman" w:hAnsi="Times New Roman" w:cs="Times New Roman"/>
          <w:sz w:val="28"/>
          <w:szCs w:val="28"/>
        </w:rPr>
      </w:pPr>
    </w:p>
    <w:p w:rsidR="001B4563" w:rsidRPr="00DF7224" w:rsidRDefault="001B4563" w:rsidP="007E0CA0">
      <w:pPr>
        <w:spacing w:after="0" w:line="240" w:lineRule="auto"/>
        <w:jc w:val="center"/>
        <w:rPr>
          <w:rFonts w:ascii="Times New Roman" w:hAnsi="Times New Roman" w:cs="Times New Roman"/>
          <w:sz w:val="28"/>
          <w:szCs w:val="28"/>
        </w:rPr>
      </w:pPr>
      <w:r w:rsidRPr="00DF7224">
        <w:rPr>
          <w:rFonts w:ascii="Times New Roman" w:hAnsi="Times New Roman" w:cs="Times New Roman"/>
          <w:noProof/>
          <w:lang w:eastAsia="ru-RU"/>
        </w:rPr>
        <w:lastRenderedPageBreak/>
        <w:drawing>
          <wp:inline distT="0" distB="0" distL="0" distR="0" wp14:anchorId="2CE70BAF" wp14:editId="36B80C1F">
            <wp:extent cx="5940425" cy="2296711"/>
            <wp:effectExtent l="0" t="0" r="22225" b="279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B24AE" w:rsidRPr="00DF7224" w:rsidRDefault="006B24AE" w:rsidP="007E0CA0">
      <w:pPr>
        <w:spacing w:after="0" w:line="240" w:lineRule="auto"/>
        <w:jc w:val="center"/>
        <w:rPr>
          <w:rFonts w:ascii="Times New Roman" w:hAnsi="Times New Roman" w:cs="Times New Roman"/>
          <w:sz w:val="28"/>
          <w:szCs w:val="28"/>
        </w:rPr>
      </w:pPr>
    </w:p>
    <w:p w:rsidR="001B4563" w:rsidRPr="00DF7224" w:rsidRDefault="008B4C4C" w:rsidP="007E0CA0">
      <w:pPr>
        <w:spacing w:after="0" w:line="240" w:lineRule="auto"/>
        <w:ind w:firstLine="709"/>
        <w:jc w:val="center"/>
        <w:rPr>
          <w:rFonts w:ascii="Times New Roman" w:hAnsi="Times New Roman" w:cs="Times New Roman"/>
          <w:sz w:val="28"/>
          <w:szCs w:val="28"/>
        </w:rPr>
      </w:pPr>
      <w:r w:rsidRPr="00DF7224">
        <w:rPr>
          <w:rFonts w:ascii="Times New Roman" w:hAnsi="Times New Roman" w:cs="Times New Roman"/>
          <w:sz w:val="28"/>
          <w:szCs w:val="28"/>
        </w:rPr>
        <w:t>Рисунок 3.3 –</w:t>
      </w:r>
      <w:r w:rsidR="001B4563" w:rsidRPr="00DF7224">
        <w:rPr>
          <w:rFonts w:ascii="Times New Roman" w:hAnsi="Times New Roman" w:cs="Times New Roman"/>
          <w:sz w:val="28"/>
          <w:szCs w:val="28"/>
        </w:rPr>
        <w:t xml:space="preserve"> Доля продукции РФ в экспорте и импорте Испании, 2009-2018 гг, </w:t>
      </w:r>
      <w:r w:rsidR="00DE3497" w:rsidRPr="00DF7224">
        <w:rPr>
          <w:rFonts w:ascii="Times New Roman" w:hAnsi="Times New Roman" w:cs="Times New Roman"/>
          <w:sz w:val="28"/>
          <w:szCs w:val="28"/>
        </w:rPr>
        <w:t>(</w:t>
      </w:r>
      <w:r w:rsidR="001B4563" w:rsidRPr="00DF7224">
        <w:rPr>
          <w:rFonts w:ascii="Times New Roman" w:hAnsi="Times New Roman" w:cs="Times New Roman"/>
          <w:sz w:val="28"/>
          <w:szCs w:val="28"/>
        </w:rPr>
        <w:t>%</w:t>
      </w:r>
      <w:r w:rsidR="00DE3497" w:rsidRPr="00DF7224">
        <w:rPr>
          <w:rFonts w:ascii="Times New Roman" w:hAnsi="Times New Roman" w:cs="Times New Roman"/>
          <w:sz w:val="28"/>
          <w:szCs w:val="28"/>
        </w:rPr>
        <w:t>)</w:t>
      </w:r>
    </w:p>
    <w:p w:rsidR="006B24AE" w:rsidRPr="00DF7224" w:rsidRDefault="006B24AE" w:rsidP="007E0CA0">
      <w:pPr>
        <w:spacing w:after="0" w:line="240" w:lineRule="auto"/>
        <w:ind w:firstLine="709"/>
        <w:jc w:val="center"/>
        <w:rPr>
          <w:rFonts w:ascii="Times New Roman" w:hAnsi="Times New Roman" w:cs="Times New Roman"/>
          <w:sz w:val="28"/>
          <w:szCs w:val="28"/>
        </w:rPr>
      </w:pP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Рассмотрим график на Рис.</w:t>
      </w:r>
      <w:r w:rsidR="00001C70" w:rsidRPr="00DF7224">
        <w:rPr>
          <w:rFonts w:ascii="Times New Roman" w:hAnsi="Times New Roman" w:cs="Times New Roman"/>
          <w:sz w:val="28"/>
          <w:szCs w:val="28"/>
        </w:rPr>
        <w:t>3.</w:t>
      </w:r>
      <w:r w:rsidRPr="00DF7224">
        <w:rPr>
          <w:rFonts w:ascii="Times New Roman" w:hAnsi="Times New Roman" w:cs="Times New Roman"/>
          <w:sz w:val="28"/>
          <w:szCs w:val="28"/>
        </w:rPr>
        <w:t xml:space="preserve">3, где в динамике представлены доля экспортируемой продукции в Россию во всем экспорте Испании, и доля импортируемой продукции из России во всем импорте Испании. Оба показателя коррелируются. До 2013 года идет плавное увеличение показателя, а с 2013 по 2018 гг. наблюдается резкое падение и закрепляется тенденция уменьшения доли экспорта и импорта, при этом доля экспортируемой продукции в Россию в экспорте Испании меньше, чем доля импортируемой продукции в РФ в импорте Испании. </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На графике (Рис. </w:t>
      </w:r>
      <w:r w:rsidR="00001C70" w:rsidRPr="00DF7224">
        <w:rPr>
          <w:rFonts w:ascii="Times New Roman" w:hAnsi="Times New Roman" w:cs="Times New Roman"/>
          <w:sz w:val="28"/>
          <w:szCs w:val="28"/>
        </w:rPr>
        <w:t>3.</w:t>
      </w:r>
      <w:r w:rsidRPr="00DF7224">
        <w:rPr>
          <w:rFonts w:ascii="Times New Roman" w:hAnsi="Times New Roman" w:cs="Times New Roman"/>
          <w:sz w:val="28"/>
          <w:szCs w:val="28"/>
        </w:rPr>
        <w:t>4) представлена динамика доли экспортируемой продукции в Испанию во всем экспорте РФ и доли импортируемой продукции из Испании в импорте России. Здесь же наблюдается превышение доли экспорта над импортом. Примечательно, что доля импортируемой продукции из Испании в импорте РФ десять лет практически не изменялся и оставался в рамках от 1 до 1,2, что нельзя сказать о доле экспорта,  который демонстрирует тенденцию аналог</w:t>
      </w:r>
      <w:r w:rsidR="00001C70" w:rsidRPr="00DF7224">
        <w:rPr>
          <w:rFonts w:ascii="Times New Roman" w:hAnsi="Times New Roman" w:cs="Times New Roman"/>
          <w:sz w:val="28"/>
          <w:szCs w:val="28"/>
        </w:rPr>
        <w:t xml:space="preserve">ичную представленной на графике </w:t>
      </w:r>
      <w:r w:rsidRPr="00DF7224">
        <w:rPr>
          <w:rFonts w:ascii="Times New Roman" w:hAnsi="Times New Roman" w:cs="Times New Roman"/>
          <w:sz w:val="28"/>
          <w:szCs w:val="28"/>
        </w:rPr>
        <w:t>(Рис.</w:t>
      </w:r>
      <w:r w:rsidR="00001C70" w:rsidRPr="00DF7224">
        <w:rPr>
          <w:rFonts w:ascii="Times New Roman" w:hAnsi="Times New Roman" w:cs="Times New Roman"/>
          <w:sz w:val="28"/>
          <w:szCs w:val="28"/>
        </w:rPr>
        <w:t>3.</w:t>
      </w:r>
      <w:r w:rsidRPr="00DF7224">
        <w:rPr>
          <w:rFonts w:ascii="Times New Roman" w:hAnsi="Times New Roman" w:cs="Times New Roman"/>
          <w:sz w:val="28"/>
          <w:szCs w:val="28"/>
        </w:rPr>
        <w:t>3).</w:t>
      </w:r>
    </w:p>
    <w:p w:rsidR="001B4563" w:rsidRPr="00DF7224" w:rsidRDefault="001B4563" w:rsidP="007E0CA0">
      <w:pPr>
        <w:spacing w:after="0" w:line="240" w:lineRule="auto"/>
        <w:rPr>
          <w:rFonts w:ascii="Times New Roman" w:hAnsi="Times New Roman" w:cs="Times New Roman"/>
          <w:sz w:val="28"/>
          <w:szCs w:val="28"/>
        </w:rPr>
      </w:pPr>
      <w:r w:rsidRPr="00DF7224">
        <w:rPr>
          <w:rFonts w:ascii="Times New Roman" w:hAnsi="Times New Roman" w:cs="Times New Roman"/>
          <w:noProof/>
          <w:lang w:eastAsia="ru-RU"/>
        </w:rPr>
        <w:lastRenderedPageBreak/>
        <w:drawing>
          <wp:inline distT="0" distB="0" distL="0" distR="0" wp14:anchorId="4DB5C90B" wp14:editId="51EE8549">
            <wp:extent cx="5940425" cy="2296711"/>
            <wp:effectExtent l="0" t="0" r="22225" b="2794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24AE" w:rsidRPr="00DF7224" w:rsidRDefault="006B24AE" w:rsidP="007E0CA0">
      <w:pPr>
        <w:spacing w:after="0" w:line="240" w:lineRule="auto"/>
        <w:rPr>
          <w:rFonts w:ascii="Times New Roman" w:hAnsi="Times New Roman" w:cs="Times New Roman"/>
          <w:sz w:val="28"/>
          <w:szCs w:val="28"/>
        </w:rPr>
      </w:pPr>
    </w:p>
    <w:p w:rsidR="001B4563" w:rsidRPr="00DF7224" w:rsidRDefault="008B4C4C" w:rsidP="007E0CA0">
      <w:pPr>
        <w:spacing w:after="0" w:line="360" w:lineRule="auto"/>
        <w:jc w:val="center"/>
        <w:rPr>
          <w:rFonts w:ascii="Times New Roman" w:hAnsi="Times New Roman" w:cs="Times New Roman"/>
          <w:sz w:val="28"/>
        </w:rPr>
      </w:pPr>
      <w:r w:rsidRPr="00DF7224">
        <w:rPr>
          <w:rFonts w:ascii="Times New Roman" w:hAnsi="Times New Roman" w:cs="Times New Roman"/>
          <w:sz w:val="28"/>
        </w:rPr>
        <w:t xml:space="preserve">Рисунок 3.4 – </w:t>
      </w:r>
      <w:r w:rsidR="001B4563" w:rsidRPr="00DF7224">
        <w:rPr>
          <w:rFonts w:ascii="Times New Roman" w:hAnsi="Times New Roman" w:cs="Times New Roman"/>
          <w:sz w:val="28"/>
        </w:rPr>
        <w:t>Доля продукции Испании в экспорт</w:t>
      </w:r>
      <w:r w:rsidR="00A2287E" w:rsidRPr="00DF7224">
        <w:rPr>
          <w:rFonts w:ascii="Times New Roman" w:hAnsi="Times New Roman" w:cs="Times New Roman"/>
          <w:sz w:val="28"/>
        </w:rPr>
        <w:t xml:space="preserve">е и импорте РФ, 2009-2018 гг, </w:t>
      </w:r>
      <w:r w:rsidR="00DE3497" w:rsidRPr="00DF7224">
        <w:rPr>
          <w:rFonts w:ascii="Times New Roman" w:hAnsi="Times New Roman" w:cs="Times New Roman"/>
          <w:sz w:val="28"/>
        </w:rPr>
        <w:t>(</w:t>
      </w:r>
      <w:r w:rsidR="00A2287E" w:rsidRPr="00DF7224">
        <w:rPr>
          <w:rFonts w:ascii="Times New Roman" w:hAnsi="Times New Roman" w:cs="Times New Roman"/>
          <w:sz w:val="28"/>
        </w:rPr>
        <w:t>%</w:t>
      </w:r>
      <w:r w:rsidR="00DE3497" w:rsidRPr="00DF7224">
        <w:rPr>
          <w:rFonts w:ascii="Times New Roman" w:hAnsi="Times New Roman" w:cs="Times New Roman"/>
          <w:sz w:val="28"/>
        </w:rPr>
        <w:t>)</w:t>
      </w:r>
    </w:p>
    <w:p w:rsidR="006B24AE" w:rsidRPr="00DF7224" w:rsidRDefault="006B24AE" w:rsidP="007E0CA0">
      <w:pPr>
        <w:spacing w:after="0" w:line="360" w:lineRule="auto"/>
        <w:jc w:val="center"/>
        <w:rPr>
          <w:rFonts w:ascii="Times New Roman" w:hAnsi="Times New Roman" w:cs="Times New Roman"/>
          <w:sz w:val="28"/>
        </w:rPr>
      </w:pP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Изучим более подробно товарные группы, входящие в экспорт и импорт Испании и России в 2017 году, которы</w:t>
      </w:r>
      <w:r w:rsidR="00A10D1E" w:rsidRPr="00DF7224">
        <w:rPr>
          <w:rFonts w:ascii="Times New Roman" w:hAnsi="Times New Roman" w:cs="Times New Roman"/>
          <w:sz w:val="28"/>
          <w:szCs w:val="28"/>
        </w:rPr>
        <w:t>е представлены в Табл</w:t>
      </w:r>
      <w:r w:rsidR="006D26B3" w:rsidRPr="00DF7224">
        <w:rPr>
          <w:rFonts w:ascii="Times New Roman" w:hAnsi="Times New Roman" w:cs="Times New Roman"/>
          <w:sz w:val="28"/>
          <w:szCs w:val="28"/>
        </w:rPr>
        <w:t>.</w:t>
      </w:r>
      <w:r w:rsidR="00A10D1E" w:rsidRPr="00DF7224">
        <w:rPr>
          <w:rFonts w:ascii="Times New Roman" w:hAnsi="Times New Roman" w:cs="Times New Roman"/>
          <w:sz w:val="28"/>
          <w:szCs w:val="28"/>
        </w:rPr>
        <w:t xml:space="preserve"> </w:t>
      </w:r>
      <w:r w:rsidR="006D26B3" w:rsidRPr="00DF7224">
        <w:rPr>
          <w:rFonts w:ascii="Times New Roman" w:hAnsi="Times New Roman" w:cs="Times New Roman"/>
          <w:sz w:val="28"/>
          <w:szCs w:val="28"/>
        </w:rPr>
        <w:t>3.</w:t>
      </w:r>
      <w:r w:rsidR="00A10D1E" w:rsidRPr="00DF7224">
        <w:rPr>
          <w:rFonts w:ascii="Times New Roman" w:hAnsi="Times New Roman" w:cs="Times New Roman"/>
          <w:sz w:val="28"/>
          <w:szCs w:val="28"/>
        </w:rPr>
        <w:t>2 и 3.</w:t>
      </w:r>
      <w:r w:rsidR="006D26B3" w:rsidRPr="00DF7224">
        <w:rPr>
          <w:rFonts w:ascii="Times New Roman" w:hAnsi="Times New Roman" w:cs="Times New Roman"/>
          <w:sz w:val="28"/>
          <w:szCs w:val="28"/>
        </w:rPr>
        <w:t>3.</w:t>
      </w:r>
    </w:p>
    <w:p w:rsidR="006B24AE" w:rsidRPr="00DF7224" w:rsidRDefault="006B24AE" w:rsidP="007E0CA0">
      <w:pPr>
        <w:spacing w:after="0" w:line="360" w:lineRule="auto"/>
        <w:ind w:firstLine="709"/>
        <w:jc w:val="both"/>
        <w:rPr>
          <w:rFonts w:ascii="Times New Roman" w:hAnsi="Times New Roman" w:cs="Times New Roman"/>
          <w:sz w:val="28"/>
          <w:szCs w:val="28"/>
        </w:rPr>
      </w:pPr>
    </w:p>
    <w:p w:rsidR="001B4563" w:rsidRPr="00DF7224" w:rsidRDefault="008F6E50" w:rsidP="007E0CA0">
      <w:pPr>
        <w:spacing w:after="0" w:line="240" w:lineRule="auto"/>
        <w:ind w:firstLine="709"/>
        <w:rPr>
          <w:rFonts w:ascii="Times New Roman" w:hAnsi="Times New Roman" w:cs="Times New Roman"/>
          <w:sz w:val="28"/>
          <w:szCs w:val="28"/>
        </w:rPr>
      </w:pPr>
      <w:r w:rsidRPr="00DF7224">
        <w:rPr>
          <w:rFonts w:ascii="Times New Roman" w:hAnsi="Times New Roman" w:cs="Times New Roman"/>
          <w:sz w:val="28"/>
          <w:szCs w:val="28"/>
        </w:rPr>
        <w:t>Таблица 3</w:t>
      </w:r>
      <w:r w:rsidR="00A2287E" w:rsidRPr="00DF7224">
        <w:rPr>
          <w:rFonts w:ascii="Times New Roman" w:hAnsi="Times New Roman" w:cs="Times New Roman"/>
          <w:sz w:val="28"/>
          <w:szCs w:val="28"/>
        </w:rPr>
        <w:t xml:space="preserve">.2 – </w:t>
      </w:r>
      <w:r w:rsidR="001B4563" w:rsidRPr="00DF7224">
        <w:rPr>
          <w:rFonts w:ascii="Times New Roman" w:hAnsi="Times New Roman" w:cs="Times New Roman"/>
          <w:sz w:val="28"/>
          <w:szCs w:val="28"/>
        </w:rPr>
        <w:t>Доля экспорта России в Испанию в</w:t>
      </w:r>
      <w:r w:rsidR="00001C70" w:rsidRPr="00DF7224">
        <w:rPr>
          <w:rFonts w:ascii="Times New Roman" w:hAnsi="Times New Roman" w:cs="Times New Roman"/>
          <w:sz w:val="28"/>
          <w:szCs w:val="28"/>
        </w:rPr>
        <w:t xml:space="preserve"> 2017 году по товарным группам,(</w:t>
      </w:r>
      <w:r w:rsidR="001B4563" w:rsidRPr="00DF7224">
        <w:rPr>
          <w:rFonts w:ascii="Times New Roman" w:hAnsi="Times New Roman" w:cs="Times New Roman"/>
          <w:sz w:val="28"/>
          <w:szCs w:val="28"/>
        </w:rPr>
        <w:t>%</w:t>
      </w:r>
      <w:r w:rsidR="00001C70" w:rsidRPr="00DF7224">
        <w:rPr>
          <w:rFonts w:ascii="Times New Roman" w:hAnsi="Times New Roman" w:cs="Times New Roman"/>
          <w:sz w:val="28"/>
          <w:szCs w:val="28"/>
        </w:rPr>
        <w:t>)</w:t>
      </w:r>
    </w:p>
    <w:p w:rsidR="006B24AE" w:rsidRPr="00DF7224" w:rsidRDefault="006B24AE" w:rsidP="007E0CA0">
      <w:pPr>
        <w:spacing w:after="0" w:line="240" w:lineRule="auto"/>
        <w:ind w:firstLine="709"/>
        <w:rPr>
          <w:rFonts w:ascii="Times New Roman" w:hAnsi="Times New Roman" w:cs="Times New Roman"/>
          <w:sz w:val="28"/>
          <w:szCs w:val="28"/>
        </w:rPr>
      </w:pPr>
    </w:p>
    <w:tbl>
      <w:tblPr>
        <w:tblStyle w:val="ab"/>
        <w:tblW w:w="0" w:type="auto"/>
        <w:tblInd w:w="93" w:type="dxa"/>
        <w:tblLook w:val="04A0" w:firstRow="1" w:lastRow="0" w:firstColumn="1" w:lastColumn="0" w:noHBand="0" w:noVBand="1"/>
      </w:tblPr>
      <w:tblGrid>
        <w:gridCol w:w="632"/>
        <w:gridCol w:w="7017"/>
        <w:gridCol w:w="1829"/>
      </w:tblGrid>
      <w:tr w:rsidR="001B4563" w:rsidRPr="00DF7224" w:rsidTr="001B4563">
        <w:trPr>
          <w:trHeight w:val="1260"/>
        </w:trPr>
        <w:tc>
          <w:tcPr>
            <w:tcW w:w="0" w:type="auto"/>
            <w:noWrap/>
            <w:vAlign w:val="center"/>
            <w:hideMark/>
          </w:tcPr>
          <w:p w:rsidR="001B4563" w:rsidRPr="00DF7224" w:rsidRDefault="001B4563" w:rsidP="007E0CA0">
            <w:pPr>
              <w:jc w:val="center"/>
              <w:rPr>
                <w:rFonts w:ascii="Times New Roman" w:eastAsia="Times New Roman" w:hAnsi="Times New Roman" w:cs="Times New Roman"/>
                <w:b/>
                <w:bCs/>
                <w:color w:val="000000"/>
                <w:sz w:val="24"/>
                <w:szCs w:val="24"/>
                <w:lang w:eastAsia="ru-RU"/>
              </w:rPr>
            </w:pPr>
            <w:r w:rsidRPr="00DF7224">
              <w:rPr>
                <w:rFonts w:ascii="Times New Roman" w:eastAsia="Times New Roman" w:hAnsi="Times New Roman" w:cs="Times New Roman"/>
                <w:b/>
                <w:bCs/>
                <w:color w:val="000000"/>
                <w:sz w:val="24"/>
                <w:szCs w:val="24"/>
                <w:lang w:eastAsia="ru-RU"/>
              </w:rPr>
              <w:t>Код</w:t>
            </w:r>
          </w:p>
        </w:tc>
        <w:tc>
          <w:tcPr>
            <w:tcW w:w="0" w:type="auto"/>
            <w:vAlign w:val="center"/>
            <w:hideMark/>
          </w:tcPr>
          <w:p w:rsidR="001B4563" w:rsidRPr="00DF7224" w:rsidRDefault="001B4563" w:rsidP="007E0CA0">
            <w:pPr>
              <w:jc w:val="center"/>
              <w:rPr>
                <w:rFonts w:ascii="Times New Roman" w:eastAsia="Times New Roman" w:hAnsi="Times New Roman" w:cs="Times New Roman"/>
                <w:b/>
                <w:bCs/>
                <w:color w:val="000000"/>
                <w:sz w:val="24"/>
                <w:szCs w:val="24"/>
                <w:lang w:eastAsia="ru-RU"/>
              </w:rPr>
            </w:pPr>
            <w:r w:rsidRPr="00DF7224">
              <w:rPr>
                <w:rFonts w:ascii="Times New Roman" w:eastAsia="Times New Roman" w:hAnsi="Times New Roman" w:cs="Times New Roman"/>
                <w:b/>
                <w:bCs/>
                <w:color w:val="000000"/>
                <w:sz w:val="24"/>
                <w:szCs w:val="24"/>
                <w:lang w:eastAsia="ru-RU"/>
              </w:rPr>
              <w:t>Наименование товарной группы</w:t>
            </w:r>
          </w:p>
        </w:tc>
        <w:tc>
          <w:tcPr>
            <w:tcW w:w="0" w:type="auto"/>
            <w:vAlign w:val="center"/>
            <w:hideMark/>
          </w:tcPr>
          <w:p w:rsidR="001B4563" w:rsidRPr="00DF7224" w:rsidRDefault="001B4563" w:rsidP="007E0CA0">
            <w:pPr>
              <w:jc w:val="center"/>
              <w:rPr>
                <w:rFonts w:ascii="Times New Roman" w:eastAsia="Times New Roman" w:hAnsi="Times New Roman" w:cs="Times New Roman"/>
                <w:b/>
                <w:bCs/>
                <w:color w:val="000000"/>
                <w:sz w:val="24"/>
                <w:szCs w:val="24"/>
                <w:lang w:eastAsia="ru-RU"/>
              </w:rPr>
            </w:pPr>
            <w:r w:rsidRPr="00DF7224">
              <w:rPr>
                <w:rFonts w:ascii="Times New Roman" w:eastAsia="Times New Roman" w:hAnsi="Times New Roman" w:cs="Times New Roman"/>
                <w:b/>
                <w:bCs/>
                <w:color w:val="000000"/>
                <w:sz w:val="24"/>
                <w:szCs w:val="24"/>
                <w:lang w:eastAsia="ru-RU"/>
              </w:rPr>
              <w:t>Доля в общем экспорте,%</w:t>
            </w:r>
          </w:p>
        </w:tc>
      </w:tr>
      <w:tr w:rsidR="001B4563" w:rsidRPr="00DF7224" w:rsidTr="001B4563">
        <w:trPr>
          <w:trHeight w:val="541"/>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27</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Топливо минеральное, нефть и продукты их перегонки; битуминозные вещества; воски минеральные</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72,42</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72</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Черные металлы</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10,86</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31</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Удобрения</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2,08</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40</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Каучук, резина и изделия из них</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1,33</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76</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Алюминий и изделия из него</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1,11</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29</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Органические химические соединения</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0,95</w:t>
            </w:r>
          </w:p>
        </w:tc>
      </w:tr>
      <w:tr w:rsidR="001B4563" w:rsidRPr="00DF7224" w:rsidTr="001B4563">
        <w:trPr>
          <w:trHeight w:val="932"/>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28</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Продукты неорганической химии; соединения неорганические или органические драгоценных металлов, редкоземельных металлов, радиоактивных элементов или изотопов</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0,91</w:t>
            </w:r>
          </w:p>
        </w:tc>
      </w:tr>
      <w:tr w:rsidR="001B4563" w:rsidRPr="00DF7224" w:rsidTr="001B4563">
        <w:trPr>
          <w:trHeight w:val="667"/>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23</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Остатки и отходы пищевой промышленности; готовые корма для животных</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0,72</w:t>
            </w:r>
          </w:p>
        </w:tc>
      </w:tr>
      <w:tr w:rsidR="001B4563" w:rsidRPr="00DF7224" w:rsidTr="001B4563">
        <w:trPr>
          <w:trHeight w:val="667"/>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41</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Hеобработанные шкуры (кроме натурального меха) и выделанная кожа</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0,66</w:t>
            </w:r>
          </w:p>
        </w:tc>
      </w:tr>
      <w:tr w:rsidR="001B4563" w:rsidRPr="00DF7224" w:rsidTr="001B4563">
        <w:trPr>
          <w:trHeight w:val="341"/>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lastRenderedPageBreak/>
              <w:t>44</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Древесина и изделия из нее; древесный уголь​</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0,6</w:t>
            </w:r>
          </w:p>
        </w:tc>
      </w:tr>
      <w:tr w:rsidR="001B4563" w:rsidRPr="00DF7224" w:rsidTr="001B4563">
        <w:trPr>
          <w:trHeight w:val="1106"/>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85</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Электрические машины и оборудование, их части; звукозаписывающая и звуковоспроизводящая аппаратура, аппаратура для записи и воспроизведения телевизионного изображения и звука, их части и принадлежности</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0,47</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17</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Сахар и кондитерские изделия из сахара</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0,41</w:t>
            </w:r>
          </w:p>
        </w:tc>
      </w:tr>
      <w:tr w:rsidR="001B4563" w:rsidRPr="00DF7224" w:rsidTr="001B4563">
        <w:trPr>
          <w:trHeight w:val="630"/>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Рыба и ракообразные, моллюски и прочие водные беспозвоночные​</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0,35</w:t>
            </w:r>
          </w:p>
        </w:tc>
      </w:tr>
      <w:tr w:rsidR="001B4563" w:rsidRPr="00DF7224" w:rsidTr="001B4563">
        <w:trPr>
          <w:trHeight w:val="630"/>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84</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Реакторы ядерные, котлы, оборудование и механические устройства; их части​</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0,35</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39</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Пластмассы и изделия из них​​</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0,28</w:t>
            </w:r>
          </w:p>
        </w:tc>
      </w:tr>
      <w:tr w:rsidR="001B4563" w:rsidRPr="00DF7224" w:rsidTr="001B4563">
        <w:trPr>
          <w:trHeight w:val="630"/>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48</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Бумага и картон; изделия из бумажной массы, бумаги или картона​</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0,27</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10</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Злаки</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0,21</w:t>
            </w:r>
          </w:p>
        </w:tc>
      </w:tr>
      <w:tr w:rsidR="001B4563" w:rsidRPr="00DF7224" w:rsidTr="001B4563">
        <w:trPr>
          <w:trHeight w:val="315"/>
        </w:trPr>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70</w:t>
            </w:r>
          </w:p>
        </w:tc>
        <w:tc>
          <w:tcPr>
            <w:tcW w:w="0" w:type="auto"/>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Стекло и изделия из него​</w:t>
            </w:r>
          </w:p>
        </w:tc>
        <w:tc>
          <w:tcPr>
            <w:tcW w:w="0" w:type="auto"/>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0,21</w:t>
            </w:r>
          </w:p>
        </w:tc>
      </w:tr>
    </w:tbl>
    <w:p w:rsidR="001B4563" w:rsidRPr="00DF7224" w:rsidRDefault="001B4563" w:rsidP="00461892">
      <w:pPr>
        <w:spacing w:after="0" w:line="240" w:lineRule="auto"/>
        <w:ind w:firstLine="709"/>
        <w:rPr>
          <w:rFonts w:ascii="Times New Roman" w:hAnsi="Times New Roman" w:cs="Times New Roman"/>
          <w:sz w:val="20"/>
          <w:szCs w:val="28"/>
        </w:rPr>
      </w:pPr>
      <w:r w:rsidRPr="00DF7224">
        <w:rPr>
          <w:rFonts w:ascii="Times New Roman" w:hAnsi="Times New Roman" w:cs="Times New Roman"/>
          <w:i/>
          <w:sz w:val="20"/>
          <w:szCs w:val="28"/>
        </w:rPr>
        <w:t>Источник:</w:t>
      </w:r>
      <w:r w:rsidRPr="00DF7224">
        <w:rPr>
          <w:rFonts w:ascii="Times New Roman" w:hAnsi="Times New Roman" w:cs="Times New Roman"/>
          <w:sz w:val="20"/>
          <w:szCs w:val="28"/>
        </w:rPr>
        <w:t xml:space="preserve"> составлено автором по данным </w:t>
      </w:r>
      <w:r w:rsidRPr="00DF7224">
        <w:rPr>
          <w:rFonts w:ascii="Times New Roman" w:hAnsi="Times New Roman" w:cs="Times New Roman"/>
          <w:sz w:val="20"/>
          <w:szCs w:val="28"/>
          <w:lang w:val="en-US"/>
        </w:rPr>
        <w:t>Ru</w:t>
      </w:r>
      <w:r w:rsidRPr="00DF7224">
        <w:rPr>
          <w:rFonts w:ascii="Times New Roman" w:hAnsi="Times New Roman" w:cs="Times New Roman"/>
          <w:sz w:val="20"/>
          <w:szCs w:val="28"/>
        </w:rPr>
        <w:t>-</w:t>
      </w:r>
      <w:r w:rsidRPr="00DF7224">
        <w:rPr>
          <w:rFonts w:ascii="Times New Roman" w:hAnsi="Times New Roman" w:cs="Times New Roman"/>
          <w:sz w:val="20"/>
          <w:szCs w:val="28"/>
          <w:lang w:val="en-US"/>
        </w:rPr>
        <w:t>Stat</w:t>
      </w:r>
      <w:r w:rsidRPr="00DF7224">
        <w:rPr>
          <w:rFonts w:ascii="Times New Roman" w:hAnsi="Times New Roman" w:cs="Times New Roman"/>
          <w:sz w:val="20"/>
          <w:szCs w:val="28"/>
        </w:rPr>
        <w:t xml:space="preserve">, </w:t>
      </w:r>
      <w:r w:rsidR="006B24AE" w:rsidRPr="00DF7224">
        <w:rPr>
          <w:rFonts w:ascii="Times New Roman" w:hAnsi="Times New Roman" w:cs="Times New Roman"/>
          <w:sz w:val="20"/>
          <w:szCs w:val="28"/>
          <w:lang w:val="en-US"/>
        </w:rPr>
        <w:t>https</w:t>
      </w:r>
      <w:r w:rsidR="006B24AE" w:rsidRPr="00DF7224">
        <w:rPr>
          <w:rFonts w:ascii="Times New Roman" w:hAnsi="Times New Roman" w:cs="Times New Roman"/>
          <w:sz w:val="20"/>
          <w:szCs w:val="28"/>
        </w:rPr>
        <w:t>://</w:t>
      </w:r>
      <w:r w:rsidR="006B24AE" w:rsidRPr="00DF7224">
        <w:rPr>
          <w:rFonts w:ascii="Times New Roman" w:hAnsi="Times New Roman" w:cs="Times New Roman"/>
          <w:sz w:val="20"/>
          <w:szCs w:val="28"/>
          <w:lang w:val="en-US"/>
        </w:rPr>
        <w:t>ru</w:t>
      </w:r>
      <w:r w:rsidR="006B24AE" w:rsidRPr="00DF7224">
        <w:rPr>
          <w:rFonts w:ascii="Times New Roman" w:hAnsi="Times New Roman" w:cs="Times New Roman"/>
          <w:sz w:val="20"/>
          <w:szCs w:val="28"/>
        </w:rPr>
        <w:t>-</w:t>
      </w:r>
      <w:r w:rsidR="006B24AE" w:rsidRPr="00DF7224">
        <w:rPr>
          <w:rFonts w:ascii="Times New Roman" w:hAnsi="Times New Roman" w:cs="Times New Roman"/>
          <w:sz w:val="20"/>
          <w:szCs w:val="28"/>
          <w:lang w:val="en-US"/>
        </w:rPr>
        <w:t>stat</w:t>
      </w:r>
      <w:r w:rsidR="006B24AE" w:rsidRPr="00DF7224">
        <w:rPr>
          <w:rFonts w:ascii="Times New Roman" w:hAnsi="Times New Roman" w:cs="Times New Roman"/>
          <w:sz w:val="20"/>
          <w:szCs w:val="28"/>
        </w:rPr>
        <w:t>.</w:t>
      </w:r>
      <w:r w:rsidR="006B24AE" w:rsidRPr="00DF7224">
        <w:rPr>
          <w:rFonts w:ascii="Times New Roman" w:hAnsi="Times New Roman" w:cs="Times New Roman"/>
          <w:sz w:val="20"/>
          <w:szCs w:val="28"/>
          <w:lang w:val="en-US"/>
        </w:rPr>
        <w:t>com</w:t>
      </w:r>
      <w:r w:rsidR="006B24AE" w:rsidRPr="00DF7224">
        <w:rPr>
          <w:rFonts w:ascii="Times New Roman" w:hAnsi="Times New Roman" w:cs="Times New Roman"/>
          <w:sz w:val="20"/>
          <w:szCs w:val="28"/>
        </w:rPr>
        <w:t>/</w:t>
      </w:r>
      <w:r w:rsidR="006B24AE" w:rsidRPr="00DF7224">
        <w:rPr>
          <w:rFonts w:ascii="Times New Roman" w:hAnsi="Times New Roman" w:cs="Times New Roman"/>
          <w:sz w:val="20"/>
          <w:szCs w:val="28"/>
          <w:lang w:val="en-US"/>
        </w:rPr>
        <w:t>date</w:t>
      </w:r>
      <w:r w:rsidR="006B24AE" w:rsidRPr="00DF7224">
        <w:rPr>
          <w:rFonts w:ascii="Times New Roman" w:hAnsi="Times New Roman" w:cs="Times New Roman"/>
          <w:sz w:val="20"/>
          <w:szCs w:val="28"/>
        </w:rPr>
        <w:t>-</w:t>
      </w:r>
      <w:r w:rsidR="006B24AE" w:rsidRPr="00DF7224">
        <w:rPr>
          <w:rFonts w:ascii="Times New Roman" w:hAnsi="Times New Roman" w:cs="Times New Roman"/>
          <w:sz w:val="20"/>
          <w:szCs w:val="28"/>
          <w:lang w:val="en-US"/>
        </w:rPr>
        <w:t>M</w:t>
      </w:r>
      <w:r w:rsidR="006B24AE" w:rsidRPr="00DF7224">
        <w:rPr>
          <w:rFonts w:ascii="Times New Roman" w:hAnsi="Times New Roman" w:cs="Times New Roman"/>
          <w:sz w:val="20"/>
          <w:szCs w:val="28"/>
        </w:rPr>
        <w:t>201610-201710/</w:t>
      </w:r>
      <w:r w:rsidR="006B24AE" w:rsidRPr="00DF7224">
        <w:rPr>
          <w:rFonts w:ascii="Times New Roman" w:hAnsi="Times New Roman" w:cs="Times New Roman"/>
          <w:sz w:val="20"/>
          <w:szCs w:val="28"/>
          <w:lang w:val="en-US"/>
        </w:rPr>
        <w:t>RU</w:t>
      </w:r>
      <w:r w:rsidR="006B24AE" w:rsidRPr="00DF7224">
        <w:rPr>
          <w:rFonts w:ascii="Times New Roman" w:hAnsi="Times New Roman" w:cs="Times New Roman"/>
          <w:sz w:val="20"/>
          <w:szCs w:val="28"/>
        </w:rPr>
        <w:t>/</w:t>
      </w:r>
      <w:r w:rsidR="006B24AE" w:rsidRPr="00DF7224">
        <w:rPr>
          <w:rFonts w:ascii="Times New Roman" w:hAnsi="Times New Roman" w:cs="Times New Roman"/>
          <w:sz w:val="20"/>
          <w:szCs w:val="28"/>
          <w:lang w:val="en-US"/>
        </w:rPr>
        <w:t>export</w:t>
      </w:r>
      <w:r w:rsidR="006B24AE" w:rsidRPr="00DF7224">
        <w:rPr>
          <w:rFonts w:ascii="Times New Roman" w:hAnsi="Times New Roman" w:cs="Times New Roman"/>
          <w:sz w:val="20"/>
          <w:szCs w:val="28"/>
        </w:rPr>
        <w:t>/</w:t>
      </w:r>
      <w:r w:rsidR="006B24AE" w:rsidRPr="00DF7224">
        <w:rPr>
          <w:rFonts w:ascii="Times New Roman" w:hAnsi="Times New Roman" w:cs="Times New Roman"/>
          <w:sz w:val="20"/>
          <w:szCs w:val="28"/>
          <w:lang w:val="en-US"/>
        </w:rPr>
        <w:t>ES</w:t>
      </w:r>
    </w:p>
    <w:p w:rsidR="006B24AE" w:rsidRPr="00DF7224" w:rsidRDefault="006B24AE" w:rsidP="006B24AE">
      <w:pPr>
        <w:spacing w:after="0" w:line="360" w:lineRule="auto"/>
        <w:ind w:firstLine="709"/>
        <w:rPr>
          <w:rFonts w:ascii="Times New Roman" w:hAnsi="Times New Roman" w:cs="Times New Roman"/>
          <w:sz w:val="24"/>
          <w:szCs w:val="28"/>
        </w:rPr>
      </w:pP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В 2017 году 73% Испания импортировала из России топливо и нефть. 10% российского импорта в Испанию составили черные металлы. На третьем месте в доли товарного экспорта России стоит 31 код – Удобрения, которые занимают 2%. Каучук и алюминий имеют 1,33 и 1,11 доли в испанском импорте соответственно. Все остальные товарные группы имеют доли менее 1%.</w:t>
      </w:r>
    </w:p>
    <w:p w:rsidR="00FE1FA2" w:rsidRPr="00DF7224" w:rsidRDefault="001B4563" w:rsidP="006B24AE">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В </w:t>
      </w:r>
      <w:r w:rsidR="006B24AE" w:rsidRPr="00DF7224">
        <w:rPr>
          <w:rFonts w:ascii="Times New Roman" w:hAnsi="Times New Roman" w:cs="Times New Roman"/>
          <w:sz w:val="28"/>
          <w:szCs w:val="28"/>
        </w:rPr>
        <w:t>Т</w:t>
      </w:r>
      <w:r w:rsidR="00056979" w:rsidRPr="00DF7224">
        <w:rPr>
          <w:rFonts w:ascii="Times New Roman" w:hAnsi="Times New Roman" w:cs="Times New Roman"/>
          <w:sz w:val="28"/>
          <w:szCs w:val="28"/>
        </w:rPr>
        <w:t>абл</w:t>
      </w:r>
      <w:r w:rsidR="006B24AE" w:rsidRPr="00DF7224">
        <w:rPr>
          <w:rFonts w:ascii="Times New Roman" w:hAnsi="Times New Roman" w:cs="Times New Roman"/>
          <w:sz w:val="28"/>
          <w:szCs w:val="28"/>
        </w:rPr>
        <w:t>.</w:t>
      </w:r>
      <w:r w:rsidRPr="00DF7224">
        <w:rPr>
          <w:rFonts w:ascii="Times New Roman" w:hAnsi="Times New Roman" w:cs="Times New Roman"/>
          <w:sz w:val="28"/>
          <w:szCs w:val="28"/>
        </w:rPr>
        <w:t xml:space="preserve"> 3</w:t>
      </w:r>
      <w:r w:rsidR="006B24AE" w:rsidRPr="00DF7224">
        <w:rPr>
          <w:rFonts w:ascii="Times New Roman" w:hAnsi="Times New Roman" w:cs="Times New Roman"/>
          <w:sz w:val="28"/>
          <w:szCs w:val="28"/>
        </w:rPr>
        <w:t>.2.</w:t>
      </w:r>
      <w:r w:rsidRPr="00DF7224">
        <w:rPr>
          <w:rFonts w:ascii="Times New Roman" w:hAnsi="Times New Roman" w:cs="Times New Roman"/>
          <w:sz w:val="28"/>
          <w:szCs w:val="28"/>
        </w:rPr>
        <w:t xml:space="preserve"> представлена структура экспорта Испании в РФ. Товарные группы экспорта и импорта существенно различаются. Наибольшую долю в импорте России занимают средства наземного транспорта – 13%; 12,7% составляют реакторы и оборудование; 9,29% - фармацевтическая продукция; 6,25% занимают алкогольные и безалкогольные напитки. Электрические машины и оборудование занимают 5,92% в импорте России из Испании. Около 4% приходится на продукты переработки овощей и фруктов, остальное - пластмассы, каучук и изделия из черных металлов. Стоит отметить, что экспорт Испании в Россию намного разнообразнее, чем импорт.</w:t>
      </w:r>
    </w:p>
    <w:p w:rsidR="00FE1FA2" w:rsidRPr="00DF7224" w:rsidRDefault="00FE1FA2" w:rsidP="007E0CA0">
      <w:pPr>
        <w:spacing w:after="0" w:line="360" w:lineRule="auto"/>
        <w:ind w:firstLine="709"/>
        <w:jc w:val="both"/>
        <w:rPr>
          <w:rFonts w:ascii="Times New Roman" w:hAnsi="Times New Roman" w:cs="Times New Roman"/>
          <w:sz w:val="28"/>
          <w:szCs w:val="28"/>
        </w:rPr>
      </w:pPr>
    </w:p>
    <w:p w:rsidR="001B4563" w:rsidRPr="00DF7224" w:rsidRDefault="001B4563" w:rsidP="007E0CA0">
      <w:pPr>
        <w:spacing w:after="0" w:line="240" w:lineRule="auto"/>
        <w:ind w:firstLine="709"/>
        <w:rPr>
          <w:rFonts w:ascii="Times New Roman" w:hAnsi="Times New Roman" w:cs="Times New Roman"/>
          <w:sz w:val="28"/>
          <w:szCs w:val="28"/>
        </w:rPr>
      </w:pPr>
      <w:r w:rsidRPr="00DF7224">
        <w:rPr>
          <w:rFonts w:ascii="Times New Roman" w:hAnsi="Times New Roman" w:cs="Times New Roman"/>
          <w:sz w:val="28"/>
          <w:szCs w:val="28"/>
        </w:rPr>
        <w:lastRenderedPageBreak/>
        <w:t xml:space="preserve">Таблица </w:t>
      </w:r>
      <w:r w:rsidR="008B4C4C" w:rsidRPr="00DF7224">
        <w:rPr>
          <w:rFonts w:ascii="Times New Roman" w:hAnsi="Times New Roman" w:cs="Times New Roman"/>
          <w:sz w:val="28"/>
          <w:szCs w:val="28"/>
        </w:rPr>
        <w:t>3</w:t>
      </w:r>
      <w:r w:rsidR="00A2287E" w:rsidRPr="00DF7224">
        <w:rPr>
          <w:rFonts w:ascii="Times New Roman" w:hAnsi="Times New Roman" w:cs="Times New Roman"/>
          <w:sz w:val="28"/>
          <w:szCs w:val="28"/>
        </w:rPr>
        <w:t>.</w:t>
      </w:r>
      <w:r w:rsidRPr="00DF7224">
        <w:rPr>
          <w:rFonts w:ascii="Times New Roman" w:hAnsi="Times New Roman" w:cs="Times New Roman"/>
          <w:sz w:val="28"/>
          <w:szCs w:val="28"/>
        </w:rPr>
        <w:t>3</w:t>
      </w:r>
      <w:r w:rsidR="00A2287E" w:rsidRPr="00DF7224">
        <w:rPr>
          <w:rFonts w:ascii="Times New Roman" w:hAnsi="Times New Roman" w:cs="Times New Roman"/>
          <w:sz w:val="28"/>
          <w:szCs w:val="28"/>
        </w:rPr>
        <w:t xml:space="preserve"> – </w:t>
      </w:r>
      <w:r w:rsidRPr="00DF7224">
        <w:rPr>
          <w:rFonts w:ascii="Times New Roman" w:hAnsi="Times New Roman" w:cs="Times New Roman"/>
          <w:sz w:val="28"/>
          <w:szCs w:val="28"/>
        </w:rPr>
        <w:t>Доля импорта России из Испании в</w:t>
      </w:r>
      <w:r w:rsidR="00001C70" w:rsidRPr="00DF7224">
        <w:rPr>
          <w:rFonts w:ascii="Times New Roman" w:hAnsi="Times New Roman" w:cs="Times New Roman"/>
          <w:sz w:val="28"/>
          <w:szCs w:val="28"/>
        </w:rPr>
        <w:t xml:space="preserve"> 2017 году по товарным группам,(</w:t>
      </w:r>
      <w:r w:rsidRPr="00DF7224">
        <w:rPr>
          <w:rFonts w:ascii="Times New Roman" w:hAnsi="Times New Roman" w:cs="Times New Roman"/>
          <w:sz w:val="28"/>
          <w:szCs w:val="28"/>
        </w:rPr>
        <w:t>%</w:t>
      </w:r>
      <w:r w:rsidR="00001C70" w:rsidRPr="00DF7224">
        <w:rPr>
          <w:rFonts w:ascii="Times New Roman" w:hAnsi="Times New Roman" w:cs="Times New Roman"/>
          <w:sz w:val="28"/>
          <w:szCs w:val="28"/>
        </w:rPr>
        <w:t>)</w:t>
      </w:r>
    </w:p>
    <w:p w:rsidR="006B24AE" w:rsidRPr="00DF7224" w:rsidRDefault="006B24AE" w:rsidP="007E0CA0">
      <w:pPr>
        <w:spacing w:after="0" w:line="240" w:lineRule="auto"/>
        <w:ind w:firstLine="709"/>
        <w:rPr>
          <w:rFonts w:ascii="Times New Roman" w:hAnsi="Times New Roman" w:cs="Times New Roman"/>
          <w:sz w:val="28"/>
          <w:szCs w:val="28"/>
        </w:rPr>
      </w:pPr>
    </w:p>
    <w:tbl>
      <w:tblPr>
        <w:tblStyle w:val="ab"/>
        <w:tblW w:w="9498" w:type="dxa"/>
        <w:tblInd w:w="108" w:type="dxa"/>
        <w:tblLayout w:type="fixed"/>
        <w:tblLook w:val="04A0" w:firstRow="1" w:lastRow="0" w:firstColumn="1" w:lastColumn="0" w:noHBand="0" w:noVBand="1"/>
      </w:tblPr>
      <w:tblGrid>
        <w:gridCol w:w="709"/>
        <w:gridCol w:w="6946"/>
        <w:gridCol w:w="1843"/>
      </w:tblGrid>
      <w:tr w:rsidR="001B4563" w:rsidRPr="00DF7224" w:rsidTr="001B4563">
        <w:trPr>
          <w:trHeight w:val="999"/>
        </w:trPr>
        <w:tc>
          <w:tcPr>
            <w:tcW w:w="709" w:type="dxa"/>
            <w:noWrap/>
            <w:vAlign w:val="center"/>
            <w:hideMark/>
          </w:tcPr>
          <w:p w:rsidR="001B4563" w:rsidRPr="00DF7224" w:rsidRDefault="001B4563" w:rsidP="007E0CA0">
            <w:pPr>
              <w:jc w:val="center"/>
              <w:rPr>
                <w:rFonts w:ascii="Times New Roman" w:eastAsia="Times New Roman" w:hAnsi="Times New Roman" w:cs="Times New Roman"/>
                <w:b/>
                <w:bCs/>
                <w:color w:val="000000"/>
                <w:sz w:val="24"/>
                <w:szCs w:val="24"/>
                <w:lang w:eastAsia="ru-RU"/>
              </w:rPr>
            </w:pPr>
            <w:r w:rsidRPr="00DF7224">
              <w:rPr>
                <w:rFonts w:ascii="Times New Roman" w:eastAsia="Times New Roman" w:hAnsi="Times New Roman" w:cs="Times New Roman"/>
                <w:b/>
                <w:bCs/>
                <w:color w:val="000000"/>
                <w:sz w:val="24"/>
                <w:szCs w:val="24"/>
                <w:lang w:eastAsia="ru-RU"/>
              </w:rPr>
              <w:t>Код</w:t>
            </w:r>
          </w:p>
        </w:tc>
        <w:tc>
          <w:tcPr>
            <w:tcW w:w="6946" w:type="dxa"/>
            <w:noWrap/>
            <w:vAlign w:val="center"/>
            <w:hideMark/>
          </w:tcPr>
          <w:p w:rsidR="001B4563" w:rsidRPr="00DF7224" w:rsidRDefault="001B4563" w:rsidP="007E0CA0">
            <w:pPr>
              <w:jc w:val="center"/>
              <w:rPr>
                <w:rFonts w:ascii="Times New Roman" w:eastAsia="Times New Roman" w:hAnsi="Times New Roman" w:cs="Times New Roman"/>
                <w:b/>
                <w:bCs/>
                <w:color w:val="000000"/>
                <w:sz w:val="24"/>
                <w:szCs w:val="24"/>
                <w:lang w:eastAsia="ru-RU"/>
              </w:rPr>
            </w:pPr>
            <w:r w:rsidRPr="00DF7224">
              <w:rPr>
                <w:rFonts w:ascii="Times New Roman" w:eastAsia="Times New Roman" w:hAnsi="Times New Roman" w:cs="Times New Roman"/>
                <w:b/>
                <w:bCs/>
                <w:color w:val="000000"/>
                <w:sz w:val="24"/>
                <w:szCs w:val="24"/>
                <w:lang w:eastAsia="ru-RU"/>
              </w:rPr>
              <w:t>Наименование товарной группы</w:t>
            </w:r>
          </w:p>
        </w:tc>
        <w:tc>
          <w:tcPr>
            <w:tcW w:w="1843" w:type="dxa"/>
            <w:vAlign w:val="center"/>
            <w:hideMark/>
          </w:tcPr>
          <w:p w:rsidR="001B4563" w:rsidRPr="00DF7224" w:rsidRDefault="001B4563" w:rsidP="007E0CA0">
            <w:pPr>
              <w:jc w:val="center"/>
              <w:rPr>
                <w:rFonts w:ascii="Times New Roman" w:eastAsia="Times New Roman" w:hAnsi="Times New Roman" w:cs="Times New Roman"/>
                <w:b/>
                <w:bCs/>
                <w:color w:val="000000"/>
                <w:sz w:val="24"/>
                <w:szCs w:val="24"/>
                <w:lang w:eastAsia="ru-RU"/>
              </w:rPr>
            </w:pPr>
            <w:r w:rsidRPr="00DF7224">
              <w:rPr>
                <w:rFonts w:ascii="Times New Roman" w:eastAsia="Times New Roman" w:hAnsi="Times New Roman" w:cs="Times New Roman"/>
                <w:b/>
                <w:bCs/>
                <w:color w:val="000000"/>
                <w:sz w:val="24"/>
                <w:szCs w:val="24"/>
                <w:lang w:eastAsia="ru-RU"/>
              </w:rPr>
              <w:t>Доля в общем импорте,%</w:t>
            </w:r>
          </w:p>
        </w:tc>
      </w:tr>
      <w:tr w:rsidR="001B4563" w:rsidRPr="00DF7224" w:rsidTr="001B4563">
        <w:trPr>
          <w:trHeight w:val="644"/>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87</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Средства наземного транспорта, кроме железнодорожного или трамвайного подвижного состава, и их части и принадлежности</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13,26</w:t>
            </w:r>
          </w:p>
        </w:tc>
      </w:tr>
      <w:tr w:rsidR="001B4563" w:rsidRPr="00DF7224" w:rsidTr="001B4563">
        <w:trPr>
          <w:trHeight w:val="555"/>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84</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Реакторы ядерные, котлы, оборудование и механические устройства; их части​</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12,69</w:t>
            </w:r>
          </w:p>
        </w:tc>
      </w:tr>
      <w:tr w:rsidR="001B4563" w:rsidRPr="00DF7224" w:rsidTr="001B4563">
        <w:trPr>
          <w:trHeight w:val="33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30</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Фармацевтическая продукция</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9,29</w:t>
            </w:r>
          </w:p>
        </w:tc>
      </w:tr>
      <w:tr w:rsidR="001B4563" w:rsidRPr="00DF7224" w:rsidTr="001B4563">
        <w:trPr>
          <w:trHeight w:val="33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22</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Алкогольные и безалкогольные напитки и уксус</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6,25</w:t>
            </w:r>
          </w:p>
        </w:tc>
      </w:tr>
      <w:tr w:rsidR="001B4563" w:rsidRPr="00DF7224" w:rsidTr="001B4563">
        <w:trPr>
          <w:trHeight w:val="33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85</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Электрические машины и оборудование, их части; звукозаписывающая и звуковоспроизводящая аппаратура, аппаратура для записи и воспроизведения телевизионного изображения и звука, их части и принадлежности</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5,92</w:t>
            </w:r>
          </w:p>
        </w:tc>
      </w:tr>
      <w:tr w:rsidR="001B4563" w:rsidRPr="00DF7224" w:rsidTr="001B4563">
        <w:trPr>
          <w:trHeight w:val="33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20</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Продукты переработки овощей, фруктов, орехов или прочих частей растений</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4,14</w:t>
            </w:r>
          </w:p>
        </w:tc>
      </w:tr>
      <w:tr w:rsidR="001B4563" w:rsidRPr="00DF7224" w:rsidTr="001B4563">
        <w:trPr>
          <w:trHeight w:val="420"/>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39</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Пластмассы и изделия из них​​</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4,13</w:t>
            </w:r>
          </w:p>
        </w:tc>
      </w:tr>
      <w:tr w:rsidR="001B4563" w:rsidRPr="00DF7224" w:rsidTr="001B4563">
        <w:trPr>
          <w:trHeight w:val="420"/>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40</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Каучук, резина и изделия из них</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4,12</w:t>
            </w:r>
          </w:p>
        </w:tc>
      </w:tr>
      <w:tr w:rsidR="001B4563" w:rsidRPr="00DF7224" w:rsidTr="001B4563">
        <w:trPr>
          <w:trHeight w:val="420"/>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73</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Изделия из черных металлов</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3,43</w:t>
            </w:r>
          </w:p>
        </w:tc>
      </w:tr>
      <w:tr w:rsidR="001B4563" w:rsidRPr="00DF7224" w:rsidTr="001B4563">
        <w:trPr>
          <w:trHeight w:val="420"/>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69</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Керамические изделия</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3,2</w:t>
            </w:r>
          </w:p>
        </w:tc>
      </w:tr>
      <w:tr w:rsidR="001B4563" w:rsidRPr="00DF7224" w:rsidTr="001B4563">
        <w:trPr>
          <w:trHeight w:val="297"/>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38</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Прочие химические продукты</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3,06</w:t>
            </w:r>
          </w:p>
        </w:tc>
      </w:tr>
      <w:tr w:rsidR="001B4563" w:rsidRPr="00DF7224" w:rsidTr="001B4563">
        <w:trPr>
          <w:trHeight w:val="33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33</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Эфирные масла и резиноиды; парфюмерные, косметические или туалетные средства</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2,93</w:t>
            </w:r>
          </w:p>
        </w:tc>
      </w:tr>
      <w:tr w:rsidR="001B4563" w:rsidRPr="00DF7224" w:rsidTr="001B4563">
        <w:trPr>
          <w:trHeight w:val="666"/>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32</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Экстракты дубильные или красильные; таннины и их производные; красители, пигменты и прочие красящие вещества; краски и лаки; шпатлевки и прочие мастики; полиграфическая краска, чернила, тушь</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2,91</w:t>
            </w:r>
          </w:p>
        </w:tc>
      </w:tr>
      <w:tr w:rsidR="001B4563" w:rsidRPr="00DF7224" w:rsidTr="001B4563">
        <w:trPr>
          <w:trHeight w:val="32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72</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Черные металлы</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2,24</w:t>
            </w:r>
          </w:p>
        </w:tc>
      </w:tr>
      <w:tr w:rsidR="001B4563" w:rsidRPr="00DF7224" w:rsidTr="001B4563">
        <w:trPr>
          <w:trHeight w:val="32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89</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Суда, лодки и плавучие конструкции</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2,11</w:t>
            </w:r>
          </w:p>
        </w:tc>
      </w:tr>
      <w:tr w:rsidR="001B4563" w:rsidRPr="00DF7224" w:rsidTr="001B4563">
        <w:trPr>
          <w:trHeight w:val="666"/>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15</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Жиры и масла животного или растительного происхождения и продукты их расщепления; готовые пищевые жиры; воски животного или растительного происхождения</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1,45</w:t>
            </w:r>
          </w:p>
        </w:tc>
      </w:tr>
      <w:tr w:rsidR="001B4563" w:rsidRPr="00DF7224" w:rsidTr="001B4563">
        <w:trPr>
          <w:trHeight w:val="33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29</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Органические химические соединения</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1,34</w:t>
            </w:r>
          </w:p>
        </w:tc>
      </w:tr>
      <w:tr w:rsidR="001B4563" w:rsidRPr="00DF7224" w:rsidTr="001B4563">
        <w:trPr>
          <w:trHeight w:val="333"/>
        </w:trPr>
        <w:tc>
          <w:tcPr>
            <w:tcW w:w="709"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94</w:t>
            </w:r>
          </w:p>
        </w:tc>
        <w:tc>
          <w:tcPr>
            <w:tcW w:w="6946" w:type="dxa"/>
            <w:noWrap/>
            <w:hideMark/>
          </w:tcPr>
          <w:p w:rsidR="001B4563" w:rsidRPr="00DF7224" w:rsidRDefault="001B4563" w:rsidP="007E0CA0">
            <w:pP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Мебель; постельные принадлежности, матрацы, основы матрацные, диванные подушки и аналогичные набивные принадлежности мебели; лампы и осветительное оборудование, в другом месте не поименованные или не включенные; световые вывески, световые таблички с именем или названием, или адресом и аналогичные изделия; сборные строительные конструкции</w:t>
            </w:r>
          </w:p>
        </w:tc>
        <w:tc>
          <w:tcPr>
            <w:tcW w:w="1843" w:type="dxa"/>
            <w:noWrap/>
            <w:vAlign w:val="center"/>
            <w:hideMark/>
          </w:tcPr>
          <w:p w:rsidR="001B4563" w:rsidRPr="00DF7224" w:rsidRDefault="001B4563" w:rsidP="007E0CA0">
            <w:pPr>
              <w:jc w:val="center"/>
              <w:rPr>
                <w:rFonts w:ascii="Times New Roman" w:eastAsia="Times New Roman" w:hAnsi="Times New Roman" w:cs="Times New Roman"/>
                <w:color w:val="000000"/>
                <w:sz w:val="24"/>
                <w:szCs w:val="24"/>
                <w:lang w:eastAsia="ru-RU"/>
              </w:rPr>
            </w:pPr>
            <w:r w:rsidRPr="00DF7224">
              <w:rPr>
                <w:rFonts w:ascii="Times New Roman" w:eastAsia="Times New Roman" w:hAnsi="Times New Roman" w:cs="Times New Roman"/>
                <w:color w:val="000000"/>
                <w:sz w:val="24"/>
                <w:szCs w:val="24"/>
                <w:lang w:eastAsia="ru-RU"/>
              </w:rPr>
              <w:t>1,34</w:t>
            </w:r>
          </w:p>
        </w:tc>
      </w:tr>
    </w:tbl>
    <w:p w:rsidR="001B4563" w:rsidRPr="00DF7224" w:rsidRDefault="001B4563" w:rsidP="00461892">
      <w:pPr>
        <w:spacing w:after="0" w:line="240" w:lineRule="auto"/>
        <w:ind w:firstLine="709"/>
        <w:rPr>
          <w:rFonts w:ascii="Times New Roman" w:hAnsi="Times New Roman" w:cs="Times New Roman"/>
          <w:color w:val="000000" w:themeColor="text1"/>
          <w:sz w:val="20"/>
          <w:szCs w:val="28"/>
        </w:rPr>
      </w:pPr>
      <w:r w:rsidRPr="00DF7224">
        <w:rPr>
          <w:rFonts w:ascii="Times New Roman" w:hAnsi="Times New Roman" w:cs="Times New Roman"/>
          <w:i/>
          <w:color w:val="000000" w:themeColor="text1"/>
          <w:sz w:val="20"/>
          <w:szCs w:val="28"/>
        </w:rPr>
        <w:t>Источник:</w:t>
      </w:r>
      <w:r w:rsidRPr="00DF7224">
        <w:rPr>
          <w:rFonts w:ascii="Times New Roman" w:hAnsi="Times New Roman" w:cs="Times New Roman"/>
          <w:color w:val="000000" w:themeColor="text1"/>
          <w:sz w:val="20"/>
          <w:szCs w:val="28"/>
        </w:rPr>
        <w:t xml:space="preserve"> составлено автором по данным Ru-Stat, </w:t>
      </w:r>
      <w:r w:rsidR="006B24AE" w:rsidRPr="00DF7224">
        <w:rPr>
          <w:rFonts w:ascii="Times New Roman" w:hAnsi="Times New Roman" w:cs="Times New Roman"/>
          <w:color w:val="000000" w:themeColor="text1"/>
          <w:sz w:val="20"/>
          <w:szCs w:val="28"/>
        </w:rPr>
        <w:t>https://ru-stat.com/date-M201610-201710/RU/export/ES</w:t>
      </w:r>
      <w:r w:rsidRPr="00DF7224" w:rsidDel="00A974A8">
        <w:rPr>
          <w:rFonts w:ascii="Times New Roman" w:hAnsi="Times New Roman" w:cs="Times New Roman"/>
          <w:color w:val="000000" w:themeColor="text1"/>
          <w:sz w:val="20"/>
          <w:szCs w:val="28"/>
        </w:rPr>
        <w:t xml:space="preserve"> </w:t>
      </w:r>
    </w:p>
    <w:p w:rsidR="006B24AE" w:rsidRPr="00DF7224" w:rsidRDefault="006B24AE" w:rsidP="006B24AE">
      <w:pPr>
        <w:spacing w:after="0" w:line="360" w:lineRule="auto"/>
        <w:ind w:firstLine="709"/>
        <w:rPr>
          <w:rFonts w:ascii="Times New Roman" w:hAnsi="Times New Roman" w:cs="Times New Roman"/>
          <w:color w:val="000000" w:themeColor="text1"/>
          <w:szCs w:val="28"/>
        </w:rPr>
      </w:pPr>
    </w:p>
    <w:p w:rsidR="001B4563" w:rsidRPr="00DF7224" w:rsidRDefault="001B4563" w:rsidP="007E0CA0">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lastRenderedPageBreak/>
        <w:t>Можно заметить, что экспорт России в Испанию менее диверсифицирован, чем импорт. С одной стороны, Испания экспортирует больше видов продукции в РФ, тем самым продвигает свою национальную продукцию и производство. С другой стороны, Испания заинтересована в России как в партнере по импорту в основном только в энергетической и ресурсной отрасли, для другой же продукции Испания выбирает других партеров с лучшим качеством и упрощенной логистикой. Из-за введенных ЕС санкций импорт из России стал еще менее диверсифицированным.</w:t>
      </w:r>
    </w:p>
    <w:p w:rsidR="001B4563" w:rsidRPr="00DF7224" w:rsidRDefault="001B4563" w:rsidP="007E0CA0">
      <w:pPr>
        <w:spacing w:after="0" w:line="360" w:lineRule="auto"/>
        <w:ind w:firstLine="709"/>
        <w:jc w:val="both"/>
        <w:rPr>
          <w:rFonts w:ascii="Times New Roman" w:hAnsi="Times New Roman" w:cs="Times New Roman"/>
          <w:color w:val="000000" w:themeColor="text1"/>
          <w:sz w:val="28"/>
          <w:szCs w:val="28"/>
        </w:rPr>
      </w:pPr>
      <w:r w:rsidRPr="00DF7224">
        <w:rPr>
          <w:rFonts w:ascii="Times New Roman" w:hAnsi="Times New Roman" w:cs="Times New Roman"/>
          <w:color w:val="000000" w:themeColor="text1"/>
          <w:sz w:val="28"/>
          <w:szCs w:val="28"/>
        </w:rPr>
        <w:t>До настоящего времени сохраняется негативный политический фон для развития торгово-экономических связей между Россией и Испанией в результате введения санкций и ответных специальных экономических мер России на ввоз отдельных видов продукции из стран ЕС. В 2017 г</w:t>
      </w:r>
      <w:r w:rsidR="006B24AE" w:rsidRPr="00DF7224">
        <w:rPr>
          <w:rFonts w:ascii="Times New Roman" w:hAnsi="Times New Roman" w:cs="Times New Roman"/>
          <w:color w:val="000000" w:themeColor="text1"/>
          <w:sz w:val="28"/>
          <w:szCs w:val="28"/>
        </w:rPr>
        <w:t>.</w:t>
      </w:r>
      <w:r w:rsidRPr="00DF7224">
        <w:rPr>
          <w:rFonts w:ascii="Times New Roman" w:hAnsi="Times New Roman" w:cs="Times New Roman"/>
          <w:color w:val="000000" w:themeColor="text1"/>
          <w:sz w:val="28"/>
          <w:szCs w:val="28"/>
        </w:rPr>
        <w:t xml:space="preserve"> Испания продолжила следовать курсу США и стран НАТО, усилив при этом антироссийскую риторику из-за событий в Каталонии. Каталонский кризис вызвал неоднозначное отношение испанцев к России за «якобы имевшее место вмешательство российских хакеров»</w:t>
      </w:r>
      <w:r w:rsidRPr="00DF7224">
        <w:rPr>
          <w:rFonts w:ascii="Times New Roman" w:hAnsi="Times New Roman" w:cs="Times New Roman"/>
          <w:color w:val="000000" w:themeColor="text1"/>
          <w:sz w:val="28"/>
          <w:szCs w:val="28"/>
          <w:vertAlign w:val="superscript"/>
        </w:rPr>
        <w:footnoteReference w:id="14"/>
      </w:r>
      <w:r w:rsidRPr="00DF7224">
        <w:rPr>
          <w:rFonts w:ascii="Times New Roman" w:hAnsi="Times New Roman" w:cs="Times New Roman"/>
          <w:color w:val="000000" w:themeColor="text1"/>
          <w:sz w:val="28"/>
          <w:szCs w:val="28"/>
        </w:rPr>
        <w:t xml:space="preserve"> в каталонский референдум, что также повлияло на развитие двухсторонних торгово-экономических отношений.</w:t>
      </w:r>
    </w:p>
    <w:p w:rsidR="001B4563"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 xml:space="preserve">Несмотря на поддержку Испанией введенных Брюсселем санкций в отношении России, и значительное снижение объема торговых связей между нашими странами в период 2014-2016 гг., Испания продолжает рассматривать Россию как значимого и перспективного торгово-экономического партнера с большим потенциалом роста. Несмотря на сокращение как стоимостных, так и физических показателей двусторонней торговли в 2014-2016 гг., а также нестабильную политическую конъюнктуру, с 2017 г. наблюдается восстановление положительной динамики в торговых связях между нашими странами. </w:t>
      </w:r>
    </w:p>
    <w:p w:rsidR="009C3E55" w:rsidRPr="00DF7224" w:rsidRDefault="001B456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lastRenderedPageBreak/>
        <w:t>Наиболее привлекательными для испанских компаний являются автомобильный, энергетический, сельскохозяйственный сектора, а также сектор строительных материалов. Что касается инвестиционных проектов, то Россия занимает 35-ю позицию по показателю совокупного объема испанских инвестиций, но она поднялась на 7 позиций п</w:t>
      </w:r>
      <w:r w:rsidR="00650982" w:rsidRPr="00DF7224">
        <w:rPr>
          <w:rFonts w:ascii="Times New Roman" w:hAnsi="Times New Roman" w:cs="Times New Roman"/>
          <w:sz w:val="28"/>
          <w:szCs w:val="28"/>
        </w:rPr>
        <w:t>о сравнению с предыдущим годом.</w:t>
      </w:r>
      <w:r w:rsidR="00001C70" w:rsidRPr="00DF7224">
        <w:rPr>
          <w:rFonts w:ascii="Times New Roman" w:hAnsi="Times New Roman" w:cs="Times New Roman"/>
          <w:sz w:val="28"/>
          <w:szCs w:val="28"/>
        </w:rPr>
        <w:t xml:space="preserve"> На рисунках 3.5 и 3.6 представлены ПИИ из Испании в РФ и ПИИ в Испанию из РФ соответственно.</w:t>
      </w:r>
    </w:p>
    <w:p w:rsidR="005A101F" w:rsidRPr="00DF7224" w:rsidRDefault="005A101F" w:rsidP="007E0CA0">
      <w:pPr>
        <w:spacing w:after="0" w:line="360" w:lineRule="auto"/>
        <w:ind w:firstLine="709"/>
        <w:jc w:val="both"/>
        <w:rPr>
          <w:rFonts w:ascii="Times New Roman" w:hAnsi="Times New Roman" w:cs="Times New Roman"/>
          <w:sz w:val="28"/>
          <w:szCs w:val="28"/>
        </w:rPr>
      </w:pPr>
    </w:p>
    <w:p w:rsidR="009C3E55" w:rsidRPr="00DF7224" w:rsidRDefault="009C3E55" w:rsidP="007E0CA0">
      <w:pPr>
        <w:spacing w:after="0" w:line="240" w:lineRule="auto"/>
        <w:ind w:firstLine="709"/>
        <w:jc w:val="center"/>
        <w:rPr>
          <w:rFonts w:ascii="Times New Roman" w:hAnsi="Times New Roman" w:cs="Times New Roman"/>
          <w:sz w:val="28"/>
          <w:szCs w:val="28"/>
        </w:rPr>
      </w:pPr>
      <w:r w:rsidRPr="00DF7224">
        <w:rPr>
          <w:rFonts w:ascii="Times New Roman" w:hAnsi="Times New Roman" w:cs="Times New Roman"/>
          <w:noProof/>
          <w:lang w:eastAsia="ru-RU"/>
        </w:rPr>
        <w:drawing>
          <wp:inline distT="0" distB="0" distL="0" distR="0" wp14:anchorId="467C16A3" wp14:editId="217D523E">
            <wp:extent cx="4405745" cy="1923802"/>
            <wp:effectExtent l="0" t="0" r="13970" b="1968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3E55" w:rsidRPr="00DF7224" w:rsidRDefault="00001C70" w:rsidP="006B24AE">
      <w:pPr>
        <w:spacing w:after="0" w:line="240" w:lineRule="auto"/>
        <w:ind w:firstLine="709"/>
        <w:jc w:val="center"/>
        <w:rPr>
          <w:rFonts w:ascii="Times New Roman" w:hAnsi="Times New Roman" w:cs="Times New Roman"/>
          <w:sz w:val="28"/>
          <w:szCs w:val="28"/>
        </w:rPr>
      </w:pPr>
      <w:r w:rsidRPr="00DF7224">
        <w:rPr>
          <w:rFonts w:ascii="Times New Roman" w:hAnsi="Times New Roman" w:cs="Times New Roman"/>
          <w:sz w:val="28"/>
          <w:szCs w:val="28"/>
        </w:rPr>
        <w:t>Рисунок 3.5</w:t>
      </w:r>
      <w:r w:rsidR="009C3E55" w:rsidRPr="00DF7224">
        <w:rPr>
          <w:rFonts w:ascii="Times New Roman" w:hAnsi="Times New Roman" w:cs="Times New Roman"/>
          <w:sz w:val="28"/>
          <w:szCs w:val="28"/>
        </w:rPr>
        <w:t xml:space="preserve"> – Прямые инвестиции из Испании в Российскую Федерацию (участие в капитале, реинвестирование доходов и долговые инструменты), (млн. долл. США)</w:t>
      </w:r>
    </w:p>
    <w:p w:rsidR="006B24AE" w:rsidRPr="00DF7224" w:rsidRDefault="006B24AE" w:rsidP="006B24AE">
      <w:pPr>
        <w:spacing w:after="0" w:line="240" w:lineRule="auto"/>
        <w:ind w:firstLine="709"/>
        <w:rPr>
          <w:rFonts w:ascii="Times New Roman" w:hAnsi="Times New Roman" w:cs="Times New Roman"/>
          <w:sz w:val="28"/>
          <w:szCs w:val="28"/>
        </w:rPr>
      </w:pPr>
    </w:p>
    <w:p w:rsidR="009C3E55" w:rsidRPr="00DF7224" w:rsidRDefault="009C3E55" w:rsidP="006B24AE">
      <w:pPr>
        <w:spacing w:after="0" w:line="240" w:lineRule="auto"/>
        <w:ind w:firstLine="709"/>
        <w:rPr>
          <w:rFonts w:ascii="Times New Roman" w:hAnsi="Times New Roman" w:cs="Times New Roman"/>
          <w:sz w:val="20"/>
        </w:rPr>
      </w:pPr>
      <w:r w:rsidRPr="00DF7224">
        <w:rPr>
          <w:rFonts w:ascii="Times New Roman" w:hAnsi="Times New Roman" w:cs="Times New Roman"/>
          <w:i/>
          <w:sz w:val="20"/>
        </w:rPr>
        <w:t>Источник:</w:t>
      </w:r>
      <w:r w:rsidRPr="00DF7224">
        <w:rPr>
          <w:rFonts w:ascii="Times New Roman" w:hAnsi="Times New Roman" w:cs="Times New Roman"/>
          <w:sz w:val="20"/>
        </w:rPr>
        <w:t xml:space="preserve"> составлено автором по данным платежного баланса Российской Федерации - сальдо операций</w:t>
      </w:r>
    </w:p>
    <w:p w:rsidR="006B24AE" w:rsidRPr="00DF7224" w:rsidRDefault="006B24AE" w:rsidP="006B24AE">
      <w:pPr>
        <w:spacing w:after="0" w:line="240" w:lineRule="auto"/>
        <w:ind w:firstLine="709"/>
        <w:rPr>
          <w:rFonts w:ascii="Times New Roman" w:hAnsi="Times New Roman" w:cs="Times New Roman"/>
          <w:sz w:val="24"/>
        </w:rPr>
      </w:pPr>
    </w:p>
    <w:p w:rsidR="009C3E55" w:rsidRPr="00DF7224" w:rsidRDefault="009C3E55" w:rsidP="007E0CA0">
      <w:pPr>
        <w:spacing w:after="0" w:line="240" w:lineRule="auto"/>
        <w:ind w:firstLine="709"/>
        <w:jc w:val="center"/>
        <w:rPr>
          <w:rFonts w:ascii="Times New Roman" w:hAnsi="Times New Roman" w:cs="Times New Roman"/>
          <w:sz w:val="28"/>
          <w:szCs w:val="28"/>
        </w:rPr>
      </w:pPr>
      <w:r w:rsidRPr="00DF7224">
        <w:rPr>
          <w:rFonts w:ascii="Times New Roman" w:hAnsi="Times New Roman" w:cs="Times New Roman"/>
          <w:noProof/>
          <w:sz w:val="28"/>
          <w:szCs w:val="28"/>
          <w:lang w:eastAsia="ru-RU"/>
        </w:rPr>
        <w:drawing>
          <wp:inline distT="0" distB="0" distL="0" distR="0" wp14:anchorId="5FC8E4FF" wp14:editId="3905E7A0">
            <wp:extent cx="4215740" cy="1911927"/>
            <wp:effectExtent l="0" t="0" r="13970" b="1270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24AE" w:rsidRPr="00DF7224" w:rsidRDefault="006B24AE" w:rsidP="007E0CA0">
      <w:pPr>
        <w:spacing w:after="0" w:line="240" w:lineRule="auto"/>
        <w:ind w:firstLine="709"/>
        <w:jc w:val="center"/>
        <w:rPr>
          <w:rFonts w:ascii="Times New Roman" w:hAnsi="Times New Roman" w:cs="Times New Roman"/>
          <w:sz w:val="28"/>
          <w:szCs w:val="28"/>
        </w:rPr>
      </w:pPr>
    </w:p>
    <w:p w:rsidR="009C3E55" w:rsidRPr="00DF7224" w:rsidRDefault="00001C70" w:rsidP="006B24AE">
      <w:pPr>
        <w:spacing w:after="0" w:line="240" w:lineRule="auto"/>
        <w:ind w:firstLine="709"/>
        <w:jc w:val="center"/>
        <w:rPr>
          <w:rFonts w:ascii="Times New Roman" w:hAnsi="Times New Roman" w:cs="Times New Roman"/>
          <w:sz w:val="28"/>
          <w:szCs w:val="28"/>
        </w:rPr>
      </w:pPr>
      <w:r w:rsidRPr="00DF7224">
        <w:rPr>
          <w:rFonts w:ascii="Times New Roman" w:hAnsi="Times New Roman" w:cs="Times New Roman"/>
          <w:sz w:val="28"/>
          <w:szCs w:val="28"/>
        </w:rPr>
        <w:t>Рисунок 3.6</w:t>
      </w:r>
      <w:r w:rsidR="009C3E55" w:rsidRPr="00DF7224">
        <w:rPr>
          <w:rFonts w:ascii="Times New Roman" w:hAnsi="Times New Roman" w:cs="Times New Roman"/>
          <w:sz w:val="28"/>
          <w:szCs w:val="28"/>
        </w:rPr>
        <w:t xml:space="preserve"> – Прямые инвестиции из Российской Федерации в Испанию (участие в капитале, реинвестирование доходов и долговые инструменты), (млн. долл. США)</w:t>
      </w:r>
    </w:p>
    <w:p w:rsidR="006B24AE" w:rsidRPr="00DF7224" w:rsidRDefault="006B24AE" w:rsidP="007E0CA0">
      <w:pPr>
        <w:spacing w:after="0" w:line="240" w:lineRule="auto"/>
        <w:ind w:firstLine="709"/>
        <w:rPr>
          <w:rFonts w:ascii="Times New Roman" w:hAnsi="Times New Roman" w:cs="Times New Roman"/>
          <w:sz w:val="28"/>
          <w:szCs w:val="28"/>
        </w:rPr>
      </w:pPr>
    </w:p>
    <w:p w:rsidR="009C3E55" w:rsidRPr="00DF7224" w:rsidRDefault="009C3E55" w:rsidP="006B24AE">
      <w:pPr>
        <w:spacing w:after="0" w:line="240" w:lineRule="auto"/>
        <w:ind w:firstLine="709"/>
        <w:rPr>
          <w:rFonts w:ascii="Times New Roman" w:hAnsi="Times New Roman" w:cs="Times New Roman"/>
          <w:sz w:val="20"/>
        </w:rPr>
      </w:pPr>
      <w:r w:rsidRPr="00DF7224">
        <w:rPr>
          <w:rFonts w:ascii="Times New Roman" w:hAnsi="Times New Roman" w:cs="Times New Roman"/>
          <w:i/>
          <w:sz w:val="20"/>
        </w:rPr>
        <w:t>Источник:</w:t>
      </w:r>
      <w:r w:rsidRPr="00DF7224">
        <w:rPr>
          <w:rFonts w:ascii="Times New Roman" w:hAnsi="Times New Roman" w:cs="Times New Roman"/>
          <w:sz w:val="20"/>
        </w:rPr>
        <w:t xml:space="preserve"> составлено автором по данным платежного баланса Российс</w:t>
      </w:r>
      <w:r w:rsidR="00E9164D" w:rsidRPr="00DF7224">
        <w:rPr>
          <w:rFonts w:ascii="Times New Roman" w:hAnsi="Times New Roman" w:cs="Times New Roman"/>
          <w:sz w:val="20"/>
        </w:rPr>
        <w:t>кой Федерации - сальдо операций</w:t>
      </w:r>
    </w:p>
    <w:p w:rsidR="006B24AE" w:rsidRPr="00DF7224" w:rsidRDefault="006B24AE" w:rsidP="007E0CA0">
      <w:pPr>
        <w:spacing w:after="0" w:line="240" w:lineRule="auto"/>
        <w:rPr>
          <w:rFonts w:ascii="Times New Roman" w:hAnsi="Times New Roman" w:cs="Times New Roman"/>
          <w:sz w:val="24"/>
        </w:rPr>
      </w:pPr>
    </w:p>
    <w:p w:rsidR="00DB3C34" w:rsidRPr="00DF7224" w:rsidRDefault="00217CB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По данным Испанского института внешней торговли ICEX, в 2017 г. в России было зарегистрировано и осуществляло свою торговую или инвестиционную деяте</w:t>
      </w:r>
      <w:r w:rsidR="00E9164D" w:rsidRPr="00DF7224">
        <w:rPr>
          <w:rFonts w:ascii="Times New Roman" w:hAnsi="Times New Roman" w:cs="Times New Roman"/>
          <w:sz w:val="28"/>
          <w:szCs w:val="28"/>
        </w:rPr>
        <w:t xml:space="preserve">льность 107 испанских компаний. </w:t>
      </w:r>
      <w:r w:rsidR="00DB3C34" w:rsidRPr="00DF7224">
        <w:rPr>
          <w:rFonts w:ascii="Times New Roman" w:hAnsi="Times New Roman" w:cs="Times New Roman"/>
          <w:sz w:val="28"/>
          <w:szCs w:val="28"/>
        </w:rPr>
        <w:t>Примерами инвестиционного взаимодействия Испании с Россией являются</w:t>
      </w:r>
      <w:r w:rsidR="001440D8" w:rsidRPr="00DF7224">
        <w:rPr>
          <w:rFonts w:ascii="Times New Roman" w:hAnsi="Times New Roman" w:cs="Times New Roman"/>
          <w:sz w:val="28"/>
          <w:szCs w:val="28"/>
        </w:rPr>
        <w:t>:</w:t>
      </w:r>
    </w:p>
    <w:p w:rsidR="00650982" w:rsidRPr="00DF7224" w:rsidRDefault="00001C70" w:rsidP="007E0CA0">
      <w:pPr>
        <w:pStyle w:val="aa"/>
        <w:numPr>
          <w:ilvl w:val="0"/>
          <w:numId w:val="36"/>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В феврале</w:t>
      </w:r>
      <w:r w:rsidR="00217CB3" w:rsidRPr="00DF7224">
        <w:rPr>
          <w:rFonts w:ascii="Times New Roman" w:hAnsi="Times New Roman" w:cs="Times New Roman"/>
          <w:sz w:val="28"/>
          <w:szCs w:val="28"/>
        </w:rPr>
        <w:t xml:space="preserve"> 2017 года СП Группы «Черкизово» и Grupo Fuertes ООО «Тамбовская индейка» начала розничные продажи продукции из мяса индейки под новой торговой маркой «Пава-Пава», которые поступили в продажу в </w:t>
      </w:r>
      <w:r w:rsidR="00650982" w:rsidRPr="00DF7224">
        <w:rPr>
          <w:rFonts w:ascii="Times New Roman" w:hAnsi="Times New Roman" w:cs="Times New Roman"/>
          <w:sz w:val="28"/>
          <w:szCs w:val="28"/>
        </w:rPr>
        <w:t>супермаркеты.</w:t>
      </w:r>
    </w:p>
    <w:p w:rsidR="00650982" w:rsidRPr="00DF7224" w:rsidRDefault="00217CB3" w:rsidP="007E0CA0">
      <w:pPr>
        <w:pStyle w:val="aa"/>
        <w:numPr>
          <w:ilvl w:val="0"/>
          <w:numId w:val="36"/>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В июле 2017 г. ПАО «Газпром нефть» и испанская компания «Repsol» подписали Меморандум о взаимопонимании, определяющий направления развития сотрудничества в рамках совместного предприятия по освоению углеводородных месторождений в Хант</w:t>
      </w:r>
      <w:r w:rsidR="00650982" w:rsidRPr="00DF7224">
        <w:rPr>
          <w:rFonts w:ascii="Times New Roman" w:hAnsi="Times New Roman" w:cs="Times New Roman"/>
          <w:sz w:val="28"/>
          <w:szCs w:val="28"/>
        </w:rPr>
        <w:t>ы-Мансийском автономном округе –</w:t>
      </w:r>
      <w:r w:rsidRPr="00DF7224">
        <w:rPr>
          <w:rFonts w:ascii="Times New Roman" w:hAnsi="Times New Roman" w:cs="Times New Roman"/>
          <w:sz w:val="28"/>
          <w:szCs w:val="28"/>
        </w:rPr>
        <w:t xml:space="preserve"> Югре. Меморандум заинтересованность сторон в дальнейшем </w:t>
      </w:r>
      <w:r w:rsidR="00650982" w:rsidRPr="00DF7224">
        <w:rPr>
          <w:rFonts w:ascii="Times New Roman" w:hAnsi="Times New Roman" w:cs="Times New Roman"/>
          <w:sz w:val="28"/>
          <w:szCs w:val="28"/>
        </w:rPr>
        <w:t xml:space="preserve">развитии компании «ЕвротэкЮгра» - </w:t>
      </w:r>
      <w:r w:rsidRPr="00DF7224">
        <w:rPr>
          <w:rFonts w:ascii="Times New Roman" w:hAnsi="Times New Roman" w:cs="Times New Roman"/>
          <w:sz w:val="28"/>
          <w:szCs w:val="28"/>
        </w:rPr>
        <w:t>совместного предприятия «Газпром нефти» и Repsol</w:t>
      </w:r>
      <w:r w:rsidR="00650982" w:rsidRPr="00DF7224">
        <w:rPr>
          <w:rFonts w:ascii="Times New Roman" w:hAnsi="Times New Roman" w:cs="Times New Roman"/>
          <w:sz w:val="28"/>
          <w:szCs w:val="28"/>
        </w:rPr>
        <w:t>.</w:t>
      </w:r>
    </w:p>
    <w:p w:rsidR="008F6E50" w:rsidRPr="00DF7224" w:rsidRDefault="00217CB3" w:rsidP="007E0CA0">
      <w:pPr>
        <w:spacing w:after="0" w:line="360" w:lineRule="auto"/>
        <w:ind w:firstLine="709"/>
        <w:jc w:val="both"/>
        <w:rPr>
          <w:rFonts w:ascii="Times New Roman" w:hAnsi="Times New Roman" w:cs="Times New Roman"/>
          <w:sz w:val="28"/>
          <w:szCs w:val="28"/>
        </w:rPr>
      </w:pPr>
      <w:r w:rsidRPr="00DF7224">
        <w:rPr>
          <w:rFonts w:ascii="Times New Roman" w:hAnsi="Times New Roman" w:cs="Times New Roman"/>
          <w:sz w:val="28"/>
          <w:szCs w:val="28"/>
        </w:rPr>
        <w:t>Что касается российских инвестиций в Испанию в 2017 г., можно отметить</w:t>
      </w:r>
      <w:r w:rsidR="008F6E50" w:rsidRPr="00DF7224">
        <w:rPr>
          <w:rFonts w:ascii="Times New Roman" w:hAnsi="Times New Roman" w:cs="Times New Roman"/>
          <w:sz w:val="28"/>
          <w:szCs w:val="28"/>
        </w:rPr>
        <w:t xml:space="preserve"> следующие проекты:</w:t>
      </w:r>
    </w:p>
    <w:p w:rsidR="00E9164D" w:rsidRPr="00DF7224" w:rsidRDefault="008F6E50" w:rsidP="007E0CA0">
      <w:pPr>
        <w:pStyle w:val="aa"/>
        <w:numPr>
          <w:ilvl w:val="0"/>
          <w:numId w:val="37"/>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П</w:t>
      </w:r>
      <w:r w:rsidR="00217CB3" w:rsidRPr="00DF7224">
        <w:rPr>
          <w:rFonts w:ascii="Times New Roman" w:hAnsi="Times New Roman" w:cs="Times New Roman"/>
          <w:sz w:val="28"/>
          <w:szCs w:val="28"/>
        </w:rPr>
        <w:t>риобретение АО "МХК "ЕвроХим миноритарного пакета акций (50%-1 акция) испанской компании Hispalense de Liquidos, семейного предприятия по производству жидких NPK-блендов. Благодаря этой сделке EuroChem получило доступ к новым производственным мощностям и техническому ноу-хау, что позволит расширить ассортимент премиальных удобрений группы.</w:t>
      </w:r>
    </w:p>
    <w:p w:rsidR="00E9164D" w:rsidRPr="00DF7224" w:rsidRDefault="00217CB3" w:rsidP="007E0CA0">
      <w:pPr>
        <w:pStyle w:val="aa"/>
        <w:numPr>
          <w:ilvl w:val="0"/>
          <w:numId w:val="37"/>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 xml:space="preserve">В июне 2017 года ПАО «Энел Россия» (входит в международный холдинг Enel Investment Holding B.V.) выиграло тендер, организованный Министерством энергетики России, на строительство 2 ветропарков - в Ростовской обл. и ветропарк в Мурманской области, который будет введен в эксплуатацию к 2021 году. Общий объем инвестиций, необходимый для строительства двух ветропарков, </w:t>
      </w:r>
      <w:r w:rsidRPr="00DF7224">
        <w:rPr>
          <w:rFonts w:ascii="Times New Roman" w:hAnsi="Times New Roman" w:cs="Times New Roman"/>
          <w:sz w:val="28"/>
          <w:szCs w:val="28"/>
        </w:rPr>
        <w:lastRenderedPageBreak/>
        <w:t>составит порядка 405 миллионов евро. Вырабатываемая ветропарками электроэнергия будет про</w:t>
      </w:r>
      <w:r w:rsidR="00E9164D" w:rsidRPr="00DF7224">
        <w:rPr>
          <w:rFonts w:ascii="Times New Roman" w:hAnsi="Times New Roman" w:cs="Times New Roman"/>
          <w:sz w:val="28"/>
          <w:szCs w:val="28"/>
        </w:rPr>
        <w:t xml:space="preserve">даваться на российском оптовом </w:t>
      </w:r>
      <w:r w:rsidRPr="00DF7224">
        <w:rPr>
          <w:rFonts w:ascii="Times New Roman" w:hAnsi="Times New Roman" w:cs="Times New Roman"/>
          <w:sz w:val="28"/>
          <w:szCs w:val="28"/>
        </w:rPr>
        <w:t xml:space="preserve"> рынке. В качестве технологического партнера для реализации этих проектов было выбрано совместное немецко-испанское предприятие Siemens – Gamesa, один из крупнейших в мире </w:t>
      </w:r>
      <w:r w:rsidR="00E9164D" w:rsidRPr="00DF7224">
        <w:rPr>
          <w:rFonts w:ascii="Times New Roman" w:hAnsi="Times New Roman" w:cs="Times New Roman"/>
          <w:sz w:val="28"/>
          <w:szCs w:val="28"/>
        </w:rPr>
        <w:t>производителей ветряных турбин..</w:t>
      </w:r>
    </w:p>
    <w:p w:rsidR="008F6E50" w:rsidRPr="00203ED0" w:rsidRDefault="00217CB3" w:rsidP="007E0CA0">
      <w:pPr>
        <w:pStyle w:val="aa"/>
        <w:numPr>
          <w:ilvl w:val="0"/>
          <w:numId w:val="37"/>
        </w:numPr>
        <w:spacing w:after="0" w:line="360" w:lineRule="auto"/>
        <w:jc w:val="both"/>
        <w:rPr>
          <w:rFonts w:ascii="Times New Roman" w:hAnsi="Times New Roman" w:cs="Times New Roman"/>
          <w:sz w:val="28"/>
          <w:szCs w:val="28"/>
        </w:rPr>
      </w:pPr>
      <w:r w:rsidRPr="00DF7224">
        <w:rPr>
          <w:rFonts w:ascii="Times New Roman" w:hAnsi="Times New Roman" w:cs="Times New Roman"/>
          <w:sz w:val="28"/>
          <w:szCs w:val="28"/>
        </w:rPr>
        <w:t>В марте 2017 года совместно с Минпромторгом России была разработана дорожная карта по разме</w:t>
      </w:r>
      <w:r w:rsidR="004679FF" w:rsidRPr="00DF7224">
        <w:rPr>
          <w:rFonts w:ascii="Times New Roman" w:hAnsi="Times New Roman" w:cs="Times New Roman"/>
          <w:sz w:val="28"/>
          <w:szCs w:val="28"/>
        </w:rPr>
        <w:t xml:space="preserve">щению заказа продукции компании INDITEX </w:t>
      </w:r>
      <w:r w:rsidRPr="00DF7224">
        <w:rPr>
          <w:rFonts w:ascii="Times New Roman" w:hAnsi="Times New Roman" w:cs="Times New Roman"/>
          <w:sz w:val="28"/>
          <w:szCs w:val="28"/>
        </w:rPr>
        <w:t xml:space="preserve">на российских предприятиях легкой </w:t>
      </w:r>
      <w:r w:rsidR="004679FF" w:rsidRPr="00DF7224">
        <w:rPr>
          <w:rFonts w:ascii="Times New Roman" w:hAnsi="Times New Roman" w:cs="Times New Roman"/>
          <w:sz w:val="28"/>
          <w:szCs w:val="28"/>
        </w:rPr>
        <w:t>промышленности</w:t>
      </w:r>
      <w:r w:rsidR="008F6E50" w:rsidRPr="00DF7224">
        <w:rPr>
          <w:rFonts w:ascii="Times New Roman" w:hAnsi="Times New Roman" w:cs="Times New Roman"/>
          <w:sz w:val="28"/>
          <w:szCs w:val="28"/>
        </w:rPr>
        <w:t xml:space="preserve">. </w:t>
      </w:r>
      <w:r w:rsidRPr="00DF7224">
        <w:rPr>
          <w:rFonts w:ascii="Times New Roman" w:hAnsi="Times New Roman" w:cs="Times New Roman"/>
          <w:sz w:val="28"/>
          <w:szCs w:val="28"/>
        </w:rPr>
        <w:t>Фабрики, с которыми были проведены переговоры от компании INDITEX получили задание на выполнение тестовых образцов. На сегодняшний день ряд брендов группы компаний INDITEX ведут работу</w:t>
      </w:r>
      <w:r w:rsidRPr="00203ED0">
        <w:rPr>
          <w:rFonts w:ascii="Times New Roman" w:hAnsi="Times New Roman" w:cs="Times New Roman"/>
          <w:sz w:val="28"/>
          <w:szCs w:val="28"/>
        </w:rPr>
        <w:t xml:space="preserve"> с 11 фабриками, с которыми подписаны договоры экспорта товаров в Испанию, размещены заказы на контрактное производство товаров в России. По итогам 2017 года объем экспорта товаров, произведенных на российских фабриках по заказу группы компаний Inditex для продажи во всей мировой сети магазинов составил почти 1 млн евро. </w:t>
      </w:r>
    </w:p>
    <w:p w:rsidR="001B4563" w:rsidRDefault="001B4563" w:rsidP="007E0CA0">
      <w:pPr>
        <w:spacing w:after="0" w:line="360" w:lineRule="auto"/>
        <w:ind w:firstLine="709"/>
        <w:jc w:val="both"/>
        <w:rPr>
          <w:rFonts w:ascii="Times New Roman" w:hAnsi="Times New Roman" w:cs="Times New Roman"/>
          <w:sz w:val="28"/>
          <w:szCs w:val="28"/>
        </w:rPr>
      </w:pPr>
      <w:r w:rsidRPr="00203ED0">
        <w:rPr>
          <w:rFonts w:ascii="Times New Roman" w:hAnsi="Times New Roman" w:cs="Times New Roman"/>
          <w:sz w:val="28"/>
          <w:szCs w:val="28"/>
        </w:rPr>
        <w:t xml:space="preserve">За период становления испанско-российских отношений двустороннее сотрудничество приобрело собственную «кинетическую энергию», позволившую сохранить положительные импульсы даже в условиях усилившихся российско-западных противоречий. </w:t>
      </w:r>
    </w:p>
    <w:p w:rsidR="006D26B3" w:rsidRPr="00203ED0" w:rsidRDefault="006D26B3" w:rsidP="007E0CA0">
      <w:pPr>
        <w:spacing w:after="0" w:line="360" w:lineRule="auto"/>
        <w:ind w:firstLine="709"/>
        <w:jc w:val="both"/>
        <w:rPr>
          <w:rFonts w:ascii="Times New Roman" w:hAnsi="Times New Roman" w:cs="Times New Roman"/>
          <w:sz w:val="28"/>
          <w:szCs w:val="28"/>
        </w:rPr>
      </w:pPr>
    </w:p>
    <w:p w:rsidR="001B4563" w:rsidRDefault="007D04A0" w:rsidP="006D26B3">
      <w:pPr>
        <w:keepNext/>
        <w:keepLines/>
        <w:spacing w:after="0" w:line="360" w:lineRule="auto"/>
        <w:ind w:firstLine="709"/>
        <w:outlineLvl w:val="0"/>
        <w:rPr>
          <w:rFonts w:ascii="Times New Roman" w:eastAsiaTheme="majorEastAsia" w:hAnsi="Times New Roman" w:cs="Times New Roman"/>
          <w:bCs/>
          <w:sz w:val="28"/>
          <w:szCs w:val="28"/>
        </w:rPr>
      </w:pPr>
      <w:bookmarkStart w:id="13" w:name="_Toc10992401"/>
      <w:r w:rsidRPr="00203ED0">
        <w:rPr>
          <w:rFonts w:ascii="Times New Roman" w:eastAsiaTheme="majorEastAsia" w:hAnsi="Times New Roman" w:cs="Times New Roman"/>
          <w:bCs/>
          <w:sz w:val="28"/>
          <w:szCs w:val="28"/>
        </w:rPr>
        <w:t>3</w:t>
      </w:r>
      <w:r w:rsidR="001B4563" w:rsidRPr="00203ED0">
        <w:rPr>
          <w:rFonts w:ascii="Times New Roman" w:eastAsiaTheme="majorEastAsia" w:hAnsi="Times New Roman" w:cs="Times New Roman"/>
          <w:bCs/>
          <w:sz w:val="28"/>
          <w:szCs w:val="28"/>
        </w:rPr>
        <w:t>.3 Перспективы развития испанско-российских экономических отношений</w:t>
      </w:r>
      <w:bookmarkEnd w:id="13"/>
      <w:r w:rsidR="001B4563" w:rsidRPr="00203ED0">
        <w:rPr>
          <w:rFonts w:ascii="Times New Roman" w:eastAsiaTheme="majorEastAsia" w:hAnsi="Times New Roman" w:cs="Times New Roman"/>
          <w:bCs/>
          <w:sz w:val="28"/>
          <w:szCs w:val="28"/>
        </w:rPr>
        <w:t xml:space="preserve"> </w:t>
      </w:r>
    </w:p>
    <w:p w:rsidR="006D26B3" w:rsidRPr="00203ED0" w:rsidRDefault="006D26B3" w:rsidP="007E0CA0">
      <w:pPr>
        <w:keepNext/>
        <w:keepLines/>
        <w:spacing w:after="0" w:line="360" w:lineRule="auto"/>
        <w:ind w:left="709"/>
        <w:outlineLvl w:val="0"/>
        <w:rPr>
          <w:rFonts w:ascii="Times New Roman" w:eastAsiaTheme="majorEastAsia" w:hAnsi="Times New Roman" w:cs="Times New Roman"/>
          <w:bCs/>
          <w:sz w:val="28"/>
          <w:szCs w:val="28"/>
        </w:rPr>
      </w:pPr>
    </w:p>
    <w:p w:rsidR="001B4563" w:rsidRPr="00203ED0" w:rsidRDefault="001B4563" w:rsidP="007E0CA0">
      <w:pPr>
        <w:spacing w:after="0" w:line="360" w:lineRule="auto"/>
        <w:ind w:firstLine="709"/>
        <w:jc w:val="both"/>
        <w:rPr>
          <w:rFonts w:ascii="Times New Roman" w:hAnsi="Times New Roman" w:cs="Times New Roman"/>
          <w:sz w:val="28"/>
          <w:szCs w:val="28"/>
        </w:rPr>
      </w:pPr>
      <w:r w:rsidRPr="00203ED0">
        <w:rPr>
          <w:rFonts w:ascii="Times New Roman" w:hAnsi="Times New Roman" w:cs="Times New Roman"/>
          <w:sz w:val="28"/>
          <w:szCs w:val="28"/>
        </w:rPr>
        <w:t>Россия и Испания сегодня заинтересованы в дальнейшем развитии двустороннего диалога с акцентами на сотрудничество в политической, экономической и культурно-гуманитарной сферах, и о проблематике отношений между Российской Федерации и Евросоюзом.</w:t>
      </w:r>
    </w:p>
    <w:p w:rsidR="001B4563" w:rsidRPr="00203ED0" w:rsidRDefault="001B4563" w:rsidP="007E0CA0">
      <w:pPr>
        <w:spacing w:after="0" w:line="360" w:lineRule="auto"/>
        <w:ind w:firstLine="709"/>
        <w:jc w:val="both"/>
        <w:rPr>
          <w:rFonts w:ascii="Times New Roman" w:hAnsi="Times New Roman" w:cs="Times New Roman"/>
          <w:sz w:val="28"/>
          <w:szCs w:val="28"/>
        </w:rPr>
      </w:pPr>
      <w:r w:rsidRPr="00203ED0">
        <w:rPr>
          <w:rFonts w:ascii="Times New Roman" w:hAnsi="Times New Roman" w:cs="Times New Roman"/>
          <w:sz w:val="28"/>
          <w:szCs w:val="28"/>
        </w:rPr>
        <w:lastRenderedPageBreak/>
        <w:t>К числу перспективных направлений российского экспорта, имеющих потенциал для продвижения на испанских рынок, можно отнести:</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t>энергетика: несмотря на снижение сырьевой составляющей в структуре российского экспорта в Испанию, поставки сырой нефти и нефтепродуктов, СПГ, топлива для атомной энергетики являются ведущим направлением. Кроме того, потенциал российско-испанского торгового взаимодействия имеют такие направления, как: энергосберегающие технологии, альтернативная энергетика; использование испанского опыта в  области ветровой и солнечной энергетики; совместное сооружение электростанций, в-третьих, странах;</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t>сельское хозяйство: привлечение испанских инвестиций технологий в строительство теплиц и овощехранилищ; в создание инфраструктуры для сбыта, хранения и переработки продовольствия, в выращивание и переработку сельскохозяйственной продукции; поставки из России кормов для животных;</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t>химическая промышленность: положительную тенденцию имеют поставки минеральных удобрений в Испанию, продукции органической и неорганической химии, в том числе оксиды и гидроксиды хрома, углероды, оксиды, ациклические кислоты, гетероциклические соединения и др.</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t>строительство: привлечение испанских инвестиций в сооружение крупномасштабных и сложных инфраструктурных проектов в области дорожного строительства, строительства высокоскоростных железных дорог, метро, жилищного строительства, объектов спортивной инфраструктуры;</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t xml:space="preserve">легкая промышленность: размещение заказов испанских ритейлеров одежды на российских текстильных предприятиях; </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lastRenderedPageBreak/>
        <w:t>судостроение: трансфер испанских технологий с учетом локализации в России производства судового и рыбопромыслового оборудования, разработка дизайна и оформления интерьера пассажирских судов российского речного флота, размещение производства судовой мебели в России;</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t>автомобилестроение: создание в России производств компонентов для автомобилестроения;</w:t>
      </w:r>
    </w:p>
    <w:p w:rsidR="001B4563" w:rsidRPr="00203ED0" w:rsidRDefault="001B4563" w:rsidP="007E0CA0">
      <w:pPr>
        <w:pStyle w:val="aa"/>
        <w:numPr>
          <w:ilvl w:val="0"/>
          <w:numId w:val="35"/>
        </w:numPr>
        <w:spacing w:after="0" w:line="360" w:lineRule="auto"/>
        <w:jc w:val="both"/>
        <w:rPr>
          <w:rFonts w:ascii="Times New Roman" w:hAnsi="Times New Roman" w:cs="Times New Roman"/>
          <w:sz w:val="28"/>
          <w:szCs w:val="28"/>
        </w:rPr>
      </w:pPr>
      <w:r w:rsidRPr="00203ED0">
        <w:rPr>
          <w:rFonts w:ascii="Times New Roman" w:hAnsi="Times New Roman" w:cs="Times New Roman"/>
          <w:sz w:val="28"/>
          <w:szCs w:val="28"/>
        </w:rPr>
        <w:t>IT-технологии: поставка российского программного обеспечения.</w:t>
      </w:r>
      <w:r w:rsidR="00650982" w:rsidRPr="00203ED0">
        <w:rPr>
          <w:rFonts w:ascii="Times New Roman" w:hAnsi="Times New Roman" w:cs="Times New Roman"/>
          <w:sz w:val="28"/>
          <w:szCs w:val="28"/>
        </w:rPr>
        <w:t xml:space="preserve"> Например, 7 ноября 2018 года Россия и Испания договорились создать совместную группу по кибербезопасности, для предотвращения незаконного вмешательства (распространения дезинформации) в дипломатичес</w:t>
      </w:r>
      <w:r w:rsidR="00036017" w:rsidRPr="00203ED0">
        <w:rPr>
          <w:rFonts w:ascii="Times New Roman" w:hAnsi="Times New Roman" w:cs="Times New Roman"/>
          <w:sz w:val="28"/>
          <w:szCs w:val="28"/>
        </w:rPr>
        <w:t>ких отношения между странами .[17</w:t>
      </w:r>
      <w:r w:rsidR="00650982" w:rsidRPr="00203ED0">
        <w:rPr>
          <w:rFonts w:ascii="Times New Roman" w:hAnsi="Times New Roman" w:cs="Times New Roman"/>
          <w:sz w:val="28"/>
          <w:szCs w:val="28"/>
        </w:rPr>
        <w:t>]</w:t>
      </w:r>
    </w:p>
    <w:p w:rsidR="00FC346F" w:rsidRPr="00203ED0" w:rsidRDefault="00FC346F" w:rsidP="007E0CA0">
      <w:pPr>
        <w:spacing w:after="0"/>
        <w:rPr>
          <w:rFonts w:ascii="Times New Roman" w:hAnsi="Times New Roman" w:cs="Times New Roman"/>
        </w:rPr>
      </w:pPr>
      <w:r w:rsidRPr="00203ED0">
        <w:rPr>
          <w:rFonts w:ascii="Times New Roman" w:hAnsi="Times New Roman" w:cs="Times New Roman"/>
        </w:rPr>
        <w:br w:type="page"/>
      </w:r>
    </w:p>
    <w:p w:rsidR="00F8793A" w:rsidRPr="00203ED0" w:rsidRDefault="00F8793A" w:rsidP="007E0CA0">
      <w:pPr>
        <w:pStyle w:val="1"/>
        <w:spacing w:before="0" w:line="360" w:lineRule="auto"/>
        <w:ind w:firstLine="357"/>
        <w:jc w:val="center"/>
        <w:rPr>
          <w:rFonts w:ascii="Times New Roman" w:eastAsia="Calibri" w:hAnsi="Times New Roman" w:cs="Times New Roman"/>
          <w:b w:val="0"/>
          <w:color w:val="auto"/>
        </w:rPr>
      </w:pPr>
      <w:bookmarkStart w:id="14" w:name="_Toc10992402"/>
      <w:r w:rsidRPr="000E4183">
        <w:rPr>
          <w:rFonts w:ascii="Times New Roman" w:eastAsia="Calibri" w:hAnsi="Times New Roman" w:cs="Times New Roman"/>
          <w:b w:val="0"/>
          <w:color w:val="auto"/>
        </w:rPr>
        <w:lastRenderedPageBreak/>
        <w:t>ЗАКЛЮЧЕНИЕ</w:t>
      </w:r>
      <w:bookmarkEnd w:id="14"/>
      <w:r w:rsidRPr="00203ED0">
        <w:rPr>
          <w:rFonts w:ascii="Times New Roman" w:eastAsia="Calibri" w:hAnsi="Times New Roman" w:cs="Times New Roman"/>
          <w:b w:val="0"/>
          <w:color w:val="auto"/>
        </w:rPr>
        <w:t xml:space="preserve"> </w:t>
      </w:r>
    </w:p>
    <w:p w:rsidR="00FB6265" w:rsidRDefault="00FB6265" w:rsidP="00B83D21">
      <w:pPr>
        <w:spacing w:after="0" w:line="360" w:lineRule="auto"/>
        <w:ind w:firstLine="709"/>
        <w:jc w:val="both"/>
        <w:rPr>
          <w:rFonts w:ascii="Times New Roman" w:hAnsi="Times New Roman" w:cs="Times New Roman"/>
          <w:bCs/>
          <w:sz w:val="28"/>
          <w:szCs w:val="28"/>
        </w:rPr>
      </w:pPr>
    </w:p>
    <w:p w:rsidR="00FB6265" w:rsidRDefault="00FB6265" w:rsidP="00B83D21">
      <w:pPr>
        <w:spacing w:after="0" w:line="360" w:lineRule="auto"/>
        <w:ind w:firstLine="709"/>
        <w:jc w:val="both"/>
        <w:rPr>
          <w:rFonts w:ascii="Times New Roman" w:hAnsi="Times New Roman" w:cs="Times New Roman"/>
          <w:bCs/>
          <w:sz w:val="28"/>
          <w:szCs w:val="28"/>
        </w:rPr>
      </w:pPr>
      <w:r w:rsidRPr="00FB6265">
        <w:rPr>
          <w:rFonts w:ascii="Times New Roman" w:hAnsi="Times New Roman" w:cs="Times New Roman"/>
          <w:bCs/>
          <w:sz w:val="28"/>
          <w:szCs w:val="28"/>
        </w:rPr>
        <w:t xml:space="preserve">Страна обладает богатой культурой и большим потенциалом, однако ее экологический и технологический прогресс требует большого внимания. Испания имеет множество сильных сторон. Испания имеет выгодное географическое положение в Европе; это ворота в Средиземное море и Северную Африку. Стратегическое расположение страны привлекает иностранные инвестиции. В стране четко определена инвестиционная политика, активно поддерживаемая правительством и отраслевыми ассоциациями производителей. Сильная туристическая индустрия является еще одной уникальной составляющей Испании. </w:t>
      </w:r>
    </w:p>
    <w:p w:rsidR="00ED4A15" w:rsidRDefault="00C17F24" w:rsidP="00B83D2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Наиболее развитыми сферами в стране являются </w:t>
      </w:r>
      <w:r w:rsidRPr="00C17F24">
        <w:rPr>
          <w:rFonts w:ascii="Times New Roman" w:hAnsi="Times New Roman" w:cs="Times New Roman"/>
          <w:bCs/>
          <w:sz w:val="28"/>
          <w:szCs w:val="28"/>
        </w:rPr>
        <w:t>автомобилестроение, аэрокосмическая промышленность, судостроение, химическая и фармацевтическая промышленность</w:t>
      </w:r>
      <w:r>
        <w:rPr>
          <w:rFonts w:ascii="Times New Roman" w:hAnsi="Times New Roman" w:cs="Times New Roman"/>
          <w:bCs/>
          <w:sz w:val="28"/>
          <w:szCs w:val="28"/>
        </w:rPr>
        <w:t>. Испания является 2-м производителем автомобилей, 5-м в аэрокосмическо</w:t>
      </w:r>
      <w:r w:rsidR="00ED4A15">
        <w:rPr>
          <w:rFonts w:ascii="Times New Roman" w:hAnsi="Times New Roman" w:cs="Times New Roman"/>
          <w:bCs/>
          <w:sz w:val="28"/>
          <w:szCs w:val="28"/>
        </w:rPr>
        <w:t>м и фармацевтическом секторах в Европе.</w:t>
      </w:r>
    </w:p>
    <w:p w:rsidR="00C17F24" w:rsidRDefault="00C17F24" w:rsidP="00ED4A1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D4A15">
        <w:rPr>
          <w:rFonts w:ascii="Times New Roman" w:hAnsi="Times New Roman" w:cs="Times New Roman"/>
          <w:bCs/>
          <w:sz w:val="28"/>
          <w:szCs w:val="28"/>
        </w:rPr>
        <w:t>Испания имеет демографические проблемы – уменьшение численности населения, уменьшение рождаемости, старение населения, увеличение прибывших мигрантов.</w:t>
      </w:r>
    </w:p>
    <w:p w:rsidR="00ED4A15" w:rsidRDefault="00ED4A15" w:rsidP="00ED4A1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2018 году ВВП Испании достиг 1208,3 млрд. евро, а ВВП на душу населения – 25,9 тыс. евро. 4-й год подряд экономика находится в стадии роста с уровнем прироста ВВП – около 3%. Большую часть в структуре ВВП в 2017 г. составляют услуги – 72,91%, промышленность – 24,13%, сельское хозяйство – 2,96%. Испания является одной из стран в ЕС с наибольшим государственным долгом – 96,9</w:t>
      </w:r>
      <w:r w:rsidR="00E12056">
        <w:rPr>
          <w:rFonts w:ascii="Times New Roman" w:hAnsi="Times New Roman" w:cs="Times New Roman"/>
          <w:bCs/>
          <w:sz w:val="28"/>
          <w:szCs w:val="28"/>
        </w:rPr>
        <w:t xml:space="preserve">% от ВВП в 2018 году и с высоким показателем безработицы – 15,6%. В 2018 году инфляция достигла 1,18%. </w:t>
      </w:r>
    </w:p>
    <w:p w:rsidR="00987D30" w:rsidRDefault="00987D30" w:rsidP="00ED4A15">
      <w:pPr>
        <w:spacing w:after="0" w:line="360" w:lineRule="auto"/>
        <w:ind w:firstLine="709"/>
        <w:jc w:val="both"/>
        <w:rPr>
          <w:rFonts w:ascii="Times New Roman" w:hAnsi="Times New Roman" w:cs="Times New Roman"/>
          <w:bCs/>
          <w:sz w:val="28"/>
          <w:szCs w:val="28"/>
        </w:rPr>
      </w:pPr>
      <w:r w:rsidRPr="00987D30">
        <w:rPr>
          <w:rFonts w:ascii="Times New Roman" w:hAnsi="Times New Roman" w:cs="Times New Roman"/>
          <w:bCs/>
          <w:sz w:val="28"/>
          <w:szCs w:val="28"/>
        </w:rPr>
        <w:t xml:space="preserve">Испания является привлекательной страной для иностранных инвестиций и одним из основных реципиентов прямых иностранных капиталовложений в последние годы. </w:t>
      </w:r>
      <w:r>
        <w:rPr>
          <w:rFonts w:ascii="Times New Roman" w:hAnsi="Times New Roman" w:cs="Times New Roman"/>
          <w:bCs/>
          <w:sz w:val="28"/>
          <w:szCs w:val="28"/>
        </w:rPr>
        <w:t>В</w:t>
      </w:r>
      <w:r w:rsidRPr="00987D30">
        <w:rPr>
          <w:rFonts w:ascii="Times New Roman" w:hAnsi="Times New Roman" w:cs="Times New Roman"/>
          <w:bCs/>
          <w:sz w:val="28"/>
          <w:szCs w:val="28"/>
        </w:rPr>
        <w:t xml:space="preserve"> 2017 г. Испания занимала 13-е место </w:t>
      </w:r>
      <w:r w:rsidRPr="00987D30">
        <w:rPr>
          <w:rFonts w:ascii="Times New Roman" w:hAnsi="Times New Roman" w:cs="Times New Roman"/>
          <w:bCs/>
          <w:sz w:val="28"/>
          <w:szCs w:val="28"/>
        </w:rPr>
        <w:lastRenderedPageBreak/>
        <w:t xml:space="preserve">в мире по </w:t>
      </w:r>
      <w:r>
        <w:rPr>
          <w:rFonts w:ascii="Times New Roman" w:hAnsi="Times New Roman" w:cs="Times New Roman"/>
          <w:bCs/>
          <w:sz w:val="28"/>
          <w:szCs w:val="28"/>
        </w:rPr>
        <w:t>ПИИ</w:t>
      </w:r>
      <w:r w:rsidRPr="00987D30">
        <w:rPr>
          <w:rFonts w:ascii="Times New Roman" w:hAnsi="Times New Roman" w:cs="Times New Roman"/>
          <w:bCs/>
          <w:sz w:val="28"/>
          <w:szCs w:val="28"/>
        </w:rPr>
        <w:t>, в 2016 г. находилась на 12-м месте по инвестиционной привлекательности</w:t>
      </w:r>
      <w:r>
        <w:rPr>
          <w:rFonts w:ascii="Times New Roman" w:hAnsi="Times New Roman" w:cs="Times New Roman"/>
          <w:bCs/>
          <w:sz w:val="28"/>
          <w:szCs w:val="28"/>
        </w:rPr>
        <w:t>.</w:t>
      </w:r>
    </w:p>
    <w:p w:rsidR="00987D30" w:rsidRDefault="00987D30" w:rsidP="00ED4A1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Туристическая индустрия по состоянию на февраль 2019 года занимает 1-е место в мире в рейтинге международного туризма. В основном Испанию посетили французы, итальянцы, американцы, португальцы и ирландцы.</w:t>
      </w:r>
    </w:p>
    <w:p w:rsidR="00987D30" w:rsidRDefault="00987D30" w:rsidP="00046BB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Экспорт и импорт товаров и услуг увеличился с 2017 по 2018 гг. и составил – 414,16 и 390,16 млрд. евро соответственно. Товарооборот достиг 577,8 млрд. евро, в то время как оборот услуг – 188,7 млрд. евро.</w:t>
      </w:r>
      <w:r w:rsidR="00046BBC">
        <w:rPr>
          <w:rFonts w:ascii="Times New Roman" w:hAnsi="Times New Roman" w:cs="Times New Roman"/>
          <w:bCs/>
          <w:sz w:val="28"/>
          <w:szCs w:val="28"/>
        </w:rPr>
        <w:t xml:space="preserve"> Основными странами-партнерами являются европейские страны: большую часть экспорта приходилось на Францию – 15%, импорта – на Германию – 14%.</w:t>
      </w:r>
    </w:p>
    <w:p w:rsidR="00046BBC" w:rsidRDefault="00046BBC" w:rsidP="00ED4A15">
      <w:pPr>
        <w:spacing w:after="0" w:line="360" w:lineRule="auto"/>
        <w:ind w:firstLine="709"/>
        <w:jc w:val="both"/>
        <w:rPr>
          <w:rFonts w:ascii="Times New Roman" w:hAnsi="Times New Roman" w:cs="Times New Roman"/>
          <w:bCs/>
          <w:sz w:val="28"/>
          <w:szCs w:val="28"/>
        </w:rPr>
      </w:pPr>
      <w:r w:rsidRPr="00046BBC">
        <w:rPr>
          <w:rFonts w:ascii="Times New Roman" w:hAnsi="Times New Roman" w:cs="Times New Roman"/>
          <w:bCs/>
          <w:sz w:val="28"/>
          <w:szCs w:val="28"/>
        </w:rPr>
        <w:t>Внешнеэкономическая политика Правительства Испании направлена на повышение ее роли в решении глобальных экономических проблем, укрепление позиций страны</w:t>
      </w:r>
      <w:r>
        <w:rPr>
          <w:rFonts w:ascii="Times New Roman" w:hAnsi="Times New Roman" w:cs="Times New Roman"/>
          <w:bCs/>
          <w:sz w:val="28"/>
          <w:szCs w:val="28"/>
        </w:rPr>
        <w:t>. Внешнеторговая квота страны в 2018 году – 33,3% - демонстрирует открытость экономики Испании.</w:t>
      </w:r>
      <w:r w:rsidRPr="00046BBC">
        <w:t xml:space="preserve"> </w:t>
      </w:r>
      <w:r w:rsidRPr="00046BBC">
        <w:rPr>
          <w:rFonts w:ascii="Times New Roman" w:hAnsi="Times New Roman" w:cs="Times New Roman"/>
          <w:bCs/>
          <w:sz w:val="28"/>
          <w:szCs w:val="28"/>
        </w:rPr>
        <w:t>Основным региональным интеграционным объединением, в котором Испания является полноправным членом, является Европейский Союз.</w:t>
      </w:r>
      <w:r>
        <w:rPr>
          <w:rFonts w:ascii="Times New Roman" w:hAnsi="Times New Roman" w:cs="Times New Roman"/>
          <w:bCs/>
          <w:sz w:val="28"/>
          <w:szCs w:val="28"/>
        </w:rPr>
        <w:t xml:space="preserve"> Испания является лидером среди европейских стран по росту ВВП. Доля Испании в товарообороте ЕС в 2017 г. – 5,91%. Основную долю экспорта и импорта </w:t>
      </w:r>
      <w:r w:rsidR="004E2BB0">
        <w:rPr>
          <w:rFonts w:ascii="Times New Roman" w:hAnsi="Times New Roman" w:cs="Times New Roman"/>
          <w:bCs/>
          <w:sz w:val="28"/>
          <w:szCs w:val="28"/>
        </w:rPr>
        <w:t>в ЕС-28 занимает сырьё – 13,2% и 10,2%. Доля в обороте услуг Испании в ЕС-28 -5,09%. В структуре экспорта услуг преобладает туризм – 49,1%. В внутриинтеграционной географической структуре торговли лидерами являются: Германия, Франция и Италия.</w:t>
      </w:r>
    </w:p>
    <w:p w:rsidR="00987D30" w:rsidRDefault="004E2BB0" w:rsidP="004E2BB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Испанско-российские отношения имеют долгую историю и в настоящее время страны продолжают взаимодействовать. В</w:t>
      </w:r>
      <w:r w:rsidRPr="004E2BB0">
        <w:rPr>
          <w:rFonts w:ascii="Times New Roman" w:hAnsi="Times New Roman" w:cs="Times New Roman"/>
          <w:bCs/>
          <w:sz w:val="28"/>
          <w:szCs w:val="28"/>
        </w:rPr>
        <w:t xml:space="preserve"> 2017 году 73% Испания импортировала из России топливо и нефть. 10% российского импорта в Испанию составили черные металлы.</w:t>
      </w:r>
      <w:r w:rsidRPr="004E2BB0">
        <w:t xml:space="preserve"> </w:t>
      </w:r>
      <w:r w:rsidRPr="004E2BB0">
        <w:rPr>
          <w:rFonts w:ascii="Times New Roman" w:hAnsi="Times New Roman" w:cs="Times New Roman"/>
          <w:bCs/>
          <w:sz w:val="28"/>
          <w:szCs w:val="28"/>
        </w:rPr>
        <w:t>Наибольшую долю в импорте России занимают средства наземного транспорта – 13%; 12,7% составляют реакторы и оборудование; 9,29% - фармацевтическая продукция</w:t>
      </w:r>
      <w:r>
        <w:rPr>
          <w:rFonts w:ascii="Times New Roman" w:hAnsi="Times New Roman" w:cs="Times New Roman"/>
          <w:bCs/>
          <w:sz w:val="28"/>
          <w:szCs w:val="28"/>
        </w:rPr>
        <w:t>.</w:t>
      </w:r>
      <w:r w:rsidRPr="004E2BB0">
        <w:t xml:space="preserve"> </w:t>
      </w:r>
      <w:r w:rsidRPr="004E2BB0">
        <w:rPr>
          <w:rFonts w:ascii="Times New Roman" w:hAnsi="Times New Roman" w:cs="Times New Roman"/>
          <w:bCs/>
          <w:sz w:val="28"/>
          <w:szCs w:val="28"/>
        </w:rPr>
        <w:t xml:space="preserve">До настоящего времени сохраняется негативный политический фон для </w:t>
      </w:r>
      <w:r w:rsidRPr="004E2BB0">
        <w:rPr>
          <w:rFonts w:ascii="Times New Roman" w:hAnsi="Times New Roman" w:cs="Times New Roman"/>
          <w:bCs/>
          <w:sz w:val="28"/>
          <w:szCs w:val="28"/>
        </w:rPr>
        <w:lastRenderedPageBreak/>
        <w:t>развития торгово-экономических связей между Россией и Испанией в результате введения санкций и ответных специальных экономических мер России на ввоз отдельных видов продукции из стран ЕС</w:t>
      </w:r>
      <w:r>
        <w:rPr>
          <w:rFonts w:ascii="Times New Roman" w:hAnsi="Times New Roman" w:cs="Times New Roman"/>
          <w:bCs/>
          <w:sz w:val="28"/>
          <w:szCs w:val="28"/>
        </w:rPr>
        <w:t>.</w:t>
      </w:r>
      <w:r w:rsidRPr="004E2BB0">
        <w:t xml:space="preserve"> </w:t>
      </w:r>
      <w:r>
        <w:rPr>
          <w:rFonts w:ascii="Times New Roman" w:hAnsi="Times New Roman" w:cs="Times New Roman"/>
          <w:bCs/>
          <w:sz w:val="28"/>
          <w:szCs w:val="28"/>
        </w:rPr>
        <w:t xml:space="preserve">Во время </w:t>
      </w:r>
      <w:r w:rsidRPr="004E2BB0">
        <w:rPr>
          <w:rFonts w:ascii="Times New Roman" w:hAnsi="Times New Roman" w:cs="Times New Roman"/>
          <w:bCs/>
          <w:sz w:val="28"/>
          <w:szCs w:val="28"/>
        </w:rPr>
        <w:t>введенных санкций в отношении России, и значительное снижение объема торговых связей между странами в период 2014-2016 гг., Испания продолжает рассматривать Россию как значимого и перспективного торгово-экономического партнера с большим потенциалом роста</w:t>
      </w:r>
      <w:r>
        <w:rPr>
          <w:rFonts w:ascii="Times New Roman" w:hAnsi="Times New Roman" w:cs="Times New Roman"/>
          <w:bCs/>
          <w:sz w:val="28"/>
          <w:szCs w:val="28"/>
        </w:rPr>
        <w:t>.</w:t>
      </w:r>
    </w:p>
    <w:p w:rsidR="00B83D21" w:rsidRPr="00D9323E" w:rsidRDefault="00FB6265" w:rsidP="00D9323E">
      <w:pPr>
        <w:spacing w:after="0" w:line="360" w:lineRule="auto"/>
        <w:ind w:firstLine="709"/>
        <w:jc w:val="both"/>
        <w:rPr>
          <w:rFonts w:ascii="Times New Roman" w:hAnsi="Times New Roman" w:cs="Times New Roman"/>
          <w:bCs/>
          <w:sz w:val="28"/>
          <w:szCs w:val="28"/>
        </w:rPr>
      </w:pPr>
      <w:r w:rsidRPr="00FB6265">
        <w:rPr>
          <w:rFonts w:ascii="Times New Roman" w:hAnsi="Times New Roman" w:cs="Times New Roman"/>
          <w:bCs/>
          <w:sz w:val="28"/>
          <w:szCs w:val="28"/>
        </w:rPr>
        <w:t>Несмотря на развитую инфраструктуру и значительную привлекательность в качестве туристического направления, слабая историческая экономическая история Испании оставила долговременный след в современной экономике. С высоким уровнем долга, большим количеством безработных и не большими инвестициями в исследования и разработки, Испания находится в замкнутом круге. Заглядывая в будущее, экономика Испании испытывает серьезные опасения, связанные с призывами Брексита и Каталонии к независимости.</w:t>
      </w:r>
    </w:p>
    <w:p w:rsidR="004A3A75" w:rsidRPr="00203ED0" w:rsidRDefault="00FC346F" w:rsidP="007E0CA0">
      <w:pPr>
        <w:spacing w:after="0" w:line="360" w:lineRule="auto"/>
        <w:ind w:firstLine="709"/>
        <w:rPr>
          <w:rFonts w:ascii="Times New Roman" w:hAnsi="Times New Roman" w:cs="Times New Roman"/>
          <w:sz w:val="28"/>
          <w:szCs w:val="28"/>
        </w:rPr>
      </w:pPr>
      <w:r w:rsidRPr="00203ED0">
        <w:rPr>
          <w:rFonts w:ascii="Times New Roman" w:hAnsi="Times New Roman" w:cs="Times New Roman"/>
          <w:sz w:val="28"/>
          <w:szCs w:val="28"/>
        </w:rPr>
        <w:br w:type="page"/>
      </w:r>
    </w:p>
    <w:p w:rsidR="00883C5E" w:rsidRDefault="00BC1BB9" w:rsidP="00025BB9">
      <w:pPr>
        <w:keepNext/>
        <w:keepLines/>
        <w:spacing w:after="0" w:line="360" w:lineRule="auto"/>
        <w:jc w:val="center"/>
        <w:outlineLvl w:val="0"/>
        <w:rPr>
          <w:rFonts w:ascii="Times New Roman" w:eastAsia="Calibri" w:hAnsi="Times New Roman" w:cs="Times New Roman"/>
          <w:bCs/>
          <w:sz w:val="28"/>
          <w:szCs w:val="28"/>
        </w:rPr>
      </w:pPr>
      <w:bookmarkStart w:id="15" w:name="_Toc10992403"/>
      <w:r w:rsidRPr="000E4183">
        <w:rPr>
          <w:rFonts w:ascii="Times New Roman" w:eastAsia="Calibri" w:hAnsi="Times New Roman" w:cs="Times New Roman"/>
          <w:bCs/>
          <w:sz w:val="28"/>
          <w:szCs w:val="28"/>
        </w:rPr>
        <w:lastRenderedPageBreak/>
        <w:t>СПИСОК ИСПОЛЬЗОВАННОЙ ЛИТЕРАТУРЫ</w:t>
      </w:r>
      <w:bookmarkEnd w:id="15"/>
      <w:r w:rsidRPr="00203ED0">
        <w:rPr>
          <w:rFonts w:ascii="Times New Roman" w:eastAsia="Calibri" w:hAnsi="Times New Roman" w:cs="Times New Roman"/>
          <w:bCs/>
          <w:sz w:val="28"/>
          <w:szCs w:val="28"/>
        </w:rPr>
        <w:t xml:space="preserve"> </w:t>
      </w:r>
    </w:p>
    <w:p w:rsidR="00025BB9" w:rsidRPr="00025BB9" w:rsidRDefault="00025BB9" w:rsidP="00BF0009">
      <w:pPr>
        <w:keepNext/>
        <w:keepLines/>
        <w:spacing w:after="0" w:line="360" w:lineRule="auto"/>
        <w:jc w:val="center"/>
        <w:outlineLvl w:val="0"/>
        <w:rPr>
          <w:rFonts w:ascii="Times New Roman" w:eastAsia="Calibri" w:hAnsi="Times New Roman" w:cs="Times New Roman"/>
          <w:bCs/>
          <w:sz w:val="28"/>
          <w:szCs w:val="28"/>
        </w:rPr>
      </w:pPr>
    </w:p>
    <w:p w:rsidR="00EE76F2" w:rsidRDefault="00EE76F2" w:rsidP="00BF0009">
      <w:pPr>
        <w:pStyle w:val="aa"/>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 xml:space="preserve">Авилова </w:t>
      </w:r>
      <w:r w:rsidRPr="00F10DF8">
        <w:rPr>
          <w:rFonts w:ascii="Times New Roman" w:hAnsi="Times New Roman" w:cs="Times New Roman"/>
          <w:sz w:val="28"/>
          <w:szCs w:val="28"/>
        </w:rPr>
        <w:t xml:space="preserve">А.В.  Испания,  ЕС  и  еврозона:  динамика  взаимоотношений. М.: МГИМО (У) МИД РФ, 2013. </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Агафошин М.М.</w:t>
      </w:r>
      <w:r>
        <w:rPr>
          <w:rFonts w:ascii="Times New Roman" w:hAnsi="Times New Roman" w:cs="Times New Roman"/>
          <w:sz w:val="28"/>
          <w:szCs w:val="28"/>
        </w:rPr>
        <w:t xml:space="preserve"> </w:t>
      </w:r>
      <w:r w:rsidRPr="00025BB9">
        <w:rPr>
          <w:rFonts w:ascii="Times New Roman" w:hAnsi="Times New Roman" w:cs="Times New Roman"/>
          <w:sz w:val="28"/>
          <w:szCs w:val="28"/>
        </w:rPr>
        <w:t>Факторы миграции насе</w:t>
      </w:r>
      <w:r>
        <w:rPr>
          <w:rFonts w:ascii="Times New Roman" w:hAnsi="Times New Roman" w:cs="Times New Roman"/>
          <w:sz w:val="28"/>
          <w:szCs w:val="28"/>
        </w:rPr>
        <w:t xml:space="preserve">ления арабских стран Азии в ЕС, </w:t>
      </w:r>
      <w:r w:rsidRPr="00025BB9">
        <w:rPr>
          <w:rFonts w:ascii="Times New Roman" w:hAnsi="Times New Roman" w:cs="Times New Roman"/>
          <w:sz w:val="28"/>
          <w:szCs w:val="28"/>
        </w:rPr>
        <w:t>2017</w:t>
      </w:r>
    </w:p>
    <w:p w:rsidR="00EE76F2" w:rsidRDefault="00EE76F2" w:rsidP="00BF0009">
      <w:pPr>
        <w:pStyle w:val="aa"/>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А</w:t>
      </w:r>
      <w:r w:rsidRPr="00025BB9">
        <w:rPr>
          <w:rFonts w:ascii="Times New Roman" w:hAnsi="Times New Roman" w:cs="Times New Roman"/>
          <w:sz w:val="28"/>
          <w:szCs w:val="28"/>
        </w:rPr>
        <w:t>копян, В. З. История стран Западной Европы в</w:t>
      </w:r>
      <w:r>
        <w:rPr>
          <w:rFonts w:ascii="Times New Roman" w:hAnsi="Times New Roman" w:cs="Times New Roman"/>
          <w:sz w:val="28"/>
          <w:szCs w:val="28"/>
        </w:rPr>
        <w:t xml:space="preserve"> 2 ч. Часть 2. Франция. Испания</w:t>
      </w:r>
      <w:r w:rsidRPr="00025BB9">
        <w:rPr>
          <w:rFonts w:ascii="Times New Roman" w:hAnsi="Times New Roman" w:cs="Times New Roman"/>
          <w:sz w:val="28"/>
          <w:szCs w:val="28"/>
        </w:rPr>
        <w:t>: учебник для академического бакалавриата / М</w:t>
      </w:r>
      <w:r>
        <w:rPr>
          <w:rFonts w:ascii="Times New Roman" w:hAnsi="Times New Roman" w:cs="Times New Roman"/>
          <w:sz w:val="28"/>
          <w:szCs w:val="28"/>
        </w:rPr>
        <w:t>.</w:t>
      </w:r>
      <w:r w:rsidRPr="00025BB9">
        <w:rPr>
          <w:rFonts w:ascii="Times New Roman" w:hAnsi="Times New Roman" w:cs="Times New Roman"/>
          <w:sz w:val="28"/>
          <w:szCs w:val="28"/>
        </w:rPr>
        <w:t>: Издательство Юрайт, 2019</w:t>
      </w:r>
    </w:p>
    <w:p w:rsidR="00EE76F2" w:rsidRDefault="00EE76F2" w:rsidP="00BF0009">
      <w:pPr>
        <w:pStyle w:val="aa"/>
        <w:numPr>
          <w:ilvl w:val="0"/>
          <w:numId w:val="38"/>
        </w:numPr>
        <w:spacing w:line="360" w:lineRule="auto"/>
        <w:rPr>
          <w:rFonts w:ascii="Times New Roman" w:hAnsi="Times New Roman" w:cs="Times New Roman"/>
          <w:sz w:val="28"/>
          <w:szCs w:val="28"/>
        </w:rPr>
      </w:pPr>
      <w:r w:rsidRPr="007043D9">
        <w:rPr>
          <w:rFonts w:ascii="Times New Roman" w:hAnsi="Times New Roman" w:cs="Times New Roman"/>
          <w:sz w:val="28"/>
          <w:szCs w:val="28"/>
        </w:rPr>
        <w:t>Аникеева Н.Е. Внешняя политика Испании в XX-XXI /</w:t>
      </w:r>
      <w:r>
        <w:rPr>
          <w:rFonts w:ascii="Times New Roman" w:hAnsi="Times New Roman" w:cs="Times New Roman"/>
          <w:sz w:val="28"/>
          <w:szCs w:val="28"/>
        </w:rPr>
        <w:t xml:space="preserve"> М: МГИМО Университет, 2011</w:t>
      </w:r>
    </w:p>
    <w:p w:rsidR="00EE76F2" w:rsidRDefault="00EE76F2" w:rsidP="00BF0009">
      <w:pPr>
        <w:pStyle w:val="aa"/>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 xml:space="preserve">Асеев </w:t>
      </w:r>
      <w:r w:rsidRPr="00F10DF8">
        <w:rPr>
          <w:rFonts w:ascii="Times New Roman" w:hAnsi="Times New Roman" w:cs="Times New Roman"/>
          <w:sz w:val="28"/>
          <w:szCs w:val="28"/>
        </w:rPr>
        <w:t>Р.М. Торгово-экономические отношения между Россией и Испанией на  современном  этапе:  возможности  дальнейшего  развития  и  основные проблемы</w:t>
      </w:r>
      <w:r>
        <w:rPr>
          <w:rFonts w:ascii="Times New Roman" w:hAnsi="Times New Roman" w:cs="Times New Roman"/>
          <w:sz w:val="28"/>
          <w:szCs w:val="28"/>
        </w:rPr>
        <w:t xml:space="preserve">. </w:t>
      </w:r>
      <w:r w:rsidRPr="00F10DF8">
        <w:rPr>
          <w:rFonts w:ascii="Times New Roman" w:hAnsi="Times New Roman" w:cs="Times New Roman"/>
          <w:sz w:val="28"/>
          <w:szCs w:val="28"/>
        </w:rPr>
        <w:t>М., 2006</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color w:val="000000"/>
          <w:sz w:val="28"/>
          <w:szCs w:val="28"/>
          <w:shd w:val="clear" w:color="auto" w:fill="FFFFFF"/>
        </w:rPr>
        <w:t>Башкатов Б.И. Международная статистика, 2-е изд. – М.: Издательство Юрайт, 2017</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 xml:space="preserve">Венский конгресс // Энциклопедический словарь Брокгауза и Ефрона: </w:t>
      </w:r>
      <w:r>
        <w:rPr>
          <w:rFonts w:ascii="Times New Roman" w:hAnsi="Times New Roman" w:cs="Times New Roman"/>
          <w:sz w:val="28"/>
          <w:szCs w:val="28"/>
        </w:rPr>
        <w:t>в 86 т. (82 т. и 4 доп.). – СПб, 2015</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Волосюк О.В. Внешняя политика Испании в XVIII веке: становление испано-</w:t>
      </w:r>
      <w:r>
        <w:rPr>
          <w:rFonts w:ascii="Times New Roman" w:hAnsi="Times New Roman" w:cs="Times New Roman"/>
          <w:sz w:val="28"/>
          <w:szCs w:val="28"/>
        </w:rPr>
        <w:t>русских отношений. М. 2001</w:t>
      </w:r>
      <w:r w:rsidRPr="00025BB9">
        <w:rPr>
          <w:rFonts w:ascii="Times New Roman" w:hAnsi="Times New Roman" w:cs="Times New Roman"/>
          <w:sz w:val="28"/>
          <w:szCs w:val="28"/>
        </w:rPr>
        <w:t>.</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Волосюк О.В. Российские дипломаты в Испании. 1667-2017, М. 2016.- с. 226-228.</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shd w:val="clear" w:color="auto" w:fill="FFFFFF"/>
        </w:rPr>
        <w:t>Воронцов А.В., Глотов М.Б. Демография, Юрайт</w:t>
      </w:r>
      <w:r>
        <w:rPr>
          <w:rFonts w:ascii="Times New Roman" w:hAnsi="Times New Roman" w:cs="Times New Roman"/>
          <w:sz w:val="28"/>
          <w:szCs w:val="28"/>
          <w:shd w:val="clear" w:color="auto" w:fill="FFFFFF"/>
        </w:rPr>
        <w:t>,</w:t>
      </w:r>
      <w:r w:rsidRPr="00025BB9">
        <w:rPr>
          <w:rFonts w:ascii="Times New Roman" w:hAnsi="Times New Roman" w:cs="Times New Roman"/>
          <w:sz w:val="28"/>
          <w:szCs w:val="28"/>
          <w:shd w:val="clear" w:color="auto" w:fill="FFFFFF"/>
        </w:rPr>
        <w:t xml:space="preserve"> 2018</w:t>
      </w:r>
    </w:p>
    <w:p w:rsidR="00EE76F2"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Долгова, В. Н. Соц</w:t>
      </w:r>
      <w:r>
        <w:rPr>
          <w:rFonts w:ascii="Times New Roman" w:hAnsi="Times New Roman" w:cs="Times New Roman"/>
          <w:sz w:val="28"/>
          <w:szCs w:val="28"/>
        </w:rPr>
        <w:t>иально-экономическая статистика</w:t>
      </w:r>
      <w:r w:rsidRPr="00025BB9">
        <w:rPr>
          <w:rFonts w:ascii="Times New Roman" w:hAnsi="Times New Roman" w:cs="Times New Roman"/>
          <w:sz w:val="28"/>
          <w:szCs w:val="28"/>
        </w:rPr>
        <w:t>: учебник и практикум для академического бакалавриата / М: Издательство Юрайт, 2019</w:t>
      </w:r>
    </w:p>
    <w:p w:rsidR="00EE76F2" w:rsidRDefault="00EE76F2" w:rsidP="00BF0009">
      <w:pPr>
        <w:pStyle w:val="aa"/>
        <w:numPr>
          <w:ilvl w:val="0"/>
          <w:numId w:val="38"/>
        </w:numPr>
        <w:spacing w:line="360" w:lineRule="auto"/>
        <w:rPr>
          <w:rFonts w:ascii="Times New Roman" w:hAnsi="Times New Roman" w:cs="Times New Roman"/>
          <w:sz w:val="28"/>
          <w:szCs w:val="28"/>
        </w:rPr>
      </w:pPr>
      <w:r w:rsidRPr="007043D9">
        <w:rPr>
          <w:rFonts w:ascii="Times New Roman" w:hAnsi="Times New Roman" w:cs="Times New Roman"/>
          <w:sz w:val="28"/>
          <w:szCs w:val="28"/>
        </w:rPr>
        <w:t>Европейский союз на пороге XXI века: выбор стратегии развития/</w:t>
      </w:r>
      <w:r>
        <w:rPr>
          <w:rFonts w:ascii="Times New Roman" w:hAnsi="Times New Roman" w:cs="Times New Roman"/>
          <w:sz w:val="28"/>
          <w:szCs w:val="28"/>
        </w:rPr>
        <w:t xml:space="preserve"> </w:t>
      </w:r>
      <w:r w:rsidRPr="007043D9">
        <w:rPr>
          <w:rFonts w:ascii="Times New Roman" w:hAnsi="Times New Roman" w:cs="Times New Roman"/>
          <w:sz w:val="28"/>
          <w:szCs w:val="28"/>
        </w:rPr>
        <w:t>Под ред. Ю. А. Бордо, О. Б. Буторина. М., 2001</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lastRenderedPageBreak/>
        <w:t>Елисеева И.И. Демография и статистика населения, 3-е изд. – М.: Издательство Юрайт, 2017</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 xml:space="preserve">Ефимова М. Р. Социально-экономическая статистика, Юрайт, 2014 </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Игнатов И. В.</w:t>
      </w:r>
      <w:r>
        <w:rPr>
          <w:rFonts w:ascii="Times New Roman" w:hAnsi="Times New Roman" w:cs="Times New Roman"/>
          <w:sz w:val="28"/>
          <w:szCs w:val="28"/>
        </w:rPr>
        <w:t xml:space="preserve"> </w:t>
      </w:r>
      <w:r w:rsidRPr="00025BB9">
        <w:rPr>
          <w:rFonts w:ascii="Times New Roman" w:hAnsi="Times New Roman" w:cs="Times New Roman"/>
          <w:sz w:val="28"/>
          <w:szCs w:val="28"/>
        </w:rPr>
        <w:t>Исследование воздействия демографических факторов на основные индикаторы соц</w:t>
      </w:r>
      <w:r>
        <w:rPr>
          <w:rFonts w:ascii="Times New Roman" w:hAnsi="Times New Roman" w:cs="Times New Roman"/>
          <w:sz w:val="28"/>
          <w:szCs w:val="28"/>
        </w:rPr>
        <w:t>иально-экономического развития</w:t>
      </w:r>
      <w:r w:rsidRPr="00025BB9">
        <w:rPr>
          <w:rFonts w:ascii="Times New Roman" w:hAnsi="Times New Roman" w:cs="Times New Roman"/>
          <w:sz w:val="28"/>
          <w:szCs w:val="28"/>
        </w:rPr>
        <w:t>, 2012</w:t>
      </w:r>
    </w:p>
    <w:p w:rsidR="00EE76F2" w:rsidRDefault="00EE76F2" w:rsidP="00BF0009">
      <w:pPr>
        <w:pStyle w:val="aa"/>
        <w:numPr>
          <w:ilvl w:val="0"/>
          <w:numId w:val="38"/>
        </w:numPr>
        <w:spacing w:line="360" w:lineRule="auto"/>
        <w:rPr>
          <w:rFonts w:ascii="Times New Roman" w:hAnsi="Times New Roman" w:cs="Times New Roman"/>
          <w:sz w:val="28"/>
          <w:szCs w:val="28"/>
        </w:rPr>
      </w:pPr>
      <w:r w:rsidRPr="00F10DF8">
        <w:rPr>
          <w:rFonts w:ascii="Times New Roman" w:hAnsi="Times New Roman" w:cs="Times New Roman"/>
          <w:sz w:val="28"/>
          <w:szCs w:val="28"/>
        </w:rPr>
        <w:t>Каналес</w:t>
      </w:r>
      <w:r>
        <w:rPr>
          <w:rFonts w:ascii="Times New Roman" w:hAnsi="Times New Roman" w:cs="Times New Roman"/>
          <w:sz w:val="28"/>
          <w:szCs w:val="28"/>
        </w:rPr>
        <w:t xml:space="preserve"> </w:t>
      </w:r>
      <w:r w:rsidRPr="00F10DF8">
        <w:rPr>
          <w:rFonts w:ascii="Times New Roman" w:hAnsi="Times New Roman" w:cs="Times New Roman"/>
          <w:sz w:val="28"/>
          <w:szCs w:val="28"/>
        </w:rPr>
        <w:t>Э. Развитие торгово-экономических отношений Испании с Россией: современное состояние, к</w:t>
      </w:r>
      <w:r>
        <w:rPr>
          <w:rFonts w:ascii="Times New Roman" w:hAnsi="Times New Roman" w:cs="Times New Roman"/>
          <w:sz w:val="28"/>
          <w:szCs w:val="28"/>
        </w:rPr>
        <w:t xml:space="preserve">лючевые проблемы и перспективы: </w:t>
      </w:r>
      <w:r w:rsidRPr="00F10DF8">
        <w:rPr>
          <w:rFonts w:ascii="Times New Roman" w:hAnsi="Times New Roman" w:cs="Times New Roman"/>
          <w:sz w:val="28"/>
          <w:szCs w:val="28"/>
        </w:rPr>
        <w:t>М., 2011</w:t>
      </w:r>
    </w:p>
    <w:p w:rsidR="00EE76F2"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Кудрявцев, А. Е. Испания в Средние в</w:t>
      </w:r>
      <w:r>
        <w:rPr>
          <w:rFonts w:ascii="Times New Roman" w:hAnsi="Times New Roman" w:cs="Times New Roman"/>
          <w:sz w:val="28"/>
          <w:szCs w:val="28"/>
        </w:rPr>
        <w:t>ека / А. Е. Кудрявцев. М.</w:t>
      </w:r>
      <w:r w:rsidRPr="00025BB9">
        <w:rPr>
          <w:rFonts w:ascii="Times New Roman" w:hAnsi="Times New Roman" w:cs="Times New Roman"/>
          <w:sz w:val="28"/>
          <w:szCs w:val="28"/>
        </w:rPr>
        <w:t>: Издательство Юрайт, 2019</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Кузин С.И Старение населения:</w:t>
      </w:r>
      <w:r>
        <w:rPr>
          <w:rFonts w:ascii="Times New Roman" w:hAnsi="Times New Roman" w:cs="Times New Roman"/>
          <w:sz w:val="28"/>
          <w:szCs w:val="28"/>
        </w:rPr>
        <w:t xml:space="preserve"> социально-экономический аспект</w:t>
      </w:r>
      <w:r w:rsidRPr="00025BB9">
        <w:rPr>
          <w:rFonts w:ascii="Times New Roman" w:hAnsi="Times New Roman" w:cs="Times New Roman"/>
          <w:sz w:val="28"/>
          <w:szCs w:val="28"/>
        </w:rPr>
        <w:t>, 2018</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Медушевский Н.А</w:t>
      </w:r>
      <w:r>
        <w:rPr>
          <w:rFonts w:ascii="Times New Roman" w:hAnsi="Times New Roman" w:cs="Times New Roman"/>
          <w:sz w:val="28"/>
          <w:szCs w:val="28"/>
        </w:rPr>
        <w:t xml:space="preserve">. </w:t>
      </w:r>
      <w:r w:rsidRPr="00025BB9">
        <w:rPr>
          <w:rFonts w:ascii="Times New Roman" w:hAnsi="Times New Roman" w:cs="Times New Roman"/>
          <w:sz w:val="28"/>
          <w:szCs w:val="28"/>
        </w:rPr>
        <w:t>Миграционный кризис в Европе чер</w:t>
      </w:r>
      <w:r>
        <w:rPr>
          <w:rFonts w:ascii="Times New Roman" w:hAnsi="Times New Roman" w:cs="Times New Roman"/>
          <w:sz w:val="28"/>
          <w:szCs w:val="28"/>
        </w:rPr>
        <w:t>ез призму статистических данных</w:t>
      </w:r>
      <w:r w:rsidRPr="00025BB9">
        <w:rPr>
          <w:rFonts w:ascii="Times New Roman" w:hAnsi="Times New Roman" w:cs="Times New Roman"/>
          <w:sz w:val="28"/>
          <w:szCs w:val="28"/>
        </w:rPr>
        <w:t>, 2017</w:t>
      </w:r>
    </w:p>
    <w:p w:rsidR="00EE76F2" w:rsidRDefault="00EE76F2"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Мышлявцева С.Э. Анализ туристских потоков в странах Южной</w:t>
      </w:r>
      <w:r>
        <w:rPr>
          <w:rFonts w:ascii="Times New Roman" w:hAnsi="Times New Roman" w:cs="Times New Roman"/>
          <w:sz w:val="28"/>
          <w:szCs w:val="28"/>
        </w:rPr>
        <w:t xml:space="preserve"> </w:t>
      </w:r>
      <w:r w:rsidRPr="008849AA">
        <w:rPr>
          <w:rFonts w:ascii="Times New Roman" w:hAnsi="Times New Roman" w:cs="Times New Roman"/>
          <w:sz w:val="28"/>
          <w:szCs w:val="28"/>
        </w:rPr>
        <w:t>Европы (на примере Испании) // Географический вестник,</w:t>
      </w:r>
      <w:r>
        <w:rPr>
          <w:rFonts w:ascii="Times New Roman" w:hAnsi="Times New Roman" w:cs="Times New Roman"/>
          <w:sz w:val="28"/>
          <w:szCs w:val="28"/>
        </w:rPr>
        <w:t xml:space="preserve"> </w:t>
      </w:r>
      <w:r w:rsidRPr="008849AA">
        <w:rPr>
          <w:rFonts w:ascii="Times New Roman" w:hAnsi="Times New Roman" w:cs="Times New Roman"/>
          <w:sz w:val="28"/>
          <w:szCs w:val="28"/>
        </w:rPr>
        <w:t>2015</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Погорлецкий А.И. Экономика стран и регионов – М.: Издательство Юрайт,</w:t>
      </w:r>
      <w:r w:rsidRPr="00025BB9">
        <w:rPr>
          <w:rFonts w:ascii="Times New Roman" w:hAnsi="Times New Roman" w:cs="Times New Roman"/>
          <w:color w:val="000000"/>
          <w:sz w:val="28"/>
          <w:szCs w:val="28"/>
          <w:shd w:val="clear" w:color="auto" w:fill="FFFFFF"/>
        </w:rPr>
        <w:t xml:space="preserve"> 2017</w:t>
      </w:r>
    </w:p>
    <w:p w:rsidR="00EE76F2" w:rsidRDefault="00EE76F2" w:rsidP="00BF0009">
      <w:pPr>
        <w:pStyle w:val="aa"/>
        <w:numPr>
          <w:ilvl w:val="0"/>
          <w:numId w:val="38"/>
        </w:numPr>
        <w:spacing w:line="360" w:lineRule="auto"/>
        <w:rPr>
          <w:rFonts w:ascii="Times New Roman" w:hAnsi="Times New Roman" w:cs="Times New Roman"/>
          <w:sz w:val="28"/>
          <w:szCs w:val="28"/>
        </w:rPr>
      </w:pPr>
      <w:r w:rsidRPr="00F10DF8">
        <w:rPr>
          <w:rFonts w:ascii="Times New Roman" w:hAnsi="Times New Roman" w:cs="Times New Roman"/>
          <w:sz w:val="28"/>
          <w:szCs w:val="28"/>
        </w:rPr>
        <w:t xml:space="preserve">Сидоренко Т.В. Испания: перспективы перехода к инновационной модели экономики. – // Вестник РГГУ, </w:t>
      </w:r>
      <w:r>
        <w:rPr>
          <w:rFonts w:ascii="Times New Roman" w:hAnsi="Times New Roman" w:cs="Times New Roman"/>
          <w:sz w:val="28"/>
          <w:szCs w:val="28"/>
        </w:rPr>
        <w:t>Экономические науки, 2012</w:t>
      </w:r>
    </w:p>
    <w:p w:rsidR="00EE76F2" w:rsidRDefault="00EE76F2" w:rsidP="00BF0009">
      <w:pPr>
        <w:pStyle w:val="aa"/>
        <w:numPr>
          <w:ilvl w:val="0"/>
          <w:numId w:val="38"/>
        </w:numPr>
        <w:spacing w:line="360" w:lineRule="auto"/>
        <w:rPr>
          <w:rFonts w:ascii="Times New Roman" w:hAnsi="Times New Roman" w:cs="Times New Roman"/>
          <w:sz w:val="28"/>
          <w:szCs w:val="28"/>
        </w:rPr>
      </w:pPr>
      <w:r w:rsidRPr="007043D9">
        <w:rPr>
          <w:rFonts w:ascii="Times New Roman" w:hAnsi="Times New Roman" w:cs="Times New Roman"/>
          <w:sz w:val="28"/>
          <w:szCs w:val="28"/>
        </w:rPr>
        <w:t>Сиряева К.А. К вопросу о роли Ис</w:t>
      </w:r>
      <w:r>
        <w:rPr>
          <w:rFonts w:ascii="Times New Roman" w:hAnsi="Times New Roman" w:cs="Times New Roman"/>
          <w:sz w:val="28"/>
          <w:szCs w:val="28"/>
        </w:rPr>
        <w:t>пании в НАТО и ЕС</w:t>
      </w:r>
      <w:r w:rsidRPr="007043D9">
        <w:rPr>
          <w:rFonts w:ascii="Times New Roman" w:hAnsi="Times New Roman" w:cs="Times New Roman"/>
          <w:sz w:val="28"/>
          <w:szCs w:val="28"/>
        </w:rPr>
        <w:t>,</w:t>
      </w:r>
      <w:r>
        <w:rPr>
          <w:rFonts w:ascii="Times New Roman" w:hAnsi="Times New Roman" w:cs="Times New Roman"/>
          <w:sz w:val="28"/>
          <w:szCs w:val="28"/>
        </w:rPr>
        <w:t xml:space="preserve"> 2008</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 xml:space="preserve">Тарле Е.В. Испанские короли. - Ростов-на-Дону: Феникс, 1998. - С. 330. (Исторические силуэты)/ Под редакцией профессоров Лависса и Рамбо. История XIX века </w:t>
      </w:r>
      <w:r>
        <w:rPr>
          <w:rFonts w:ascii="Times New Roman" w:hAnsi="Times New Roman" w:cs="Times New Roman"/>
          <w:sz w:val="28"/>
          <w:szCs w:val="28"/>
        </w:rPr>
        <w:t>- М.: ОГИЗ, 1938</w:t>
      </w:r>
    </w:p>
    <w:p w:rsidR="00EE76F2" w:rsidRDefault="00EE76F2"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Фельтина А.Н. Все об Испа</w:t>
      </w:r>
      <w:r>
        <w:rPr>
          <w:rFonts w:ascii="Times New Roman" w:hAnsi="Times New Roman" w:cs="Times New Roman"/>
          <w:sz w:val="28"/>
          <w:szCs w:val="28"/>
        </w:rPr>
        <w:t>нии. Страны мира / Издательство</w:t>
      </w:r>
      <w:r w:rsidRPr="008849AA">
        <w:rPr>
          <w:rFonts w:ascii="Times New Roman" w:hAnsi="Times New Roman" w:cs="Times New Roman"/>
          <w:sz w:val="28"/>
          <w:szCs w:val="28"/>
        </w:rPr>
        <w:t>: Фолио,</w:t>
      </w:r>
      <w:r>
        <w:rPr>
          <w:rFonts w:ascii="Times New Roman" w:hAnsi="Times New Roman" w:cs="Times New Roman"/>
          <w:sz w:val="28"/>
          <w:szCs w:val="28"/>
        </w:rPr>
        <w:t xml:space="preserve"> </w:t>
      </w:r>
      <w:r w:rsidRPr="008849AA">
        <w:rPr>
          <w:rFonts w:ascii="Times New Roman" w:hAnsi="Times New Roman" w:cs="Times New Roman"/>
          <w:sz w:val="28"/>
          <w:szCs w:val="28"/>
        </w:rPr>
        <w:t>Харьков</w:t>
      </w:r>
      <w:r>
        <w:rPr>
          <w:rFonts w:ascii="Times New Roman" w:hAnsi="Times New Roman" w:cs="Times New Roman"/>
          <w:sz w:val="28"/>
          <w:szCs w:val="28"/>
        </w:rPr>
        <w:t>, 2006</w:t>
      </w:r>
    </w:p>
    <w:p w:rsidR="00EE76F2" w:rsidRPr="00025BB9"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t>Хасбулатов Р. И. Мировая экономика: учебник для бакалавров – М Издательство Юрайт, 2018 – 884с</w:t>
      </w:r>
    </w:p>
    <w:p w:rsidR="00EE76F2" w:rsidRDefault="00EE76F2" w:rsidP="00BF0009">
      <w:pPr>
        <w:pStyle w:val="aa"/>
        <w:numPr>
          <w:ilvl w:val="0"/>
          <w:numId w:val="38"/>
        </w:numPr>
        <w:spacing w:line="360" w:lineRule="auto"/>
        <w:rPr>
          <w:rFonts w:ascii="Times New Roman" w:hAnsi="Times New Roman" w:cs="Times New Roman"/>
          <w:sz w:val="28"/>
          <w:szCs w:val="28"/>
        </w:rPr>
      </w:pPr>
      <w:r w:rsidRPr="00025BB9">
        <w:rPr>
          <w:rFonts w:ascii="Times New Roman" w:hAnsi="Times New Roman" w:cs="Times New Roman"/>
          <w:sz w:val="28"/>
          <w:szCs w:val="28"/>
        </w:rPr>
        <w:lastRenderedPageBreak/>
        <w:t>Хасбулатов Р.И. Международная торговая политика в 2 ч. Часть 1 2-е изд., пер. и доп.: учебник для бакалавриата и</w:t>
      </w:r>
      <w:r>
        <w:rPr>
          <w:rFonts w:ascii="Times New Roman" w:hAnsi="Times New Roman" w:cs="Times New Roman"/>
          <w:sz w:val="28"/>
          <w:szCs w:val="28"/>
        </w:rPr>
        <w:t xml:space="preserve"> магистратуры – М.: Юрайт, 2019</w:t>
      </w:r>
    </w:p>
    <w:p w:rsidR="00EE76F2" w:rsidRPr="00EE76F2" w:rsidRDefault="00EE76F2" w:rsidP="00EE76F2">
      <w:pPr>
        <w:pStyle w:val="aa"/>
        <w:numPr>
          <w:ilvl w:val="0"/>
          <w:numId w:val="38"/>
        </w:numPr>
        <w:spacing w:line="360" w:lineRule="auto"/>
        <w:rPr>
          <w:rFonts w:ascii="Times New Roman" w:hAnsi="Times New Roman" w:cs="Times New Roman"/>
          <w:sz w:val="28"/>
          <w:szCs w:val="28"/>
        </w:rPr>
      </w:pPr>
      <w:r>
        <w:rPr>
          <w:rFonts w:ascii="Times New Roman" w:hAnsi="Times New Roman" w:cs="Times New Roman"/>
          <w:color w:val="000000"/>
          <w:sz w:val="28"/>
          <w:szCs w:val="28"/>
        </w:rPr>
        <w:t xml:space="preserve"> Хасбулатов </w:t>
      </w:r>
      <w:r w:rsidRPr="00EE76F2">
        <w:rPr>
          <w:rFonts w:ascii="Times New Roman" w:hAnsi="Times New Roman" w:cs="Times New Roman"/>
          <w:color w:val="000000"/>
          <w:sz w:val="28"/>
          <w:szCs w:val="28"/>
        </w:rPr>
        <w:t>Р.И. Международные экономические отношения – М.: Издательство Юрайт, 2018</w:t>
      </w:r>
    </w:p>
    <w:p w:rsidR="008849AA" w:rsidRPr="008849AA" w:rsidRDefault="008849AA" w:rsidP="00BF0009">
      <w:pPr>
        <w:pStyle w:val="aa"/>
        <w:numPr>
          <w:ilvl w:val="0"/>
          <w:numId w:val="38"/>
        </w:numPr>
        <w:spacing w:line="360" w:lineRule="auto"/>
        <w:rPr>
          <w:rFonts w:ascii="Times New Roman" w:hAnsi="Times New Roman" w:cs="Times New Roman"/>
          <w:sz w:val="28"/>
          <w:szCs w:val="28"/>
          <w:lang w:val="en-US"/>
        </w:rPr>
      </w:pPr>
      <w:r w:rsidRPr="008849AA">
        <w:rPr>
          <w:rFonts w:ascii="Times New Roman" w:hAnsi="Times New Roman" w:cs="Times New Roman"/>
          <w:sz w:val="28"/>
          <w:szCs w:val="28"/>
          <w:lang w:val="en-US"/>
        </w:rPr>
        <w:t>Final draft of climate deal formally accepted in Paris, CNN, Cable News Network, Turner Broadcasting System, Inc.12.12.2015</w:t>
      </w:r>
    </w:p>
    <w:p w:rsidR="008849AA" w:rsidRPr="008849AA" w:rsidRDefault="008849AA" w:rsidP="00BF0009">
      <w:pPr>
        <w:pStyle w:val="aa"/>
        <w:numPr>
          <w:ilvl w:val="0"/>
          <w:numId w:val="38"/>
        </w:numPr>
        <w:spacing w:line="360" w:lineRule="auto"/>
        <w:rPr>
          <w:rFonts w:ascii="Times New Roman" w:hAnsi="Times New Roman" w:cs="Times New Roman"/>
          <w:sz w:val="28"/>
          <w:szCs w:val="28"/>
          <w:lang w:val="en-US"/>
        </w:rPr>
      </w:pPr>
      <w:r w:rsidRPr="008849AA">
        <w:rPr>
          <w:rFonts w:ascii="Times New Roman" w:hAnsi="Times New Roman" w:cs="Times New Roman"/>
          <w:sz w:val="28"/>
          <w:szCs w:val="28"/>
          <w:lang w:val="en-US"/>
        </w:rPr>
        <w:t xml:space="preserve">Russia and Spain Agree to Cooperate on Cyber Security, Fight Fake News, The Moscow times, 7.11.2018 </w:t>
      </w:r>
    </w:p>
    <w:p w:rsidR="008849AA" w:rsidRPr="008849AA" w:rsidRDefault="008849AA" w:rsidP="00BF0009">
      <w:pPr>
        <w:pStyle w:val="aa"/>
        <w:numPr>
          <w:ilvl w:val="0"/>
          <w:numId w:val="38"/>
        </w:numPr>
        <w:spacing w:line="360" w:lineRule="auto"/>
        <w:rPr>
          <w:rFonts w:ascii="Times New Roman" w:hAnsi="Times New Roman" w:cs="Times New Roman"/>
          <w:sz w:val="28"/>
          <w:szCs w:val="28"/>
          <w:lang w:val="en-US"/>
        </w:rPr>
      </w:pPr>
      <w:r w:rsidRPr="008849AA">
        <w:rPr>
          <w:rFonts w:ascii="Times New Roman" w:hAnsi="Times New Roman" w:cs="Times New Roman"/>
          <w:sz w:val="28"/>
          <w:szCs w:val="28"/>
          <w:lang w:val="en-US"/>
        </w:rPr>
        <w:t>World trade Organization International Trade Statistics 2017. – P. 94</w:t>
      </w:r>
    </w:p>
    <w:p w:rsid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Официальный сайт  по миграции, [Электронный ресурс] – Режим доступа: http://migration.iom.int/europe/, дата обращения 21.05.2019</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 xml:space="preserve">Официальный сайт ВТО, [Электронный ресурс] – Режим доступа:http://www.wto.com/, дата обращения 12.05.2019 </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Официальный сайт Группы Всемирного Банка, [Электронный ресурс] – Режим доступа:  https://data.worldbank.org/, дата обращения 13.05.2019.</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 xml:space="preserve">Официальный сайт МВФ, [Электронный ресурс] – Режим доступа: http://www.imf.org/, дата обращения 12.05.2019 </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 xml:space="preserve">Официальный сайт Мирового Экономического Форума, [Электронный ресурс] – Режим доступа: https://www.weforum.org, дата обращения 12.05.2019 </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 xml:space="preserve">Официальный сайт ООН, [Электронный ресурс] – Режим доступа: http://www.un.org/ru, дата обращения 12.05.2019 </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Официальный сайт правительства Испании</w:t>
      </w:r>
      <w:r>
        <w:rPr>
          <w:rFonts w:ascii="Times New Roman" w:hAnsi="Times New Roman" w:cs="Times New Roman"/>
          <w:sz w:val="28"/>
          <w:szCs w:val="28"/>
        </w:rPr>
        <w:t xml:space="preserve">, [Электронный ресурс] – </w:t>
      </w:r>
      <w:r w:rsidRPr="008849AA">
        <w:rPr>
          <w:rFonts w:ascii="Times New Roman" w:hAnsi="Times New Roman" w:cs="Times New Roman"/>
          <w:sz w:val="28"/>
          <w:szCs w:val="28"/>
        </w:rPr>
        <w:t xml:space="preserve">Режим доступа: </w:t>
      </w:r>
      <w:r w:rsidRPr="008849AA">
        <w:rPr>
          <w:rFonts w:ascii="Times New Roman" w:hAnsi="Times New Roman" w:cs="Times New Roman"/>
          <w:sz w:val="28"/>
          <w:szCs w:val="28"/>
          <w:lang w:val="en-US"/>
        </w:rPr>
        <w:t>http</w:t>
      </w:r>
      <w:r w:rsidRPr="008849AA">
        <w:rPr>
          <w:rFonts w:ascii="Times New Roman" w:hAnsi="Times New Roman" w:cs="Times New Roman"/>
          <w:sz w:val="28"/>
          <w:szCs w:val="28"/>
        </w:rPr>
        <w:t>://</w:t>
      </w:r>
      <w:r w:rsidRPr="008849AA">
        <w:rPr>
          <w:rFonts w:ascii="Times New Roman" w:hAnsi="Times New Roman" w:cs="Times New Roman"/>
          <w:sz w:val="28"/>
          <w:szCs w:val="28"/>
          <w:lang w:val="en-US"/>
        </w:rPr>
        <w:t>www</w:t>
      </w:r>
      <w:r w:rsidRPr="008849AA">
        <w:rPr>
          <w:rFonts w:ascii="Times New Roman" w:hAnsi="Times New Roman" w:cs="Times New Roman"/>
          <w:sz w:val="28"/>
          <w:szCs w:val="28"/>
        </w:rPr>
        <w:t>.</w:t>
      </w:r>
      <w:r w:rsidRPr="008849AA">
        <w:rPr>
          <w:rFonts w:ascii="Times New Roman" w:hAnsi="Times New Roman" w:cs="Times New Roman"/>
          <w:sz w:val="28"/>
          <w:szCs w:val="28"/>
          <w:lang w:val="en-US"/>
        </w:rPr>
        <w:t>defensa</w:t>
      </w:r>
      <w:r w:rsidRPr="008849AA">
        <w:rPr>
          <w:rFonts w:ascii="Times New Roman" w:hAnsi="Times New Roman" w:cs="Times New Roman"/>
          <w:sz w:val="28"/>
          <w:szCs w:val="28"/>
        </w:rPr>
        <w:t>.</w:t>
      </w:r>
      <w:r w:rsidRPr="008849AA">
        <w:rPr>
          <w:rFonts w:ascii="Times New Roman" w:hAnsi="Times New Roman" w:cs="Times New Roman"/>
          <w:sz w:val="28"/>
          <w:szCs w:val="28"/>
          <w:lang w:val="en-US"/>
        </w:rPr>
        <w:t>gob</w:t>
      </w:r>
      <w:r w:rsidRPr="008849AA">
        <w:rPr>
          <w:rFonts w:ascii="Times New Roman" w:hAnsi="Times New Roman" w:cs="Times New Roman"/>
          <w:sz w:val="28"/>
          <w:szCs w:val="28"/>
        </w:rPr>
        <w:t>.</w:t>
      </w:r>
      <w:r w:rsidRPr="008849AA">
        <w:rPr>
          <w:rFonts w:ascii="Times New Roman" w:hAnsi="Times New Roman" w:cs="Times New Roman"/>
          <w:sz w:val="28"/>
          <w:szCs w:val="28"/>
          <w:lang w:val="en-US"/>
        </w:rPr>
        <w:t>es</w:t>
      </w:r>
      <w:r>
        <w:rPr>
          <w:rFonts w:ascii="Times New Roman" w:hAnsi="Times New Roman" w:cs="Times New Roman"/>
          <w:sz w:val="28"/>
          <w:szCs w:val="28"/>
        </w:rPr>
        <w:t>, дата обращения 22.05.2019</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Официальный сайт статистики ЕС, [Электронный ресурс] – Режим доступа: https://ec.europa.eu/eurostat/data/database, дата обращения 12.05.2019</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lastRenderedPageBreak/>
        <w:t xml:space="preserve">Официальный сайт статистики Испании, [Электронный ресурс] – Режим доступа: http://www.ine.es/en, дата обращения 1.05.2019  </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Официальный сайт статистики РФ, [Электронный ресурс] – Режим доступа: http://www.gks.ru/, дата обращения 10.05.2019.</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Официальный сайт Федеральной таможенной службы России, [Электронный ресурс] – Режим доступа: http://customs.ru/index.php, дата обращения 11.05.2019.</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 xml:space="preserve">Официальный сайт ЮНКТАД, [Электронный ресурс] – Режим доступа: http://unctadstat.unctad.org, дата обращения 1.05.2019 </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Рейтинг «Индекс восприятия коррупции», [Электронный ресурс] – Режим доступа: https://transparency.org.ru/research/indeks-vospriyatiya-korruptsii/, дата обращения 20.05.2019.</w:t>
      </w:r>
    </w:p>
    <w:p w:rsidR="008849AA" w:rsidRPr="008849AA" w:rsidRDefault="008849AA" w:rsidP="00BF0009">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t>Сайт Министерства экономики, промышленности и конкурентоспособности Испании», [Электронный ресурс] – Режим доступа: http://www.comercio.mineco.gob.es/, дата обращения 20.05.2019</w:t>
      </w:r>
    </w:p>
    <w:p w:rsidR="0037606A" w:rsidRPr="008849AA" w:rsidRDefault="0037606A" w:rsidP="008849AA">
      <w:pPr>
        <w:pStyle w:val="aa"/>
        <w:numPr>
          <w:ilvl w:val="0"/>
          <w:numId w:val="38"/>
        </w:numPr>
        <w:spacing w:line="360" w:lineRule="auto"/>
        <w:rPr>
          <w:rFonts w:ascii="Times New Roman" w:hAnsi="Times New Roman" w:cs="Times New Roman"/>
          <w:sz w:val="28"/>
          <w:szCs w:val="28"/>
        </w:rPr>
      </w:pPr>
      <w:r w:rsidRPr="008849AA">
        <w:rPr>
          <w:rFonts w:ascii="Times New Roman" w:hAnsi="Times New Roman" w:cs="Times New Roman"/>
          <w:sz w:val="28"/>
          <w:szCs w:val="28"/>
        </w:rPr>
        <w:br w:type="page"/>
      </w:r>
    </w:p>
    <w:p w:rsidR="00FC346F" w:rsidRDefault="002A5854" w:rsidP="0037606A">
      <w:pPr>
        <w:pStyle w:val="1"/>
        <w:spacing w:before="0" w:line="360" w:lineRule="auto"/>
        <w:jc w:val="center"/>
        <w:rPr>
          <w:rFonts w:ascii="Times New Roman" w:hAnsi="Times New Roman" w:cs="Times New Roman"/>
          <w:b w:val="0"/>
          <w:color w:val="auto"/>
        </w:rPr>
      </w:pPr>
      <w:bookmarkStart w:id="16" w:name="_Toc10992404"/>
      <w:r w:rsidRPr="00A400CE">
        <w:rPr>
          <w:rFonts w:ascii="Times New Roman" w:hAnsi="Times New Roman" w:cs="Times New Roman"/>
          <w:b w:val="0"/>
          <w:color w:val="auto"/>
        </w:rPr>
        <w:lastRenderedPageBreak/>
        <w:t>ПРИЛОЖЕНИЯ</w:t>
      </w:r>
      <w:bookmarkEnd w:id="16"/>
    </w:p>
    <w:p w:rsidR="00D9323E" w:rsidRDefault="00D9323E" w:rsidP="002A5854">
      <w:pPr>
        <w:spacing w:after="0" w:line="360" w:lineRule="auto"/>
        <w:ind w:firstLine="709"/>
        <w:rPr>
          <w:rFonts w:ascii="Times New Roman" w:hAnsi="Times New Roman" w:cs="Times New Roman"/>
          <w:sz w:val="28"/>
        </w:rPr>
      </w:pPr>
    </w:p>
    <w:p w:rsidR="0037606A" w:rsidRPr="002A5854" w:rsidRDefault="002A5854" w:rsidP="002A5854">
      <w:pPr>
        <w:spacing w:after="0" w:line="360" w:lineRule="auto"/>
        <w:ind w:firstLine="709"/>
        <w:rPr>
          <w:rFonts w:ascii="Times New Roman" w:hAnsi="Times New Roman" w:cs="Times New Roman"/>
          <w:sz w:val="28"/>
        </w:rPr>
      </w:pPr>
      <w:r w:rsidRPr="002A5854">
        <w:rPr>
          <w:rFonts w:ascii="Times New Roman" w:hAnsi="Times New Roman" w:cs="Times New Roman"/>
          <w:sz w:val="28"/>
        </w:rPr>
        <w:t>Приложение 1. Половозрастные пирамиды Испании 2006 и 2017 гг. (тыс. человек)</w:t>
      </w:r>
    </w:p>
    <w:p w:rsidR="0037606A" w:rsidRPr="002A5854" w:rsidRDefault="0037606A" w:rsidP="0037606A">
      <w:pPr>
        <w:spacing w:after="0" w:line="240" w:lineRule="auto"/>
        <w:jc w:val="center"/>
        <w:rPr>
          <w:rFonts w:ascii="Times New Roman" w:eastAsia="Times New Roman" w:hAnsi="Times New Roman" w:cs="Times New Roman"/>
          <w:color w:val="000000" w:themeColor="text1"/>
          <w:lang w:eastAsia="ru-RU"/>
        </w:rPr>
      </w:pPr>
      <w:r w:rsidRPr="002A5854">
        <w:rPr>
          <w:rFonts w:ascii="Times New Roman" w:eastAsia="Times New Roman" w:hAnsi="Times New Roman" w:cs="Times New Roman"/>
          <w:noProof/>
          <w:color w:val="1F497D" w:themeColor="text2"/>
          <w:sz w:val="24"/>
          <w:szCs w:val="24"/>
          <w:lang w:eastAsia="ru-RU"/>
        </w:rPr>
        <w:drawing>
          <wp:inline distT="0" distB="0" distL="0" distR="0" wp14:anchorId="539AB81B" wp14:editId="7195D71F">
            <wp:extent cx="5034987" cy="2754775"/>
            <wp:effectExtent l="0" t="0" r="13335" b="2667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7606A" w:rsidRPr="002A5854" w:rsidRDefault="0037606A" w:rsidP="0037606A">
      <w:pPr>
        <w:spacing w:after="0" w:line="240" w:lineRule="auto"/>
        <w:jc w:val="center"/>
        <w:rPr>
          <w:rFonts w:ascii="Times New Roman" w:eastAsia="Times New Roman" w:hAnsi="Times New Roman" w:cs="Times New Roman"/>
          <w:color w:val="000000" w:themeColor="text1"/>
          <w:lang w:eastAsia="ru-RU"/>
        </w:rPr>
      </w:pPr>
      <w:r w:rsidRPr="002A5854">
        <w:rPr>
          <w:rFonts w:ascii="Times New Roman" w:eastAsia="Times New Roman" w:hAnsi="Times New Roman" w:cs="Times New Roman"/>
          <w:noProof/>
          <w:color w:val="000000" w:themeColor="text1"/>
          <w:sz w:val="24"/>
          <w:szCs w:val="24"/>
          <w:lang w:eastAsia="ru-RU"/>
        </w:rPr>
        <w:drawing>
          <wp:inline distT="0" distB="0" distL="0" distR="0" wp14:anchorId="1C6AAF02" wp14:editId="43C8A509">
            <wp:extent cx="5058136" cy="3206187"/>
            <wp:effectExtent l="0" t="0" r="9525" b="1333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A5854" w:rsidRPr="00461892" w:rsidRDefault="002A5854" w:rsidP="002A5854">
      <w:pPr>
        <w:tabs>
          <w:tab w:val="num" w:pos="142"/>
          <w:tab w:val="left" w:pos="426"/>
        </w:tabs>
        <w:spacing w:after="0" w:line="240" w:lineRule="auto"/>
        <w:ind w:firstLine="709"/>
        <w:rPr>
          <w:rFonts w:ascii="Times New Roman" w:hAnsi="Times New Roman" w:cs="Times New Roman"/>
          <w:color w:val="000000" w:themeColor="text1"/>
          <w:sz w:val="28"/>
          <w:szCs w:val="28"/>
          <w:lang w:val="en-US"/>
        </w:rPr>
      </w:pPr>
      <w:r w:rsidRPr="00461892">
        <w:rPr>
          <w:rFonts w:ascii="Times New Roman" w:hAnsi="Times New Roman" w:cs="Times New Roman"/>
          <w:i/>
          <w:color w:val="000000" w:themeColor="text1"/>
          <w:sz w:val="20"/>
          <w:szCs w:val="20"/>
        </w:rPr>
        <w:t>Источник</w:t>
      </w:r>
      <w:r w:rsidRPr="00461892">
        <w:rPr>
          <w:rFonts w:ascii="Times New Roman" w:hAnsi="Times New Roman" w:cs="Times New Roman"/>
          <w:i/>
          <w:color w:val="000000" w:themeColor="text1"/>
          <w:sz w:val="20"/>
          <w:szCs w:val="20"/>
          <w:lang w:val="en-US"/>
        </w:rPr>
        <w:t>:</w:t>
      </w:r>
      <w:r w:rsidRPr="00461892">
        <w:rPr>
          <w:rFonts w:ascii="Times New Roman" w:hAnsi="Times New Roman" w:cs="Times New Roman"/>
          <w:color w:val="000000" w:themeColor="text1"/>
          <w:sz w:val="20"/>
          <w:szCs w:val="20"/>
          <w:shd w:val="clear" w:color="auto" w:fill="FFFFFF"/>
          <w:lang w:val="en-US"/>
        </w:rPr>
        <w:t xml:space="preserve"> </w:t>
      </w:r>
      <w:r w:rsidRPr="00461892">
        <w:rPr>
          <w:rFonts w:ascii="Times New Roman" w:hAnsi="Times New Roman" w:cs="Times New Roman"/>
          <w:color w:val="000000" w:themeColor="text1"/>
          <w:sz w:val="20"/>
          <w:szCs w:val="20"/>
          <w:shd w:val="clear" w:color="auto" w:fill="FFFFFF"/>
        </w:rPr>
        <w:t>составлено</w:t>
      </w:r>
      <w:r w:rsidRPr="00461892">
        <w:rPr>
          <w:rFonts w:ascii="Times New Roman" w:hAnsi="Times New Roman" w:cs="Times New Roman"/>
          <w:color w:val="000000" w:themeColor="text1"/>
          <w:sz w:val="20"/>
          <w:szCs w:val="20"/>
          <w:shd w:val="clear" w:color="auto" w:fill="FFFFFF"/>
          <w:lang w:val="en-US"/>
        </w:rPr>
        <w:t xml:space="preserve"> </w:t>
      </w:r>
      <w:r w:rsidRPr="00461892">
        <w:rPr>
          <w:rFonts w:ascii="Times New Roman" w:hAnsi="Times New Roman" w:cs="Times New Roman"/>
          <w:color w:val="000000" w:themeColor="text1"/>
          <w:sz w:val="20"/>
          <w:szCs w:val="20"/>
          <w:shd w:val="clear" w:color="auto" w:fill="FFFFFF"/>
        </w:rPr>
        <w:t>автором</w:t>
      </w:r>
      <w:r w:rsidRPr="00461892">
        <w:rPr>
          <w:rFonts w:ascii="Times New Roman" w:hAnsi="Times New Roman" w:cs="Times New Roman"/>
          <w:color w:val="000000" w:themeColor="text1"/>
          <w:sz w:val="20"/>
          <w:szCs w:val="20"/>
          <w:shd w:val="clear" w:color="auto" w:fill="FFFFFF"/>
          <w:lang w:val="en-US"/>
        </w:rPr>
        <w:t xml:space="preserve"> </w:t>
      </w:r>
      <w:r w:rsidRPr="00461892">
        <w:rPr>
          <w:rFonts w:ascii="Times New Roman" w:hAnsi="Times New Roman" w:cs="Times New Roman"/>
          <w:color w:val="000000" w:themeColor="text1"/>
          <w:sz w:val="20"/>
          <w:szCs w:val="20"/>
          <w:shd w:val="clear" w:color="auto" w:fill="FFFFFF"/>
        </w:rPr>
        <w:t>по</w:t>
      </w:r>
      <w:r w:rsidRPr="00461892">
        <w:rPr>
          <w:rFonts w:ascii="Times New Roman" w:hAnsi="Times New Roman" w:cs="Times New Roman"/>
          <w:color w:val="000000" w:themeColor="text1"/>
          <w:sz w:val="20"/>
          <w:szCs w:val="20"/>
          <w:shd w:val="clear" w:color="auto" w:fill="FFFFFF"/>
          <w:lang w:val="en-US"/>
        </w:rPr>
        <w:t xml:space="preserve"> </w:t>
      </w:r>
      <w:r w:rsidRPr="00461892">
        <w:rPr>
          <w:rFonts w:ascii="Times New Roman" w:hAnsi="Times New Roman" w:cs="Times New Roman"/>
          <w:color w:val="000000" w:themeColor="text1"/>
          <w:sz w:val="20"/>
          <w:szCs w:val="20"/>
          <w:shd w:val="clear" w:color="auto" w:fill="FFFFFF"/>
        </w:rPr>
        <w:t>данным</w:t>
      </w:r>
      <w:r w:rsidRPr="00461892">
        <w:rPr>
          <w:rFonts w:ascii="Times New Roman" w:hAnsi="Times New Roman" w:cs="Times New Roman"/>
          <w:color w:val="000000" w:themeColor="text1"/>
          <w:sz w:val="20"/>
          <w:szCs w:val="20"/>
          <w:shd w:val="clear" w:color="auto" w:fill="FFFFFF"/>
          <w:lang w:val="en-US"/>
        </w:rPr>
        <w:t>:</w:t>
      </w:r>
      <w:r w:rsidRPr="00461892">
        <w:rPr>
          <w:rFonts w:ascii="Times New Roman" w:eastAsia="Times New Roman" w:hAnsi="Times New Roman" w:cs="Times New Roman"/>
          <w:color w:val="000000" w:themeColor="text1"/>
          <w:sz w:val="24"/>
          <w:szCs w:val="24"/>
          <w:lang w:val="en-US" w:eastAsia="ru-RU"/>
        </w:rPr>
        <w:t xml:space="preserve"> </w:t>
      </w:r>
      <w:r w:rsidRPr="00461892">
        <w:rPr>
          <w:rFonts w:ascii="Times New Roman" w:hAnsi="Times New Roman" w:cs="Times New Roman"/>
          <w:color w:val="000000" w:themeColor="text1"/>
          <w:sz w:val="20"/>
          <w:szCs w:val="20"/>
          <w:shd w:val="clear" w:color="auto" w:fill="FFFFFF"/>
          <w:lang w:val="en-US"/>
        </w:rPr>
        <w:t>Population structure by gender and age-group, annual, 1950-2050, UNCTADstat</w:t>
      </w:r>
    </w:p>
    <w:p w:rsidR="0037606A" w:rsidRPr="00E30D35" w:rsidRDefault="0037606A" w:rsidP="00E30D35">
      <w:pPr>
        <w:rPr>
          <w:rFonts w:ascii="Times New Roman" w:hAnsi="Times New Roman" w:cs="Times New Roman"/>
          <w:sz w:val="28"/>
          <w:szCs w:val="28"/>
          <w:lang w:val="en-US"/>
        </w:rPr>
      </w:pPr>
    </w:p>
    <w:sectPr w:rsidR="0037606A" w:rsidRPr="00E30D35" w:rsidSect="00F15851">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A07" w:rsidRDefault="00940A07" w:rsidP="001E1195">
      <w:pPr>
        <w:spacing w:after="0" w:line="240" w:lineRule="auto"/>
      </w:pPr>
      <w:r>
        <w:separator/>
      </w:r>
    </w:p>
  </w:endnote>
  <w:endnote w:type="continuationSeparator" w:id="0">
    <w:p w:rsidR="00940A07" w:rsidRDefault="00940A07" w:rsidP="001E1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32176466"/>
      <w:docPartObj>
        <w:docPartGallery w:val="Page Numbers (Bottom of Page)"/>
        <w:docPartUnique/>
      </w:docPartObj>
    </w:sdtPr>
    <w:sdtEndPr>
      <w:rPr>
        <w:sz w:val="20"/>
        <w:szCs w:val="20"/>
      </w:rPr>
    </w:sdtEndPr>
    <w:sdtContent>
      <w:p w:rsidR="00AB150E" w:rsidRPr="00BB2C42" w:rsidRDefault="00AB150E" w:rsidP="007E0CA0">
        <w:pPr>
          <w:pStyle w:val="ae"/>
          <w:rPr>
            <w:rFonts w:ascii="Times New Roman" w:hAnsi="Times New Roman" w:cs="Times New Roman"/>
            <w:sz w:val="20"/>
          </w:rPr>
        </w:pPr>
      </w:p>
      <w:p w:rsidR="00AB150E" w:rsidRPr="00BB2C42" w:rsidRDefault="00AB150E" w:rsidP="008C6DC2">
        <w:pPr>
          <w:pStyle w:val="ae"/>
          <w:jc w:val="center"/>
          <w:rPr>
            <w:rFonts w:ascii="Times New Roman" w:hAnsi="Times New Roman" w:cs="Times New Roman"/>
            <w:sz w:val="20"/>
            <w:szCs w:val="20"/>
          </w:rPr>
        </w:pPr>
        <w:r w:rsidRPr="00BB2C42">
          <w:rPr>
            <w:rFonts w:ascii="Times New Roman" w:hAnsi="Times New Roman" w:cs="Times New Roman"/>
            <w:sz w:val="20"/>
            <w:szCs w:val="20"/>
          </w:rPr>
          <w:fldChar w:fldCharType="begin"/>
        </w:r>
        <w:r w:rsidRPr="00BB2C42">
          <w:rPr>
            <w:rFonts w:ascii="Times New Roman" w:hAnsi="Times New Roman" w:cs="Times New Roman"/>
            <w:sz w:val="20"/>
            <w:szCs w:val="20"/>
          </w:rPr>
          <w:instrText>PAGE   \* MERGEFORMAT</w:instrText>
        </w:r>
        <w:r w:rsidRPr="00BB2C42">
          <w:rPr>
            <w:rFonts w:ascii="Times New Roman" w:hAnsi="Times New Roman" w:cs="Times New Roman"/>
            <w:sz w:val="20"/>
            <w:szCs w:val="20"/>
          </w:rPr>
          <w:fldChar w:fldCharType="separate"/>
        </w:r>
        <w:r w:rsidR="00DF7224">
          <w:rPr>
            <w:rFonts w:ascii="Times New Roman" w:hAnsi="Times New Roman" w:cs="Times New Roman"/>
            <w:noProof/>
            <w:sz w:val="20"/>
            <w:szCs w:val="20"/>
          </w:rPr>
          <w:t>9</w:t>
        </w:r>
        <w:r w:rsidRPr="00BB2C42">
          <w:rPr>
            <w:rFonts w:ascii="Times New Roman" w:hAnsi="Times New Roman" w:cs="Times New Roman"/>
            <w:sz w:val="20"/>
            <w:szCs w:val="20"/>
          </w:rPr>
          <w:fldChar w:fldCharType="end"/>
        </w:r>
      </w:p>
    </w:sdtContent>
  </w:sdt>
  <w:p w:rsidR="00AB150E" w:rsidRPr="00BB2C42" w:rsidRDefault="00AB150E">
    <w:pPr>
      <w:pStyle w:val="a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A07" w:rsidRDefault="00940A07" w:rsidP="001E1195">
      <w:pPr>
        <w:spacing w:after="0" w:line="240" w:lineRule="auto"/>
      </w:pPr>
      <w:r>
        <w:separator/>
      </w:r>
    </w:p>
  </w:footnote>
  <w:footnote w:type="continuationSeparator" w:id="0">
    <w:p w:rsidR="00940A07" w:rsidRDefault="00940A07" w:rsidP="001E1195">
      <w:pPr>
        <w:spacing w:after="0" w:line="240" w:lineRule="auto"/>
      </w:pPr>
      <w:r>
        <w:continuationSeparator/>
      </w:r>
    </w:p>
  </w:footnote>
  <w:footnote w:id="1">
    <w:p w:rsidR="00AB150E" w:rsidRDefault="00AB150E" w:rsidP="001E1195">
      <w:pPr>
        <w:pStyle w:val="a7"/>
        <w:rPr>
          <w:lang w:val="en-US"/>
        </w:rPr>
      </w:pPr>
      <w:r>
        <w:rPr>
          <w:rStyle w:val="a9"/>
        </w:rPr>
        <w:footnoteRef/>
      </w:r>
      <w:r>
        <w:rPr>
          <w:lang w:val="en-US"/>
        </w:rPr>
        <w:t xml:space="preserve"> World trade Organization International Trade Statistics 201</w:t>
      </w:r>
      <w:r w:rsidRPr="00CA2A65">
        <w:rPr>
          <w:lang w:val="en-US"/>
        </w:rPr>
        <w:t>7</w:t>
      </w:r>
      <w:r>
        <w:rPr>
          <w:lang w:val="en-US"/>
        </w:rPr>
        <w:t>. – P. 94</w:t>
      </w:r>
    </w:p>
  </w:footnote>
  <w:footnote w:id="2">
    <w:p w:rsidR="00AB150E" w:rsidRPr="00B5036F" w:rsidRDefault="00AB150E">
      <w:pPr>
        <w:pStyle w:val="a7"/>
      </w:pPr>
      <w:r>
        <w:rPr>
          <w:rStyle w:val="a9"/>
        </w:rPr>
        <w:footnoteRef/>
      </w:r>
      <w:r>
        <w:t xml:space="preserve"> Парижское соглашение – </w:t>
      </w:r>
      <w:r w:rsidRPr="00521B3F">
        <w:t xml:space="preserve"> соглашение в рамках Рамочной конвенции</w:t>
      </w:r>
      <w:r>
        <w:t xml:space="preserve"> </w:t>
      </w:r>
      <w:r w:rsidRPr="00521B3F">
        <w:t xml:space="preserve"> ООН об изменении климата, регулирующее меры по снижению углекислого газа в атмосфере с 2020 года. Соглашение</w:t>
      </w:r>
      <w:r w:rsidRPr="00B5036F">
        <w:t xml:space="preserve"> </w:t>
      </w:r>
      <w:r w:rsidRPr="00521B3F">
        <w:t>было</w:t>
      </w:r>
      <w:r w:rsidRPr="00B5036F">
        <w:t xml:space="preserve"> </w:t>
      </w:r>
      <w:r w:rsidRPr="00521B3F">
        <w:t>принято</w:t>
      </w:r>
      <w:r w:rsidRPr="00B5036F">
        <w:t xml:space="preserve"> </w:t>
      </w:r>
      <w:r w:rsidRPr="00521B3F">
        <w:t>консенсусом</w:t>
      </w:r>
      <w:r w:rsidRPr="00B5036F">
        <w:t xml:space="preserve"> 12 </w:t>
      </w:r>
      <w:r w:rsidRPr="00521B3F">
        <w:t>декабря</w:t>
      </w:r>
      <w:r w:rsidRPr="00B5036F">
        <w:t xml:space="preserve"> 2015 </w:t>
      </w:r>
      <w:r w:rsidRPr="00521B3F">
        <w:t>года</w:t>
      </w:r>
      <w:r w:rsidRPr="00B5036F">
        <w:t xml:space="preserve">, </w:t>
      </w:r>
      <w:r w:rsidRPr="00521B3F">
        <w:t>а</w:t>
      </w:r>
      <w:r w:rsidRPr="00B5036F">
        <w:t xml:space="preserve"> </w:t>
      </w:r>
      <w:r w:rsidRPr="00521B3F">
        <w:t>подпис</w:t>
      </w:r>
      <w:r>
        <w:t>ано</w:t>
      </w:r>
      <w:r w:rsidRPr="00B5036F">
        <w:t xml:space="preserve"> 22 </w:t>
      </w:r>
      <w:r>
        <w:t>апреля</w:t>
      </w:r>
      <w:r w:rsidRPr="00B5036F">
        <w:t xml:space="preserve"> 2016 </w:t>
      </w:r>
      <w:r w:rsidRPr="00554DD3">
        <w:t>года[</w:t>
      </w:r>
      <w:r>
        <w:t>19</w:t>
      </w:r>
      <w:r w:rsidRPr="00554DD3">
        <w:t>]</w:t>
      </w:r>
    </w:p>
  </w:footnote>
  <w:footnote w:id="3">
    <w:p w:rsidR="00AB150E" w:rsidRDefault="00AB150E">
      <w:pPr>
        <w:pStyle w:val="a7"/>
      </w:pPr>
      <w:r>
        <w:rPr>
          <w:rStyle w:val="a9"/>
        </w:rPr>
        <w:footnoteRef/>
      </w:r>
      <w:r>
        <w:t xml:space="preserve"> </w:t>
      </w:r>
      <w:r w:rsidRPr="007C67F0">
        <w:t>Общий коэффициент демографической нагрузки рассчитывается как отношение зависимой части населения к трудоспособной или производительной части населения</w:t>
      </w:r>
    </w:p>
  </w:footnote>
  <w:footnote w:id="4">
    <w:p w:rsidR="00AB150E" w:rsidRDefault="00AB150E">
      <w:pPr>
        <w:pStyle w:val="a7"/>
      </w:pPr>
      <w:r>
        <w:rPr>
          <w:rStyle w:val="a9"/>
        </w:rPr>
        <w:footnoteRef/>
      </w:r>
      <w:r>
        <w:t xml:space="preserve"> </w:t>
      </w:r>
      <w:r w:rsidRPr="00672818">
        <w:t>Коэффициент пенсионной нагрузки рассчитывается как отношение численности населения выше трудоспособного возраста к численности трудоспособного населения</w:t>
      </w:r>
    </w:p>
  </w:footnote>
  <w:footnote w:id="5">
    <w:p w:rsidR="00AB150E" w:rsidRPr="00593746" w:rsidRDefault="00AB150E" w:rsidP="001B4563">
      <w:pPr>
        <w:pStyle w:val="a7"/>
      </w:pPr>
      <w:r>
        <w:rPr>
          <w:rStyle w:val="a9"/>
        </w:rPr>
        <w:footnoteRef/>
      </w:r>
      <w:r>
        <w:t xml:space="preserve"> Венский конгресс 1814-1815 гг. –</w:t>
      </w:r>
      <w:r w:rsidRPr="000D4A9B">
        <w:t xml:space="preserve"> общеевропейская конференция, в ходе которой была выработана система договоров, направленных на восстановление феодально-абсолютистских монархий, разрушенных французской революцией 1789 года и наполеоновскими войнами, и были определены новые границы государств Европы</w:t>
      </w:r>
      <w:r>
        <w:t xml:space="preserve"> [</w:t>
      </w:r>
      <w:r w:rsidRPr="00036017">
        <w:t>9</w:t>
      </w:r>
      <w:r w:rsidRPr="00593746">
        <w:t>]</w:t>
      </w:r>
    </w:p>
  </w:footnote>
  <w:footnote w:id="6">
    <w:p w:rsidR="00AB150E" w:rsidRPr="00582DB8" w:rsidRDefault="00AB150E" w:rsidP="001B4563">
      <w:pPr>
        <w:pStyle w:val="a7"/>
      </w:pPr>
      <w:r>
        <w:rPr>
          <w:rStyle w:val="a9"/>
        </w:rPr>
        <w:footnoteRef/>
      </w:r>
      <w:r>
        <w:t xml:space="preserve"> Изабе</w:t>
      </w:r>
      <w:r w:rsidRPr="00AE5A0F">
        <w:t xml:space="preserve">лла II </w:t>
      </w:r>
      <w:r>
        <w:t xml:space="preserve">– королева Испании в 1833-1868 годах. Дочь Фердинанда. </w:t>
      </w:r>
      <w:r w:rsidRPr="00AE5A0F">
        <w:t>С 1837 года первый конституционный монарх страны.</w:t>
      </w:r>
      <w:r>
        <w:t>[</w:t>
      </w:r>
      <w:r w:rsidRPr="00620E0F">
        <w:t>10</w:t>
      </w:r>
      <w:r w:rsidRPr="00582DB8">
        <w:t>]</w:t>
      </w:r>
    </w:p>
  </w:footnote>
  <w:footnote w:id="7">
    <w:p w:rsidR="00AB150E" w:rsidRPr="004878FE" w:rsidRDefault="00AB150E" w:rsidP="001B4563">
      <w:pPr>
        <w:pStyle w:val="a7"/>
        <w:rPr>
          <w:lang w:val="en-US"/>
        </w:rPr>
      </w:pPr>
      <w:r>
        <w:rPr>
          <w:rStyle w:val="a9"/>
        </w:rPr>
        <w:footnoteRef/>
      </w:r>
      <w:r w:rsidRPr="004878FE">
        <w:rPr>
          <w:lang w:val="en-US"/>
        </w:rPr>
        <w:t xml:space="preserve"> </w:t>
      </w:r>
      <w:r>
        <w:rPr>
          <w:lang w:val="en-US"/>
        </w:rPr>
        <w:t>T</w:t>
      </w:r>
      <w:r w:rsidRPr="004878FE">
        <w:rPr>
          <w:lang w:val="en-US"/>
        </w:rPr>
        <w:t>he World Ba</w:t>
      </w:r>
      <w:r>
        <w:rPr>
          <w:lang w:val="en-US"/>
        </w:rPr>
        <w:t>nk: Gross Domestic Product 2018</w:t>
      </w:r>
    </w:p>
  </w:footnote>
  <w:footnote w:id="8">
    <w:p w:rsidR="00AB150E" w:rsidRPr="004878FE" w:rsidRDefault="00AB150E" w:rsidP="001B4563">
      <w:pPr>
        <w:pStyle w:val="a7"/>
        <w:rPr>
          <w:lang w:val="en-US"/>
        </w:rPr>
      </w:pPr>
      <w:r>
        <w:rPr>
          <w:rStyle w:val="a9"/>
        </w:rPr>
        <w:footnoteRef/>
      </w:r>
      <w:r w:rsidRPr="004878FE">
        <w:rPr>
          <w:lang w:val="en-US"/>
        </w:rPr>
        <w:t xml:space="preserve"> The World Bank: Gross National Income per Capita 2018</w:t>
      </w:r>
    </w:p>
  </w:footnote>
  <w:footnote w:id="9">
    <w:p w:rsidR="00AB150E" w:rsidRPr="00ED3899" w:rsidRDefault="00AB150E" w:rsidP="001B4563">
      <w:pPr>
        <w:pStyle w:val="a7"/>
        <w:rPr>
          <w:lang w:val="en-US"/>
        </w:rPr>
      </w:pPr>
      <w:r>
        <w:rPr>
          <w:rStyle w:val="a9"/>
        </w:rPr>
        <w:footnoteRef/>
      </w:r>
      <w:r w:rsidRPr="00ED3899">
        <w:rPr>
          <w:lang w:val="en-US"/>
        </w:rPr>
        <w:t xml:space="preserve"> United Nations Development Programme:Human Development Report 2018.</w:t>
      </w:r>
    </w:p>
  </w:footnote>
  <w:footnote w:id="10">
    <w:p w:rsidR="00AB150E" w:rsidRPr="007745A7" w:rsidRDefault="00AB150E" w:rsidP="001B4563">
      <w:pPr>
        <w:pStyle w:val="a7"/>
        <w:rPr>
          <w:lang w:val="en-US"/>
        </w:rPr>
      </w:pPr>
      <w:r>
        <w:rPr>
          <w:rStyle w:val="a9"/>
        </w:rPr>
        <w:footnoteRef/>
      </w:r>
      <w:r w:rsidRPr="007745A7">
        <w:rPr>
          <w:lang w:val="en-US"/>
        </w:rPr>
        <w:t xml:space="preserve"> United Nations Development Programme: Education Index 2018.</w:t>
      </w:r>
    </w:p>
  </w:footnote>
  <w:footnote w:id="11">
    <w:p w:rsidR="00AB150E" w:rsidRPr="007745A7" w:rsidRDefault="00AB150E" w:rsidP="001B4563">
      <w:pPr>
        <w:pStyle w:val="a7"/>
        <w:rPr>
          <w:lang w:val="en-US"/>
        </w:rPr>
      </w:pPr>
      <w:r>
        <w:rPr>
          <w:rStyle w:val="a9"/>
        </w:rPr>
        <w:footnoteRef/>
      </w:r>
      <w:r w:rsidRPr="007745A7">
        <w:rPr>
          <w:lang w:val="en-US"/>
        </w:rPr>
        <w:t xml:space="preserve"> World Economic Forum: The Global Competitiveness Report 2018</w:t>
      </w:r>
    </w:p>
  </w:footnote>
  <w:footnote w:id="12">
    <w:p w:rsidR="00AB150E" w:rsidRPr="007745A7" w:rsidRDefault="00AB150E" w:rsidP="001B4563">
      <w:pPr>
        <w:pStyle w:val="a7"/>
        <w:rPr>
          <w:lang w:val="en-US"/>
        </w:rPr>
      </w:pPr>
      <w:r>
        <w:rPr>
          <w:rStyle w:val="a9"/>
        </w:rPr>
        <w:footnoteRef/>
      </w:r>
      <w:r w:rsidRPr="007745A7">
        <w:rPr>
          <w:lang w:val="en-US"/>
        </w:rPr>
        <w:t xml:space="preserve"> Doing business 2018</w:t>
      </w:r>
    </w:p>
  </w:footnote>
  <w:footnote w:id="13">
    <w:p w:rsidR="00AB150E" w:rsidRPr="007745A7" w:rsidRDefault="00AB150E" w:rsidP="001B4563">
      <w:pPr>
        <w:pStyle w:val="a7"/>
        <w:rPr>
          <w:lang w:val="en-US"/>
        </w:rPr>
      </w:pPr>
      <w:r>
        <w:rPr>
          <w:rStyle w:val="a9"/>
        </w:rPr>
        <w:footnoteRef/>
      </w:r>
      <w:r w:rsidRPr="007745A7">
        <w:rPr>
          <w:lang w:val="en-US"/>
        </w:rPr>
        <w:t xml:space="preserve"> </w:t>
      </w:r>
      <w:r>
        <w:rPr>
          <w:lang w:val="en-US"/>
        </w:rPr>
        <w:t>Индекс</w:t>
      </w:r>
      <w:r w:rsidRPr="007745A7">
        <w:rPr>
          <w:lang w:val="en-US"/>
        </w:rPr>
        <w:t xml:space="preserve"> экономической сложности (the Economic Complexity Index (ECI)2017)</w:t>
      </w:r>
    </w:p>
  </w:footnote>
  <w:footnote w:id="14">
    <w:p w:rsidR="00AB150E" w:rsidRDefault="00AB150E" w:rsidP="001B4563">
      <w:pPr>
        <w:pStyle w:val="a7"/>
      </w:pPr>
      <w:r>
        <w:rPr>
          <w:rStyle w:val="a9"/>
        </w:rPr>
        <w:footnoteRef/>
      </w:r>
      <w:r>
        <w:t xml:space="preserve"> </w:t>
      </w:r>
      <w:r w:rsidRPr="00A974A8">
        <w:t xml:space="preserve"> </w:t>
      </w:r>
      <w:r>
        <w:t>Обзор Торгового представительства Российской Федерации в Королевстве Испания состояния экономики и основных направлений внешнеэкономической деятельности Испании за 2017 год</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C16"/>
    <w:multiLevelType w:val="hybridMultilevel"/>
    <w:tmpl w:val="312E32C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0DC147B"/>
    <w:multiLevelType w:val="hybridMultilevel"/>
    <w:tmpl w:val="EBF6C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B94439"/>
    <w:multiLevelType w:val="hybridMultilevel"/>
    <w:tmpl w:val="E384E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336F61"/>
    <w:multiLevelType w:val="hybridMultilevel"/>
    <w:tmpl w:val="3EEC6D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D027B3"/>
    <w:multiLevelType w:val="hybridMultilevel"/>
    <w:tmpl w:val="8F1004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31301D"/>
    <w:multiLevelType w:val="multilevel"/>
    <w:tmpl w:val="F9E4592C"/>
    <w:lvl w:ilvl="0">
      <w:start w:val="2"/>
      <w:numFmt w:val="decimal"/>
      <w:lvlText w:val="%1."/>
      <w:lvlJc w:val="left"/>
      <w:pPr>
        <w:ind w:left="450" w:hanging="450"/>
      </w:pPr>
      <w:rPr>
        <w:rFonts w:asciiTheme="minorHAnsi" w:hAnsiTheme="minorHAnsi" w:cstheme="minorBidi" w:hint="default"/>
        <w:b w:val="0"/>
        <w:color w:val="FF0000"/>
      </w:rPr>
    </w:lvl>
    <w:lvl w:ilvl="1">
      <w:start w:val="3"/>
      <w:numFmt w:val="decimal"/>
      <w:lvlText w:val="%1.%2."/>
      <w:lvlJc w:val="left"/>
      <w:pPr>
        <w:ind w:left="720" w:hanging="720"/>
      </w:pPr>
      <w:rPr>
        <w:rFonts w:ascii="Times New Roman" w:hAnsi="Times New Roman" w:cs="Times New Roman" w:hint="default"/>
        <w:b/>
        <w:color w:val="000000" w:themeColor="text1"/>
        <w:sz w:val="28"/>
        <w:szCs w:val="28"/>
      </w:rPr>
    </w:lvl>
    <w:lvl w:ilvl="2">
      <w:start w:val="1"/>
      <w:numFmt w:val="decimal"/>
      <w:lvlText w:val="%1.%2.%3."/>
      <w:lvlJc w:val="left"/>
      <w:pPr>
        <w:ind w:left="720" w:hanging="720"/>
      </w:pPr>
      <w:rPr>
        <w:rFonts w:asciiTheme="minorHAnsi" w:hAnsiTheme="minorHAnsi" w:cstheme="minorBidi" w:hint="default"/>
        <w:b w:val="0"/>
        <w:color w:val="FF0000"/>
      </w:rPr>
    </w:lvl>
    <w:lvl w:ilvl="3">
      <w:start w:val="1"/>
      <w:numFmt w:val="decimal"/>
      <w:lvlText w:val="%1.%2.%3.%4."/>
      <w:lvlJc w:val="left"/>
      <w:pPr>
        <w:ind w:left="1080" w:hanging="1080"/>
      </w:pPr>
      <w:rPr>
        <w:rFonts w:asciiTheme="minorHAnsi" w:hAnsiTheme="minorHAnsi" w:cstheme="minorBidi" w:hint="default"/>
        <w:b w:val="0"/>
        <w:color w:val="FF0000"/>
      </w:rPr>
    </w:lvl>
    <w:lvl w:ilvl="4">
      <w:start w:val="1"/>
      <w:numFmt w:val="decimal"/>
      <w:lvlText w:val="%1.%2.%3.%4.%5."/>
      <w:lvlJc w:val="left"/>
      <w:pPr>
        <w:ind w:left="1080" w:hanging="1080"/>
      </w:pPr>
      <w:rPr>
        <w:rFonts w:asciiTheme="minorHAnsi" w:hAnsiTheme="minorHAnsi" w:cstheme="minorBidi" w:hint="default"/>
        <w:b w:val="0"/>
        <w:color w:val="FF0000"/>
      </w:rPr>
    </w:lvl>
    <w:lvl w:ilvl="5">
      <w:start w:val="1"/>
      <w:numFmt w:val="decimal"/>
      <w:lvlText w:val="%1.%2.%3.%4.%5.%6."/>
      <w:lvlJc w:val="left"/>
      <w:pPr>
        <w:ind w:left="1440" w:hanging="1440"/>
      </w:pPr>
      <w:rPr>
        <w:rFonts w:asciiTheme="minorHAnsi" w:hAnsiTheme="minorHAnsi" w:cstheme="minorBidi" w:hint="default"/>
        <w:b w:val="0"/>
        <w:color w:val="FF0000"/>
      </w:rPr>
    </w:lvl>
    <w:lvl w:ilvl="6">
      <w:start w:val="1"/>
      <w:numFmt w:val="decimal"/>
      <w:lvlText w:val="%1.%2.%3.%4.%5.%6.%7."/>
      <w:lvlJc w:val="left"/>
      <w:pPr>
        <w:ind w:left="1800" w:hanging="1800"/>
      </w:pPr>
      <w:rPr>
        <w:rFonts w:asciiTheme="minorHAnsi" w:hAnsiTheme="minorHAnsi" w:cstheme="minorBidi" w:hint="default"/>
        <w:b w:val="0"/>
        <w:color w:val="FF0000"/>
      </w:rPr>
    </w:lvl>
    <w:lvl w:ilvl="7">
      <w:start w:val="1"/>
      <w:numFmt w:val="decimal"/>
      <w:lvlText w:val="%1.%2.%3.%4.%5.%6.%7.%8."/>
      <w:lvlJc w:val="left"/>
      <w:pPr>
        <w:ind w:left="1800" w:hanging="1800"/>
      </w:pPr>
      <w:rPr>
        <w:rFonts w:asciiTheme="minorHAnsi" w:hAnsiTheme="minorHAnsi" w:cstheme="minorBidi" w:hint="default"/>
        <w:b w:val="0"/>
        <w:color w:val="FF0000"/>
      </w:rPr>
    </w:lvl>
    <w:lvl w:ilvl="8">
      <w:start w:val="1"/>
      <w:numFmt w:val="decimal"/>
      <w:lvlText w:val="%1.%2.%3.%4.%5.%6.%7.%8.%9."/>
      <w:lvlJc w:val="left"/>
      <w:pPr>
        <w:ind w:left="2160" w:hanging="2160"/>
      </w:pPr>
      <w:rPr>
        <w:rFonts w:asciiTheme="minorHAnsi" w:hAnsiTheme="minorHAnsi" w:cstheme="minorBidi" w:hint="default"/>
        <w:b w:val="0"/>
        <w:color w:val="FF0000"/>
      </w:rPr>
    </w:lvl>
  </w:abstractNum>
  <w:abstractNum w:abstractNumId="6" w15:restartNumberingAfterBreak="0">
    <w:nsid w:val="0A3B2F71"/>
    <w:multiLevelType w:val="hybridMultilevel"/>
    <w:tmpl w:val="D5B6554A"/>
    <w:lvl w:ilvl="0" w:tplc="25FEDCDE">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C84D4A"/>
    <w:multiLevelType w:val="hybridMultilevel"/>
    <w:tmpl w:val="5BFC4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397EEE"/>
    <w:multiLevelType w:val="hybridMultilevel"/>
    <w:tmpl w:val="86F4B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796BA7"/>
    <w:multiLevelType w:val="hybridMultilevel"/>
    <w:tmpl w:val="47366FB6"/>
    <w:lvl w:ilvl="0" w:tplc="F6AA8F9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9D62E4"/>
    <w:multiLevelType w:val="hybridMultilevel"/>
    <w:tmpl w:val="32AC43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92813"/>
    <w:multiLevelType w:val="hybridMultilevel"/>
    <w:tmpl w:val="67780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E07EFA"/>
    <w:multiLevelType w:val="hybridMultilevel"/>
    <w:tmpl w:val="22126FC0"/>
    <w:lvl w:ilvl="0" w:tplc="780855CA">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245E6D6F"/>
    <w:multiLevelType w:val="hybridMultilevel"/>
    <w:tmpl w:val="F154A1F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387447"/>
    <w:multiLevelType w:val="hybridMultilevel"/>
    <w:tmpl w:val="3D7C36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E01229"/>
    <w:multiLevelType w:val="hybridMultilevel"/>
    <w:tmpl w:val="EC7E64F2"/>
    <w:lvl w:ilvl="0" w:tplc="0419000F">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D2224D"/>
    <w:multiLevelType w:val="hybridMultilevel"/>
    <w:tmpl w:val="2306FA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281299"/>
    <w:multiLevelType w:val="hybridMultilevel"/>
    <w:tmpl w:val="707267F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F312834"/>
    <w:multiLevelType w:val="hybridMultilevel"/>
    <w:tmpl w:val="F59C1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2A33D5"/>
    <w:multiLevelType w:val="multilevel"/>
    <w:tmpl w:val="820C69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365F23B8"/>
    <w:multiLevelType w:val="multilevel"/>
    <w:tmpl w:val="108643E6"/>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BAE4D11"/>
    <w:multiLevelType w:val="hybridMultilevel"/>
    <w:tmpl w:val="86E45680"/>
    <w:lvl w:ilvl="0" w:tplc="DA7C7450">
      <w:start w:val="1"/>
      <w:numFmt w:val="decimal"/>
      <w:lvlText w:val="%1."/>
      <w:lvlJc w:val="left"/>
      <w:pPr>
        <w:ind w:left="701" w:hanging="690"/>
      </w:pPr>
      <w:rPr>
        <w:rFonts w:hint="default"/>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abstractNum w:abstractNumId="22" w15:restartNumberingAfterBreak="0">
    <w:nsid w:val="3EB576BA"/>
    <w:multiLevelType w:val="hybridMultilevel"/>
    <w:tmpl w:val="970051BE"/>
    <w:lvl w:ilvl="0" w:tplc="2E001B46">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41DD73B2"/>
    <w:multiLevelType w:val="hybridMultilevel"/>
    <w:tmpl w:val="6C4E4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1E03D9"/>
    <w:multiLevelType w:val="multilevel"/>
    <w:tmpl w:val="89B09C9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4CA17E75"/>
    <w:multiLevelType w:val="hybridMultilevel"/>
    <w:tmpl w:val="3C2A9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6338DF"/>
    <w:multiLevelType w:val="hybridMultilevel"/>
    <w:tmpl w:val="10F865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0B3197"/>
    <w:multiLevelType w:val="hybridMultilevel"/>
    <w:tmpl w:val="799CD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760885"/>
    <w:multiLevelType w:val="hybridMultilevel"/>
    <w:tmpl w:val="1B46C55C"/>
    <w:lvl w:ilvl="0" w:tplc="98C2CDB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0380CF7"/>
    <w:multiLevelType w:val="hybridMultilevel"/>
    <w:tmpl w:val="4422464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4FB3788"/>
    <w:multiLevelType w:val="hybridMultilevel"/>
    <w:tmpl w:val="296680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89327E1"/>
    <w:multiLevelType w:val="hybridMultilevel"/>
    <w:tmpl w:val="246EDC80"/>
    <w:lvl w:ilvl="0" w:tplc="3D9A96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E6771E"/>
    <w:multiLevelType w:val="hybridMultilevel"/>
    <w:tmpl w:val="9138A6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33B7E95"/>
    <w:multiLevelType w:val="multilevel"/>
    <w:tmpl w:val="C986C0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5B33347"/>
    <w:multiLevelType w:val="hybridMultilevel"/>
    <w:tmpl w:val="CC8A56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88269B1"/>
    <w:multiLevelType w:val="hybridMultilevel"/>
    <w:tmpl w:val="DC5079F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AC06E81"/>
    <w:multiLevelType w:val="hybridMultilevel"/>
    <w:tmpl w:val="33DE21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AD632D6"/>
    <w:multiLevelType w:val="hybridMultilevel"/>
    <w:tmpl w:val="D45E97A0"/>
    <w:lvl w:ilvl="0" w:tplc="3D9A96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6"/>
  </w:num>
  <w:num w:numId="4">
    <w:abstractNumId w:val="36"/>
  </w:num>
  <w:num w:numId="5">
    <w:abstractNumId w:val="30"/>
  </w:num>
  <w:num w:numId="6">
    <w:abstractNumId w:val="7"/>
  </w:num>
  <w:num w:numId="7">
    <w:abstractNumId w:val="18"/>
  </w:num>
  <w:num w:numId="8">
    <w:abstractNumId w:val="25"/>
  </w:num>
  <w:num w:numId="9">
    <w:abstractNumId w:val="1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3"/>
  </w:num>
  <w:num w:numId="13">
    <w:abstractNumId w:val="8"/>
  </w:num>
  <w:num w:numId="14">
    <w:abstractNumId w:val="16"/>
  </w:num>
  <w:num w:numId="15">
    <w:abstractNumId w:val="35"/>
  </w:num>
  <w:num w:numId="16">
    <w:abstractNumId w:val="27"/>
  </w:num>
  <w:num w:numId="17">
    <w:abstractNumId w:val="2"/>
  </w:num>
  <w:num w:numId="18">
    <w:abstractNumId w:val="9"/>
  </w:num>
  <w:num w:numId="19">
    <w:abstractNumId w:val="34"/>
  </w:num>
  <w:num w:numId="20">
    <w:abstractNumId w:val="26"/>
  </w:num>
  <w:num w:numId="21">
    <w:abstractNumId w:val="29"/>
  </w:num>
  <w:num w:numId="22">
    <w:abstractNumId w:val="17"/>
  </w:num>
  <w:num w:numId="23">
    <w:abstractNumId w:val="13"/>
  </w:num>
  <w:num w:numId="24">
    <w:abstractNumId w:val="24"/>
  </w:num>
  <w:num w:numId="25">
    <w:abstractNumId w:val="19"/>
  </w:num>
  <w:num w:numId="26">
    <w:abstractNumId w:val="33"/>
  </w:num>
  <w:num w:numId="27">
    <w:abstractNumId w:val="37"/>
  </w:num>
  <w:num w:numId="28">
    <w:abstractNumId w:val="22"/>
  </w:num>
  <w:num w:numId="29">
    <w:abstractNumId w:val="31"/>
  </w:num>
  <w:num w:numId="30">
    <w:abstractNumId w:val="20"/>
  </w:num>
  <w:num w:numId="31">
    <w:abstractNumId w:val="5"/>
  </w:num>
  <w:num w:numId="32">
    <w:abstractNumId w:val="4"/>
  </w:num>
  <w:num w:numId="33">
    <w:abstractNumId w:val="0"/>
  </w:num>
  <w:num w:numId="34">
    <w:abstractNumId w:val="32"/>
  </w:num>
  <w:num w:numId="35">
    <w:abstractNumId w:val="3"/>
  </w:num>
  <w:num w:numId="36">
    <w:abstractNumId w:val="1"/>
  </w:num>
  <w:num w:numId="37">
    <w:abstractNumId w:val="11"/>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4EF"/>
    <w:rsid w:val="00001C70"/>
    <w:rsid w:val="00005A8E"/>
    <w:rsid w:val="00013593"/>
    <w:rsid w:val="00015EB6"/>
    <w:rsid w:val="000164C3"/>
    <w:rsid w:val="000207C1"/>
    <w:rsid w:val="00024EEA"/>
    <w:rsid w:val="00025BB9"/>
    <w:rsid w:val="00031264"/>
    <w:rsid w:val="00035E4B"/>
    <w:rsid w:val="00036017"/>
    <w:rsid w:val="00046232"/>
    <w:rsid w:val="00046BBC"/>
    <w:rsid w:val="00053D76"/>
    <w:rsid w:val="00054B0F"/>
    <w:rsid w:val="00056979"/>
    <w:rsid w:val="00076B91"/>
    <w:rsid w:val="0007740A"/>
    <w:rsid w:val="00081AAC"/>
    <w:rsid w:val="00090388"/>
    <w:rsid w:val="00093DC6"/>
    <w:rsid w:val="00093EB1"/>
    <w:rsid w:val="0009780F"/>
    <w:rsid w:val="000A0E99"/>
    <w:rsid w:val="000A31BD"/>
    <w:rsid w:val="000B265F"/>
    <w:rsid w:val="000D1CD8"/>
    <w:rsid w:val="000D4A9B"/>
    <w:rsid w:val="000E27F3"/>
    <w:rsid w:val="000E4183"/>
    <w:rsid w:val="000F07E3"/>
    <w:rsid w:val="000F201D"/>
    <w:rsid w:val="00101268"/>
    <w:rsid w:val="001021C9"/>
    <w:rsid w:val="00143E52"/>
    <w:rsid w:val="001440D8"/>
    <w:rsid w:val="00144A74"/>
    <w:rsid w:val="001450C5"/>
    <w:rsid w:val="001458C1"/>
    <w:rsid w:val="00152E4A"/>
    <w:rsid w:val="00183267"/>
    <w:rsid w:val="00190DA9"/>
    <w:rsid w:val="001933B6"/>
    <w:rsid w:val="0019433F"/>
    <w:rsid w:val="0019702D"/>
    <w:rsid w:val="001A3BB7"/>
    <w:rsid w:val="001A5D21"/>
    <w:rsid w:val="001A6747"/>
    <w:rsid w:val="001B19DF"/>
    <w:rsid w:val="001B4563"/>
    <w:rsid w:val="001B459A"/>
    <w:rsid w:val="001C3344"/>
    <w:rsid w:val="001C69AF"/>
    <w:rsid w:val="001C711A"/>
    <w:rsid w:val="001E1195"/>
    <w:rsid w:val="001E1DF9"/>
    <w:rsid w:val="001E38DB"/>
    <w:rsid w:val="001E75AF"/>
    <w:rsid w:val="001F0B5B"/>
    <w:rsid w:val="00203ED0"/>
    <w:rsid w:val="002106AE"/>
    <w:rsid w:val="00210BF0"/>
    <w:rsid w:val="00212DBB"/>
    <w:rsid w:val="00217CB3"/>
    <w:rsid w:val="00222081"/>
    <w:rsid w:val="002250D7"/>
    <w:rsid w:val="002345D7"/>
    <w:rsid w:val="00236D36"/>
    <w:rsid w:val="002437A6"/>
    <w:rsid w:val="00243B6D"/>
    <w:rsid w:val="00257C39"/>
    <w:rsid w:val="002634A7"/>
    <w:rsid w:val="00266FE2"/>
    <w:rsid w:val="00272B78"/>
    <w:rsid w:val="00281FFD"/>
    <w:rsid w:val="002834FD"/>
    <w:rsid w:val="00292DEF"/>
    <w:rsid w:val="002A0C4C"/>
    <w:rsid w:val="002A584C"/>
    <w:rsid w:val="002A5854"/>
    <w:rsid w:val="002B28D1"/>
    <w:rsid w:val="002B4A64"/>
    <w:rsid w:val="002C5BF7"/>
    <w:rsid w:val="002D5297"/>
    <w:rsid w:val="002E15A7"/>
    <w:rsid w:val="002E313B"/>
    <w:rsid w:val="002E6AE0"/>
    <w:rsid w:val="002F402F"/>
    <w:rsid w:val="002F5125"/>
    <w:rsid w:val="002F62C5"/>
    <w:rsid w:val="00301F3A"/>
    <w:rsid w:val="0031520F"/>
    <w:rsid w:val="00333F78"/>
    <w:rsid w:val="0035020A"/>
    <w:rsid w:val="003610E3"/>
    <w:rsid w:val="00361CDE"/>
    <w:rsid w:val="003631E7"/>
    <w:rsid w:val="00375701"/>
    <w:rsid w:val="0037606A"/>
    <w:rsid w:val="0037654C"/>
    <w:rsid w:val="00386D88"/>
    <w:rsid w:val="0038791C"/>
    <w:rsid w:val="00387C47"/>
    <w:rsid w:val="003B6B95"/>
    <w:rsid w:val="003B7A50"/>
    <w:rsid w:val="003C4C94"/>
    <w:rsid w:val="003D4C17"/>
    <w:rsid w:val="00404A90"/>
    <w:rsid w:val="0042299A"/>
    <w:rsid w:val="004236BA"/>
    <w:rsid w:val="004239D5"/>
    <w:rsid w:val="004250F8"/>
    <w:rsid w:val="0043396F"/>
    <w:rsid w:val="00445F07"/>
    <w:rsid w:val="0044685B"/>
    <w:rsid w:val="00461892"/>
    <w:rsid w:val="004631C7"/>
    <w:rsid w:val="004650E3"/>
    <w:rsid w:val="004679FF"/>
    <w:rsid w:val="00472F1A"/>
    <w:rsid w:val="00481BA3"/>
    <w:rsid w:val="004847DC"/>
    <w:rsid w:val="004878FE"/>
    <w:rsid w:val="004A1299"/>
    <w:rsid w:val="004A3A75"/>
    <w:rsid w:val="004B0A09"/>
    <w:rsid w:val="004C240D"/>
    <w:rsid w:val="004D7F36"/>
    <w:rsid w:val="004E2BB0"/>
    <w:rsid w:val="004E4214"/>
    <w:rsid w:val="004F1628"/>
    <w:rsid w:val="004F1C1F"/>
    <w:rsid w:val="00507E55"/>
    <w:rsid w:val="00515B07"/>
    <w:rsid w:val="00520836"/>
    <w:rsid w:val="00521B3F"/>
    <w:rsid w:val="00523200"/>
    <w:rsid w:val="00525E08"/>
    <w:rsid w:val="00527F7A"/>
    <w:rsid w:val="00537FDB"/>
    <w:rsid w:val="00554DD3"/>
    <w:rsid w:val="00564EAD"/>
    <w:rsid w:val="00586521"/>
    <w:rsid w:val="00590FAA"/>
    <w:rsid w:val="00593E1B"/>
    <w:rsid w:val="005A101F"/>
    <w:rsid w:val="005A7393"/>
    <w:rsid w:val="005B7DA4"/>
    <w:rsid w:val="005C4365"/>
    <w:rsid w:val="005C4795"/>
    <w:rsid w:val="005C55CF"/>
    <w:rsid w:val="005D2AB7"/>
    <w:rsid w:val="005E1132"/>
    <w:rsid w:val="005E6825"/>
    <w:rsid w:val="00600E31"/>
    <w:rsid w:val="00605DFB"/>
    <w:rsid w:val="00615B8C"/>
    <w:rsid w:val="0062016E"/>
    <w:rsid w:val="00620E0F"/>
    <w:rsid w:val="006212CE"/>
    <w:rsid w:val="00637FC1"/>
    <w:rsid w:val="00642E7A"/>
    <w:rsid w:val="00643E9C"/>
    <w:rsid w:val="00650982"/>
    <w:rsid w:val="006513B8"/>
    <w:rsid w:val="00651915"/>
    <w:rsid w:val="00652753"/>
    <w:rsid w:val="006561B3"/>
    <w:rsid w:val="0066029A"/>
    <w:rsid w:val="00663864"/>
    <w:rsid w:val="00672818"/>
    <w:rsid w:val="0069207A"/>
    <w:rsid w:val="00694A37"/>
    <w:rsid w:val="006A236A"/>
    <w:rsid w:val="006B24AE"/>
    <w:rsid w:val="006B26FD"/>
    <w:rsid w:val="006C519B"/>
    <w:rsid w:val="006D0CAF"/>
    <w:rsid w:val="006D26B3"/>
    <w:rsid w:val="006E2E8F"/>
    <w:rsid w:val="006F00E3"/>
    <w:rsid w:val="006F610B"/>
    <w:rsid w:val="007043D9"/>
    <w:rsid w:val="007059B4"/>
    <w:rsid w:val="00705D34"/>
    <w:rsid w:val="007118DD"/>
    <w:rsid w:val="00717C73"/>
    <w:rsid w:val="00722136"/>
    <w:rsid w:val="007228D2"/>
    <w:rsid w:val="00734B42"/>
    <w:rsid w:val="00736547"/>
    <w:rsid w:val="00752F97"/>
    <w:rsid w:val="007745A7"/>
    <w:rsid w:val="007747C0"/>
    <w:rsid w:val="00782579"/>
    <w:rsid w:val="007A743F"/>
    <w:rsid w:val="007B412F"/>
    <w:rsid w:val="007C67F0"/>
    <w:rsid w:val="007D04A0"/>
    <w:rsid w:val="007D31E1"/>
    <w:rsid w:val="007D5272"/>
    <w:rsid w:val="007D5D57"/>
    <w:rsid w:val="007D5E75"/>
    <w:rsid w:val="007D7632"/>
    <w:rsid w:val="007E0CA0"/>
    <w:rsid w:val="007E636D"/>
    <w:rsid w:val="007E7503"/>
    <w:rsid w:val="007F5ADF"/>
    <w:rsid w:val="0080325E"/>
    <w:rsid w:val="008164E2"/>
    <w:rsid w:val="00821367"/>
    <w:rsid w:val="00822601"/>
    <w:rsid w:val="00827B16"/>
    <w:rsid w:val="00845C8D"/>
    <w:rsid w:val="00846B31"/>
    <w:rsid w:val="00847F14"/>
    <w:rsid w:val="00852C3E"/>
    <w:rsid w:val="0085703B"/>
    <w:rsid w:val="0086603D"/>
    <w:rsid w:val="00867E56"/>
    <w:rsid w:val="00875291"/>
    <w:rsid w:val="00876292"/>
    <w:rsid w:val="00883C5E"/>
    <w:rsid w:val="008849AA"/>
    <w:rsid w:val="00884E5B"/>
    <w:rsid w:val="008864BE"/>
    <w:rsid w:val="00893921"/>
    <w:rsid w:val="008A28C6"/>
    <w:rsid w:val="008B4C4C"/>
    <w:rsid w:val="008C5A0B"/>
    <w:rsid w:val="008C6DC2"/>
    <w:rsid w:val="008D5B6E"/>
    <w:rsid w:val="008E2EA0"/>
    <w:rsid w:val="008E6D7F"/>
    <w:rsid w:val="008F2D82"/>
    <w:rsid w:val="008F6A33"/>
    <w:rsid w:val="008F6E50"/>
    <w:rsid w:val="008F7C19"/>
    <w:rsid w:val="009022C6"/>
    <w:rsid w:val="00920AE0"/>
    <w:rsid w:val="0092117D"/>
    <w:rsid w:val="0093087A"/>
    <w:rsid w:val="00930FE1"/>
    <w:rsid w:val="00940A07"/>
    <w:rsid w:val="009414B3"/>
    <w:rsid w:val="00942272"/>
    <w:rsid w:val="00943498"/>
    <w:rsid w:val="00943B09"/>
    <w:rsid w:val="00952FC5"/>
    <w:rsid w:val="00961B9E"/>
    <w:rsid w:val="00974584"/>
    <w:rsid w:val="00985B19"/>
    <w:rsid w:val="00987D30"/>
    <w:rsid w:val="009A6F1B"/>
    <w:rsid w:val="009B650D"/>
    <w:rsid w:val="009C3E55"/>
    <w:rsid w:val="009D2AED"/>
    <w:rsid w:val="009E7383"/>
    <w:rsid w:val="009F3706"/>
    <w:rsid w:val="00A06F1A"/>
    <w:rsid w:val="00A10D1E"/>
    <w:rsid w:val="00A12A6B"/>
    <w:rsid w:val="00A169F4"/>
    <w:rsid w:val="00A2287E"/>
    <w:rsid w:val="00A22B07"/>
    <w:rsid w:val="00A24E83"/>
    <w:rsid w:val="00A35E02"/>
    <w:rsid w:val="00A400CE"/>
    <w:rsid w:val="00A60862"/>
    <w:rsid w:val="00A630BD"/>
    <w:rsid w:val="00A70652"/>
    <w:rsid w:val="00A71BDB"/>
    <w:rsid w:val="00A826FC"/>
    <w:rsid w:val="00A87EA7"/>
    <w:rsid w:val="00AA3382"/>
    <w:rsid w:val="00AA3854"/>
    <w:rsid w:val="00AA5637"/>
    <w:rsid w:val="00AB150E"/>
    <w:rsid w:val="00AD1A1E"/>
    <w:rsid w:val="00AD22E7"/>
    <w:rsid w:val="00AD7A0D"/>
    <w:rsid w:val="00AD7A64"/>
    <w:rsid w:val="00AE5A0F"/>
    <w:rsid w:val="00AF3D00"/>
    <w:rsid w:val="00B01C4D"/>
    <w:rsid w:val="00B1025B"/>
    <w:rsid w:val="00B127B0"/>
    <w:rsid w:val="00B1467E"/>
    <w:rsid w:val="00B15A77"/>
    <w:rsid w:val="00B1687C"/>
    <w:rsid w:val="00B33607"/>
    <w:rsid w:val="00B4086F"/>
    <w:rsid w:val="00B42798"/>
    <w:rsid w:val="00B47207"/>
    <w:rsid w:val="00B477B3"/>
    <w:rsid w:val="00B5036F"/>
    <w:rsid w:val="00B51DD2"/>
    <w:rsid w:val="00B64779"/>
    <w:rsid w:val="00B653E8"/>
    <w:rsid w:val="00B83D21"/>
    <w:rsid w:val="00B85576"/>
    <w:rsid w:val="00BB03D6"/>
    <w:rsid w:val="00BB1907"/>
    <w:rsid w:val="00BB2C42"/>
    <w:rsid w:val="00BC1BB9"/>
    <w:rsid w:val="00BC5E58"/>
    <w:rsid w:val="00BD1278"/>
    <w:rsid w:val="00BD1B37"/>
    <w:rsid w:val="00BF0009"/>
    <w:rsid w:val="00BF3FF3"/>
    <w:rsid w:val="00BF7FB5"/>
    <w:rsid w:val="00C12C54"/>
    <w:rsid w:val="00C167C2"/>
    <w:rsid w:val="00C17DB4"/>
    <w:rsid w:val="00C17F24"/>
    <w:rsid w:val="00C20C4C"/>
    <w:rsid w:val="00C27637"/>
    <w:rsid w:val="00C27CD1"/>
    <w:rsid w:val="00C3761D"/>
    <w:rsid w:val="00C40ECF"/>
    <w:rsid w:val="00C51719"/>
    <w:rsid w:val="00C71397"/>
    <w:rsid w:val="00C74A0C"/>
    <w:rsid w:val="00C74ADA"/>
    <w:rsid w:val="00C8703D"/>
    <w:rsid w:val="00C94733"/>
    <w:rsid w:val="00CA0A21"/>
    <w:rsid w:val="00CA2A65"/>
    <w:rsid w:val="00CB1897"/>
    <w:rsid w:val="00CC009B"/>
    <w:rsid w:val="00CC494A"/>
    <w:rsid w:val="00CE13E0"/>
    <w:rsid w:val="00CE496E"/>
    <w:rsid w:val="00CE65F6"/>
    <w:rsid w:val="00CF0B8D"/>
    <w:rsid w:val="00CF39D1"/>
    <w:rsid w:val="00D0049C"/>
    <w:rsid w:val="00D03C8F"/>
    <w:rsid w:val="00D05880"/>
    <w:rsid w:val="00D25283"/>
    <w:rsid w:val="00D34E06"/>
    <w:rsid w:val="00D36A66"/>
    <w:rsid w:val="00D41C2B"/>
    <w:rsid w:val="00D4512F"/>
    <w:rsid w:val="00D4608E"/>
    <w:rsid w:val="00D475C2"/>
    <w:rsid w:val="00D51848"/>
    <w:rsid w:val="00D55979"/>
    <w:rsid w:val="00D614E0"/>
    <w:rsid w:val="00D63321"/>
    <w:rsid w:val="00D63B5C"/>
    <w:rsid w:val="00D6715E"/>
    <w:rsid w:val="00D72F80"/>
    <w:rsid w:val="00D76AB9"/>
    <w:rsid w:val="00D81426"/>
    <w:rsid w:val="00D9323E"/>
    <w:rsid w:val="00D97BAE"/>
    <w:rsid w:val="00D97C7C"/>
    <w:rsid w:val="00DA0343"/>
    <w:rsid w:val="00DA6BAD"/>
    <w:rsid w:val="00DB34EF"/>
    <w:rsid w:val="00DB3C34"/>
    <w:rsid w:val="00DC0008"/>
    <w:rsid w:val="00DC7F93"/>
    <w:rsid w:val="00DD679B"/>
    <w:rsid w:val="00DE3497"/>
    <w:rsid w:val="00DE5ADA"/>
    <w:rsid w:val="00DF04F7"/>
    <w:rsid w:val="00DF3726"/>
    <w:rsid w:val="00DF408E"/>
    <w:rsid w:val="00DF7224"/>
    <w:rsid w:val="00E058D1"/>
    <w:rsid w:val="00E11D46"/>
    <w:rsid w:val="00E12056"/>
    <w:rsid w:val="00E12821"/>
    <w:rsid w:val="00E23E35"/>
    <w:rsid w:val="00E30D35"/>
    <w:rsid w:val="00E31A1D"/>
    <w:rsid w:val="00E31DE7"/>
    <w:rsid w:val="00E34EB8"/>
    <w:rsid w:val="00E640F1"/>
    <w:rsid w:val="00E7317A"/>
    <w:rsid w:val="00E74D12"/>
    <w:rsid w:val="00E9126A"/>
    <w:rsid w:val="00E9164D"/>
    <w:rsid w:val="00E94529"/>
    <w:rsid w:val="00EA2479"/>
    <w:rsid w:val="00EB560A"/>
    <w:rsid w:val="00EC379D"/>
    <w:rsid w:val="00EC69F5"/>
    <w:rsid w:val="00ED3899"/>
    <w:rsid w:val="00ED4A15"/>
    <w:rsid w:val="00ED5C36"/>
    <w:rsid w:val="00EE6DAB"/>
    <w:rsid w:val="00EE76F2"/>
    <w:rsid w:val="00F03D13"/>
    <w:rsid w:val="00F10DF8"/>
    <w:rsid w:val="00F11CF4"/>
    <w:rsid w:val="00F15851"/>
    <w:rsid w:val="00F16924"/>
    <w:rsid w:val="00F515AF"/>
    <w:rsid w:val="00F53818"/>
    <w:rsid w:val="00F558AB"/>
    <w:rsid w:val="00F60838"/>
    <w:rsid w:val="00F8793A"/>
    <w:rsid w:val="00FA0D3E"/>
    <w:rsid w:val="00FB2F3F"/>
    <w:rsid w:val="00FB6265"/>
    <w:rsid w:val="00FC2243"/>
    <w:rsid w:val="00FC269C"/>
    <w:rsid w:val="00FC346F"/>
    <w:rsid w:val="00FC4210"/>
    <w:rsid w:val="00FD0B2A"/>
    <w:rsid w:val="00FD5285"/>
    <w:rsid w:val="00FE1FA2"/>
    <w:rsid w:val="00FF0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CCD6B3-F139-4B0F-87E0-B7FB04DD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91C"/>
  </w:style>
  <w:style w:type="paragraph" w:styleId="1">
    <w:name w:val="heading 1"/>
    <w:basedOn w:val="a"/>
    <w:next w:val="a"/>
    <w:link w:val="10"/>
    <w:uiPriority w:val="9"/>
    <w:qFormat/>
    <w:rsid w:val="00F87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25E08"/>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793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8793A"/>
    <w:pPr>
      <w:outlineLvl w:val="9"/>
    </w:pPr>
    <w:rPr>
      <w:lang w:eastAsia="ru-RU"/>
    </w:rPr>
  </w:style>
  <w:style w:type="paragraph" w:styleId="11">
    <w:name w:val="toc 1"/>
    <w:basedOn w:val="a"/>
    <w:next w:val="a"/>
    <w:autoRedefine/>
    <w:uiPriority w:val="39"/>
    <w:unhideWhenUsed/>
    <w:rsid w:val="007D04A0"/>
    <w:pPr>
      <w:tabs>
        <w:tab w:val="right" w:leader="dot" w:pos="9345"/>
      </w:tabs>
      <w:spacing w:after="100"/>
    </w:pPr>
  </w:style>
  <w:style w:type="character" w:styleId="a4">
    <w:name w:val="Hyperlink"/>
    <w:basedOn w:val="a0"/>
    <w:uiPriority w:val="99"/>
    <w:unhideWhenUsed/>
    <w:rsid w:val="00F8793A"/>
    <w:rPr>
      <w:color w:val="0000FF" w:themeColor="hyperlink"/>
      <w:u w:val="single"/>
    </w:rPr>
  </w:style>
  <w:style w:type="paragraph" w:styleId="a5">
    <w:name w:val="Balloon Text"/>
    <w:basedOn w:val="a"/>
    <w:link w:val="a6"/>
    <w:uiPriority w:val="99"/>
    <w:semiHidden/>
    <w:unhideWhenUsed/>
    <w:rsid w:val="00F8793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8793A"/>
    <w:rPr>
      <w:rFonts w:ascii="Tahoma" w:hAnsi="Tahoma" w:cs="Tahoma"/>
      <w:sz w:val="16"/>
      <w:szCs w:val="16"/>
    </w:rPr>
  </w:style>
  <w:style w:type="paragraph" w:styleId="a7">
    <w:name w:val="footnote text"/>
    <w:basedOn w:val="a"/>
    <w:link w:val="a8"/>
    <w:semiHidden/>
    <w:unhideWhenUsed/>
    <w:rsid w:val="001E1195"/>
    <w:pPr>
      <w:spacing w:after="0" w:line="240" w:lineRule="auto"/>
    </w:pPr>
    <w:rPr>
      <w:rFonts w:ascii="Times New Roman" w:eastAsia="Times New Roman" w:hAnsi="Times New Roman" w:cs="Times New Roman"/>
      <w:sz w:val="20"/>
      <w:szCs w:val="20"/>
      <w:lang w:eastAsia="ru-RU"/>
    </w:rPr>
  </w:style>
  <w:style w:type="character" w:customStyle="1" w:styleId="a8">
    <w:name w:val="Текст сноски Знак"/>
    <w:basedOn w:val="a0"/>
    <w:link w:val="a7"/>
    <w:semiHidden/>
    <w:rsid w:val="001E1195"/>
    <w:rPr>
      <w:rFonts w:ascii="Times New Roman" w:eastAsia="Times New Roman" w:hAnsi="Times New Roman" w:cs="Times New Roman"/>
      <w:sz w:val="20"/>
      <w:szCs w:val="20"/>
      <w:lang w:eastAsia="ru-RU"/>
    </w:rPr>
  </w:style>
  <w:style w:type="character" w:styleId="a9">
    <w:name w:val="footnote reference"/>
    <w:basedOn w:val="a0"/>
    <w:semiHidden/>
    <w:unhideWhenUsed/>
    <w:rsid w:val="001E1195"/>
    <w:rPr>
      <w:vertAlign w:val="superscript"/>
    </w:rPr>
  </w:style>
  <w:style w:type="paragraph" w:styleId="aa">
    <w:name w:val="List Paragraph"/>
    <w:basedOn w:val="a"/>
    <w:uiPriority w:val="34"/>
    <w:qFormat/>
    <w:rsid w:val="00CA2A65"/>
    <w:pPr>
      <w:spacing w:after="160" w:line="256" w:lineRule="auto"/>
      <w:ind w:left="720"/>
      <w:contextualSpacing/>
    </w:pPr>
  </w:style>
  <w:style w:type="table" w:styleId="ab">
    <w:name w:val="Table Grid"/>
    <w:basedOn w:val="a1"/>
    <w:uiPriority w:val="39"/>
    <w:rsid w:val="00CA2A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b"/>
    <w:uiPriority w:val="59"/>
    <w:rsid w:val="005E68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1">
    <w:name w:val="Сетка таблицы2"/>
    <w:basedOn w:val="a1"/>
    <w:next w:val="ab"/>
    <w:uiPriority w:val="59"/>
    <w:rsid w:val="005E68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
    <w:name w:val="Сетка таблицы3"/>
    <w:basedOn w:val="a1"/>
    <w:next w:val="ab"/>
    <w:uiPriority w:val="59"/>
    <w:rsid w:val="002F40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4">
    <w:name w:val="Сетка таблицы4"/>
    <w:basedOn w:val="a1"/>
    <w:next w:val="ab"/>
    <w:uiPriority w:val="59"/>
    <w:rsid w:val="002F40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5">
    <w:name w:val="Сетка таблицы5"/>
    <w:basedOn w:val="a1"/>
    <w:next w:val="ab"/>
    <w:uiPriority w:val="59"/>
    <w:rsid w:val="002F40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6">
    <w:name w:val="Сетка таблицы6"/>
    <w:basedOn w:val="a1"/>
    <w:next w:val="ab"/>
    <w:uiPriority w:val="59"/>
    <w:rsid w:val="002F40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7">
    <w:name w:val="Сетка таблицы7"/>
    <w:basedOn w:val="a1"/>
    <w:next w:val="ab"/>
    <w:uiPriority w:val="59"/>
    <w:rsid w:val="002F40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D614E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614E0"/>
  </w:style>
  <w:style w:type="paragraph" w:styleId="ae">
    <w:name w:val="footer"/>
    <w:basedOn w:val="a"/>
    <w:link w:val="af"/>
    <w:uiPriority w:val="99"/>
    <w:unhideWhenUsed/>
    <w:rsid w:val="00D614E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614E0"/>
  </w:style>
  <w:style w:type="paragraph" w:styleId="af0">
    <w:name w:val="endnote text"/>
    <w:basedOn w:val="a"/>
    <w:link w:val="af1"/>
    <w:uiPriority w:val="99"/>
    <w:semiHidden/>
    <w:unhideWhenUsed/>
    <w:rsid w:val="00942272"/>
    <w:pPr>
      <w:spacing w:after="0" w:line="240" w:lineRule="auto"/>
    </w:pPr>
    <w:rPr>
      <w:sz w:val="20"/>
      <w:szCs w:val="20"/>
    </w:rPr>
  </w:style>
  <w:style w:type="character" w:customStyle="1" w:styleId="af1">
    <w:name w:val="Текст концевой сноски Знак"/>
    <w:basedOn w:val="a0"/>
    <w:link w:val="af0"/>
    <w:uiPriority w:val="99"/>
    <w:semiHidden/>
    <w:rsid w:val="00942272"/>
    <w:rPr>
      <w:sz w:val="20"/>
      <w:szCs w:val="20"/>
    </w:rPr>
  </w:style>
  <w:style w:type="character" w:styleId="af2">
    <w:name w:val="endnote reference"/>
    <w:basedOn w:val="a0"/>
    <w:uiPriority w:val="99"/>
    <w:semiHidden/>
    <w:unhideWhenUsed/>
    <w:rsid w:val="00942272"/>
    <w:rPr>
      <w:vertAlign w:val="superscript"/>
    </w:rPr>
  </w:style>
  <w:style w:type="table" w:customStyle="1" w:styleId="8">
    <w:name w:val="Сетка таблицы8"/>
    <w:basedOn w:val="a1"/>
    <w:next w:val="ab"/>
    <w:uiPriority w:val="39"/>
    <w:rsid w:val="00605D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b"/>
    <w:uiPriority w:val="59"/>
    <w:rsid w:val="004A3A7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Сетка таблицы9"/>
    <w:basedOn w:val="a1"/>
    <w:next w:val="ab"/>
    <w:uiPriority w:val="59"/>
    <w:rsid w:val="004A3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b"/>
    <w:uiPriority w:val="59"/>
    <w:rsid w:val="004A3A7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3"/>
    <w:basedOn w:val="a1"/>
    <w:next w:val="ab"/>
    <w:uiPriority w:val="59"/>
    <w:rsid w:val="004A3A7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Сетка таблицы14"/>
    <w:basedOn w:val="a1"/>
    <w:next w:val="ab"/>
    <w:uiPriority w:val="59"/>
    <w:rsid w:val="004A3A7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Сетка таблицы15"/>
    <w:basedOn w:val="a1"/>
    <w:next w:val="ab"/>
    <w:uiPriority w:val="59"/>
    <w:rsid w:val="004A3A7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Заголовок 2 Знак"/>
    <w:basedOn w:val="a0"/>
    <w:link w:val="2"/>
    <w:uiPriority w:val="9"/>
    <w:rsid w:val="00525E08"/>
    <w:rPr>
      <w:rFonts w:asciiTheme="majorHAnsi" w:eastAsiaTheme="majorEastAsia" w:hAnsiTheme="majorHAnsi" w:cstheme="majorBidi"/>
      <w:b/>
      <w:bCs/>
      <w:color w:val="4F81BD" w:themeColor="accent1"/>
      <w:sz w:val="26"/>
      <w:szCs w:val="26"/>
      <w:lang w:eastAsia="ru-RU"/>
    </w:rPr>
  </w:style>
  <w:style w:type="numbering" w:customStyle="1" w:styleId="16">
    <w:name w:val="Нет списка1"/>
    <w:next w:val="a2"/>
    <w:uiPriority w:val="99"/>
    <w:semiHidden/>
    <w:unhideWhenUsed/>
    <w:rsid w:val="00525E08"/>
  </w:style>
  <w:style w:type="paragraph" w:styleId="af3">
    <w:name w:val="Normal (Web)"/>
    <w:basedOn w:val="a"/>
    <w:uiPriority w:val="99"/>
    <w:unhideWhenUsed/>
    <w:rsid w:val="00525E08"/>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00">
    <w:name w:val="Сетка таблицы10"/>
    <w:basedOn w:val="a1"/>
    <w:next w:val="ab"/>
    <w:uiPriority w:val="59"/>
    <w:rsid w:val="00525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525E08"/>
    <w:pPr>
      <w:spacing w:after="100" w:line="240" w:lineRule="auto"/>
      <w:ind w:left="240"/>
    </w:pPr>
    <w:rPr>
      <w:rFonts w:eastAsiaTheme="minorEastAs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4230">
      <w:bodyDiv w:val="1"/>
      <w:marLeft w:val="0"/>
      <w:marRight w:val="0"/>
      <w:marTop w:val="0"/>
      <w:marBottom w:val="0"/>
      <w:divBdr>
        <w:top w:val="none" w:sz="0" w:space="0" w:color="auto"/>
        <w:left w:val="none" w:sz="0" w:space="0" w:color="auto"/>
        <w:bottom w:val="none" w:sz="0" w:space="0" w:color="auto"/>
        <w:right w:val="none" w:sz="0" w:space="0" w:color="auto"/>
      </w:divBdr>
    </w:div>
    <w:div w:id="368841521">
      <w:bodyDiv w:val="1"/>
      <w:marLeft w:val="0"/>
      <w:marRight w:val="0"/>
      <w:marTop w:val="0"/>
      <w:marBottom w:val="0"/>
      <w:divBdr>
        <w:top w:val="none" w:sz="0" w:space="0" w:color="auto"/>
        <w:left w:val="none" w:sz="0" w:space="0" w:color="auto"/>
        <w:bottom w:val="none" w:sz="0" w:space="0" w:color="auto"/>
        <w:right w:val="none" w:sz="0" w:space="0" w:color="auto"/>
      </w:divBdr>
    </w:div>
    <w:div w:id="842206472">
      <w:bodyDiv w:val="1"/>
      <w:marLeft w:val="0"/>
      <w:marRight w:val="0"/>
      <w:marTop w:val="0"/>
      <w:marBottom w:val="0"/>
      <w:divBdr>
        <w:top w:val="none" w:sz="0" w:space="0" w:color="auto"/>
        <w:left w:val="none" w:sz="0" w:space="0" w:color="auto"/>
        <w:bottom w:val="none" w:sz="0" w:space="0" w:color="auto"/>
        <w:right w:val="none" w:sz="0" w:space="0" w:color="auto"/>
      </w:divBdr>
    </w:div>
    <w:div w:id="928848066">
      <w:bodyDiv w:val="1"/>
      <w:marLeft w:val="0"/>
      <w:marRight w:val="0"/>
      <w:marTop w:val="0"/>
      <w:marBottom w:val="0"/>
      <w:divBdr>
        <w:top w:val="none" w:sz="0" w:space="0" w:color="auto"/>
        <w:left w:val="none" w:sz="0" w:space="0" w:color="auto"/>
        <w:bottom w:val="none" w:sz="0" w:space="0" w:color="auto"/>
        <w:right w:val="none" w:sz="0" w:space="0" w:color="auto"/>
      </w:divBdr>
    </w:div>
    <w:div w:id="939147649">
      <w:bodyDiv w:val="1"/>
      <w:marLeft w:val="0"/>
      <w:marRight w:val="0"/>
      <w:marTop w:val="0"/>
      <w:marBottom w:val="0"/>
      <w:divBdr>
        <w:top w:val="none" w:sz="0" w:space="0" w:color="auto"/>
        <w:left w:val="none" w:sz="0" w:space="0" w:color="auto"/>
        <w:bottom w:val="none" w:sz="0" w:space="0" w:color="auto"/>
        <w:right w:val="none" w:sz="0" w:space="0" w:color="auto"/>
      </w:divBdr>
    </w:div>
    <w:div w:id="1180005013">
      <w:bodyDiv w:val="1"/>
      <w:marLeft w:val="0"/>
      <w:marRight w:val="0"/>
      <w:marTop w:val="0"/>
      <w:marBottom w:val="0"/>
      <w:divBdr>
        <w:top w:val="none" w:sz="0" w:space="0" w:color="auto"/>
        <w:left w:val="none" w:sz="0" w:space="0" w:color="auto"/>
        <w:bottom w:val="none" w:sz="0" w:space="0" w:color="auto"/>
        <w:right w:val="none" w:sz="0" w:space="0" w:color="auto"/>
      </w:divBdr>
    </w:div>
    <w:div w:id="1194423863">
      <w:bodyDiv w:val="1"/>
      <w:marLeft w:val="0"/>
      <w:marRight w:val="0"/>
      <w:marTop w:val="0"/>
      <w:marBottom w:val="0"/>
      <w:divBdr>
        <w:top w:val="none" w:sz="0" w:space="0" w:color="auto"/>
        <w:left w:val="none" w:sz="0" w:space="0" w:color="auto"/>
        <w:bottom w:val="none" w:sz="0" w:space="0" w:color="auto"/>
        <w:right w:val="none" w:sz="0" w:space="0" w:color="auto"/>
      </w:divBdr>
    </w:div>
    <w:div w:id="1326662449">
      <w:bodyDiv w:val="1"/>
      <w:marLeft w:val="0"/>
      <w:marRight w:val="0"/>
      <w:marTop w:val="0"/>
      <w:marBottom w:val="0"/>
      <w:divBdr>
        <w:top w:val="none" w:sz="0" w:space="0" w:color="auto"/>
        <w:left w:val="none" w:sz="0" w:space="0" w:color="auto"/>
        <w:bottom w:val="none" w:sz="0" w:space="0" w:color="auto"/>
        <w:right w:val="none" w:sz="0" w:space="0" w:color="auto"/>
      </w:divBdr>
    </w:div>
    <w:div w:id="1419790500">
      <w:bodyDiv w:val="1"/>
      <w:marLeft w:val="0"/>
      <w:marRight w:val="0"/>
      <w:marTop w:val="0"/>
      <w:marBottom w:val="0"/>
      <w:divBdr>
        <w:top w:val="none" w:sz="0" w:space="0" w:color="auto"/>
        <w:left w:val="none" w:sz="0" w:space="0" w:color="auto"/>
        <w:bottom w:val="none" w:sz="0" w:space="0" w:color="auto"/>
        <w:right w:val="none" w:sz="0" w:space="0" w:color="auto"/>
      </w:divBdr>
    </w:div>
    <w:div w:id="1532305928">
      <w:bodyDiv w:val="1"/>
      <w:marLeft w:val="0"/>
      <w:marRight w:val="0"/>
      <w:marTop w:val="0"/>
      <w:marBottom w:val="0"/>
      <w:divBdr>
        <w:top w:val="none" w:sz="0" w:space="0" w:color="auto"/>
        <w:left w:val="none" w:sz="0" w:space="0" w:color="auto"/>
        <w:bottom w:val="none" w:sz="0" w:space="0" w:color="auto"/>
        <w:right w:val="none" w:sz="0" w:space="0" w:color="auto"/>
      </w:divBdr>
      <w:divsChild>
        <w:div w:id="1743068332">
          <w:marLeft w:val="0"/>
          <w:marRight w:val="0"/>
          <w:marTop w:val="0"/>
          <w:marBottom w:val="0"/>
          <w:divBdr>
            <w:top w:val="none" w:sz="0" w:space="0" w:color="auto"/>
            <w:left w:val="none" w:sz="0" w:space="0" w:color="auto"/>
            <w:bottom w:val="none" w:sz="0" w:space="0" w:color="auto"/>
            <w:right w:val="none" w:sz="0" w:space="0" w:color="auto"/>
          </w:divBdr>
          <w:divsChild>
            <w:div w:id="1515067737">
              <w:marLeft w:val="0"/>
              <w:marRight w:val="0"/>
              <w:marTop w:val="0"/>
              <w:marBottom w:val="0"/>
              <w:divBdr>
                <w:top w:val="none" w:sz="0" w:space="0" w:color="auto"/>
                <w:left w:val="none" w:sz="0" w:space="0" w:color="auto"/>
                <w:bottom w:val="none" w:sz="0" w:space="0" w:color="auto"/>
                <w:right w:val="none" w:sz="0" w:space="0" w:color="auto"/>
              </w:divBdr>
            </w:div>
          </w:divsChild>
        </w:div>
        <w:div w:id="231938409">
          <w:marLeft w:val="0"/>
          <w:marRight w:val="0"/>
          <w:marTop w:val="0"/>
          <w:marBottom w:val="0"/>
          <w:divBdr>
            <w:top w:val="none" w:sz="0" w:space="0" w:color="auto"/>
            <w:left w:val="none" w:sz="0" w:space="0" w:color="auto"/>
            <w:bottom w:val="none" w:sz="0" w:space="0" w:color="auto"/>
            <w:right w:val="none" w:sz="0" w:space="0" w:color="auto"/>
          </w:divBdr>
        </w:div>
        <w:div w:id="1829788299">
          <w:marLeft w:val="0"/>
          <w:marRight w:val="0"/>
          <w:marTop w:val="0"/>
          <w:marBottom w:val="0"/>
          <w:divBdr>
            <w:top w:val="none" w:sz="0" w:space="0" w:color="auto"/>
            <w:left w:val="none" w:sz="0" w:space="0" w:color="auto"/>
            <w:bottom w:val="none" w:sz="0" w:space="0" w:color="auto"/>
            <w:right w:val="none" w:sz="0" w:space="0" w:color="auto"/>
          </w:divBdr>
        </w:div>
        <w:div w:id="663749402">
          <w:marLeft w:val="0"/>
          <w:marRight w:val="0"/>
          <w:marTop w:val="0"/>
          <w:marBottom w:val="0"/>
          <w:divBdr>
            <w:top w:val="none" w:sz="0" w:space="0" w:color="auto"/>
            <w:left w:val="none" w:sz="0" w:space="0" w:color="auto"/>
            <w:bottom w:val="none" w:sz="0" w:space="0" w:color="auto"/>
            <w:right w:val="none" w:sz="0" w:space="0" w:color="auto"/>
          </w:divBdr>
        </w:div>
        <w:div w:id="392394172">
          <w:marLeft w:val="0"/>
          <w:marRight w:val="0"/>
          <w:marTop w:val="0"/>
          <w:marBottom w:val="0"/>
          <w:divBdr>
            <w:top w:val="none" w:sz="0" w:space="0" w:color="auto"/>
            <w:left w:val="none" w:sz="0" w:space="0" w:color="auto"/>
            <w:bottom w:val="none" w:sz="0" w:space="0" w:color="auto"/>
            <w:right w:val="none" w:sz="0" w:space="0" w:color="auto"/>
          </w:divBdr>
        </w:div>
        <w:div w:id="1254850391">
          <w:marLeft w:val="0"/>
          <w:marRight w:val="0"/>
          <w:marTop w:val="0"/>
          <w:marBottom w:val="0"/>
          <w:divBdr>
            <w:top w:val="none" w:sz="0" w:space="0" w:color="auto"/>
            <w:left w:val="none" w:sz="0" w:space="0" w:color="auto"/>
            <w:bottom w:val="none" w:sz="0" w:space="0" w:color="auto"/>
            <w:right w:val="none" w:sz="0" w:space="0" w:color="auto"/>
          </w:divBdr>
        </w:div>
        <w:div w:id="1524249330">
          <w:marLeft w:val="0"/>
          <w:marRight w:val="0"/>
          <w:marTop w:val="0"/>
          <w:marBottom w:val="0"/>
          <w:divBdr>
            <w:top w:val="none" w:sz="0" w:space="0" w:color="auto"/>
            <w:left w:val="none" w:sz="0" w:space="0" w:color="auto"/>
            <w:bottom w:val="none" w:sz="0" w:space="0" w:color="auto"/>
            <w:right w:val="none" w:sz="0" w:space="0" w:color="auto"/>
          </w:divBdr>
        </w:div>
      </w:divsChild>
    </w:div>
    <w:div w:id="1552955401">
      <w:bodyDiv w:val="1"/>
      <w:marLeft w:val="0"/>
      <w:marRight w:val="0"/>
      <w:marTop w:val="0"/>
      <w:marBottom w:val="0"/>
      <w:divBdr>
        <w:top w:val="none" w:sz="0" w:space="0" w:color="auto"/>
        <w:left w:val="none" w:sz="0" w:space="0" w:color="auto"/>
        <w:bottom w:val="none" w:sz="0" w:space="0" w:color="auto"/>
        <w:right w:val="none" w:sz="0" w:space="0" w:color="auto"/>
      </w:divBdr>
    </w:div>
    <w:div w:id="1768429990">
      <w:bodyDiv w:val="1"/>
      <w:marLeft w:val="0"/>
      <w:marRight w:val="0"/>
      <w:marTop w:val="0"/>
      <w:marBottom w:val="0"/>
      <w:divBdr>
        <w:top w:val="none" w:sz="0" w:space="0" w:color="auto"/>
        <w:left w:val="none" w:sz="0" w:space="0" w:color="auto"/>
        <w:bottom w:val="none" w:sz="0" w:space="0" w:color="auto"/>
        <w:right w:val="none" w:sz="0" w:space="0" w:color="auto"/>
      </w:divBdr>
      <w:divsChild>
        <w:div w:id="1731733713">
          <w:marLeft w:val="0"/>
          <w:marRight w:val="0"/>
          <w:marTop w:val="0"/>
          <w:marBottom w:val="0"/>
          <w:divBdr>
            <w:top w:val="none" w:sz="0" w:space="0" w:color="auto"/>
            <w:left w:val="none" w:sz="0" w:space="0" w:color="auto"/>
            <w:bottom w:val="none" w:sz="0" w:space="0" w:color="auto"/>
            <w:right w:val="none" w:sz="0" w:space="0" w:color="auto"/>
          </w:divBdr>
          <w:divsChild>
            <w:div w:id="804203165">
              <w:marLeft w:val="0"/>
              <w:marRight w:val="0"/>
              <w:marTop w:val="0"/>
              <w:marBottom w:val="0"/>
              <w:divBdr>
                <w:top w:val="none" w:sz="0" w:space="0" w:color="auto"/>
                <w:left w:val="none" w:sz="0" w:space="0" w:color="auto"/>
                <w:bottom w:val="none" w:sz="0" w:space="0" w:color="auto"/>
                <w:right w:val="none" w:sz="0" w:space="0" w:color="auto"/>
              </w:divBdr>
            </w:div>
          </w:divsChild>
        </w:div>
        <w:div w:id="1837766797">
          <w:marLeft w:val="0"/>
          <w:marRight w:val="0"/>
          <w:marTop w:val="0"/>
          <w:marBottom w:val="0"/>
          <w:divBdr>
            <w:top w:val="none" w:sz="0" w:space="0" w:color="auto"/>
            <w:left w:val="none" w:sz="0" w:space="0" w:color="auto"/>
            <w:bottom w:val="none" w:sz="0" w:space="0" w:color="auto"/>
            <w:right w:val="none" w:sz="0" w:space="0" w:color="auto"/>
          </w:divBdr>
        </w:div>
        <w:div w:id="1604452915">
          <w:marLeft w:val="0"/>
          <w:marRight w:val="0"/>
          <w:marTop w:val="0"/>
          <w:marBottom w:val="0"/>
          <w:divBdr>
            <w:top w:val="none" w:sz="0" w:space="0" w:color="auto"/>
            <w:left w:val="none" w:sz="0" w:space="0" w:color="auto"/>
            <w:bottom w:val="none" w:sz="0" w:space="0" w:color="auto"/>
            <w:right w:val="none" w:sz="0" w:space="0" w:color="auto"/>
          </w:divBdr>
        </w:div>
        <w:div w:id="1527448992">
          <w:marLeft w:val="0"/>
          <w:marRight w:val="0"/>
          <w:marTop w:val="0"/>
          <w:marBottom w:val="0"/>
          <w:divBdr>
            <w:top w:val="none" w:sz="0" w:space="0" w:color="auto"/>
            <w:left w:val="none" w:sz="0" w:space="0" w:color="auto"/>
            <w:bottom w:val="none" w:sz="0" w:space="0" w:color="auto"/>
            <w:right w:val="none" w:sz="0" w:space="0" w:color="auto"/>
          </w:divBdr>
        </w:div>
        <w:div w:id="1590429995">
          <w:marLeft w:val="0"/>
          <w:marRight w:val="0"/>
          <w:marTop w:val="0"/>
          <w:marBottom w:val="0"/>
          <w:divBdr>
            <w:top w:val="none" w:sz="0" w:space="0" w:color="auto"/>
            <w:left w:val="none" w:sz="0" w:space="0" w:color="auto"/>
            <w:bottom w:val="none" w:sz="0" w:space="0" w:color="auto"/>
            <w:right w:val="none" w:sz="0" w:space="0" w:color="auto"/>
          </w:divBdr>
        </w:div>
        <w:div w:id="1024747243">
          <w:marLeft w:val="0"/>
          <w:marRight w:val="0"/>
          <w:marTop w:val="0"/>
          <w:marBottom w:val="0"/>
          <w:divBdr>
            <w:top w:val="none" w:sz="0" w:space="0" w:color="auto"/>
            <w:left w:val="none" w:sz="0" w:space="0" w:color="auto"/>
            <w:bottom w:val="none" w:sz="0" w:space="0" w:color="auto"/>
            <w:right w:val="none" w:sz="0" w:space="0" w:color="auto"/>
          </w:divBdr>
        </w:div>
        <w:div w:id="1671330022">
          <w:marLeft w:val="0"/>
          <w:marRight w:val="0"/>
          <w:marTop w:val="0"/>
          <w:marBottom w:val="0"/>
          <w:divBdr>
            <w:top w:val="none" w:sz="0" w:space="0" w:color="auto"/>
            <w:left w:val="none" w:sz="0" w:space="0" w:color="auto"/>
            <w:bottom w:val="none" w:sz="0" w:space="0" w:color="auto"/>
            <w:right w:val="none" w:sz="0" w:space="0" w:color="auto"/>
          </w:divBdr>
        </w:div>
      </w:divsChild>
    </w:div>
    <w:div w:id="1868831637">
      <w:bodyDiv w:val="1"/>
      <w:marLeft w:val="0"/>
      <w:marRight w:val="0"/>
      <w:marTop w:val="0"/>
      <w:marBottom w:val="0"/>
      <w:divBdr>
        <w:top w:val="none" w:sz="0" w:space="0" w:color="auto"/>
        <w:left w:val="none" w:sz="0" w:space="0" w:color="auto"/>
        <w:bottom w:val="none" w:sz="0" w:space="0" w:color="auto"/>
        <w:right w:val="none" w:sz="0" w:space="0" w:color="auto"/>
      </w:divBdr>
    </w:div>
    <w:div w:id="1943873265">
      <w:bodyDiv w:val="1"/>
      <w:marLeft w:val="0"/>
      <w:marRight w:val="0"/>
      <w:marTop w:val="0"/>
      <w:marBottom w:val="0"/>
      <w:divBdr>
        <w:top w:val="none" w:sz="0" w:space="0" w:color="auto"/>
        <w:left w:val="none" w:sz="0" w:space="0" w:color="auto"/>
        <w:bottom w:val="none" w:sz="0" w:space="0" w:color="auto"/>
        <w:right w:val="none" w:sz="0" w:space="0" w:color="auto"/>
      </w:divBdr>
      <w:divsChild>
        <w:div w:id="2029939836">
          <w:marLeft w:val="0"/>
          <w:marRight w:val="0"/>
          <w:marTop w:val="0"/>
          <w:marBottom w:val="0"/>
          <w:divBdr>
            <w:top w:val="none" w:sz="0" w:space="0" w:color="auto"/>
            <w:left w:val="none" w:sz="0" w:space="0" w:color="auto"/>
            <w:bottom w:val="none" w:sz="0" w:space="0" w:color="auto"/>
            <w:right w:val="none" w:sz="0" w:space="0" w:color="auto"/>
          </w:divBdr>
          <w:divsChild>
            <w:div w:id="1800681699">
              <w:marLeft w:val="0"/>
              <w:marRight w:val="0"/>
              <w:marTop w:val="0"/>
              <w:marBottom w:val="0"/>
              <w:divBdr>
                <w:top w:val="none" w:sz="0" w:space="0" w:color="auto"/>
                <w:left w:val="none" w:sz="0" w:space="0" w:color="auto"/>
                <w:bottom w:val="none" w:sz="0" w:space="0" w:color="auto"/>
                <w:right w:val="none" w:sz="0" w:space="0" w:color="auto"/>
              </w:divBdr>
            </w:div>
          </w:divsChild>
        </w:div>
        <w:div w:id="1868131290">
          <w:marLeft w:val="0"/>
          <w:marRight w:val="0"/>
          <w:marTop w:val="0"/>
          <w:marBottom w:val="0"/>
          <w:divBdr>
            <w:top w:val="none" w:sz="0" w:space="0" w:color="auto"/>
            <w:left w:val="none" w:sz="0" w:space="0" w:color="auto"/>
            <w:bottom w:val="none" w:sz="0" w:space="0" w:color="auto"/>
            <w:right w:val="none" w:sz="0" w:space="0" w:color="auto"/>
          </w:divBdr>
        </w:div>
        <w:div w:id="823931420">
          <w:marLeft w:val="0"/>
          <w:marRight w:val="0"/>
          <w:marTop w:val="0"/>
          <w:marBottom w:val="0"/>
          <w:divBdr>
            <w:top w:val="none" w:sz="0" w:space="0" w:color="auto"/>
            <w:left w:val="none" w:sz="0" w:space="0" w:color="auto"/>
            <w:bottom w:val="none" w:sz="0" w:space="0" w:color="auto"/>
            <w:right w:val="none" w:sz="0" w:space="0" w:color="auto"/>
          </w:divBdr>
        </w:div>
        <w:div w:id="2122844255">
          <w:marLeft w:val="0"/>
          <w:marRight w:val="0"/>
          <w:marTop w:val="0"/>
          <w:marBottom w:val="0"/>
          <w:divBdr>
            <w:top w:val="none" w:sz="0" w:space="0" w:color="auto"/>
            <w:left w:val="none" w:sz="0" w:space="0" w:color="auto"/>
            <w:bottom w:val="none" w:sz="0" w:space="0" w:color="auto"/>
            <w:right w:val="none" w:sz="0" w:space="0" w:color="auto"/>
          </w:divBdr>
        </w:div>
        <w:div w:id="908807686">
          <w:marLeft w:val="0"/>
          <w:marRight w:val="0"/>
          <w:marTop w:val="0"/>
          <w:marBottom w:val="0"/>
          <w:divBdr>
            <w:top w:val="none" w:sz="0" w:space="0" w:color="auto"/>
            <w:left w:val="none" w:sz="0" w:space="0" w:color="auto"/>
            <w:bottom w:val="none" w:sz="0" w:space="0" w:color="auto"/>
            <w:right w:val="none" w:sz="0" w:space="0" w:color="auto"/>
          </w:divBdr>
        </w:div>
        <w:div w:id="1650750378">
          <w:marLeft w:val="0"/>
          <w:marRight w:val="0"/>
          <w:marTop w:val="0"/>
          <w:marBottom w:val="0"/>
          <w:divBdr>
            <w:top w:val="none" w:sz="0" w:space="0" w:color="auto"/>
            <w:left w:val="none" w:sz="0" w:space="0" w:color="auto"/>
            <w:bottom w:val="none" w:sz="0" w:space="0" w:color="auto"/>
            <w:right w:val="none" w:sz="0" w:space="0" w:color="auto"/>
          </w:divBdr>
        </w:div>
        <w:div w:id="1837569653">
          <w:marLeft w:val="0"/>
          <w:marRight w:val="0"/>
          <w:marTop w:val="0"/>
          <w:marBottom w:val="0"/>
          <w:divBdr>
            <w:top w:val="none" w:sz="0" w:space="0" w:color="auto"/>
            <w:left w:val="none" w:sz="0" w:space="0" w:color="auto"/>
            <w:bottom w:val="none" w:sz="0" w:space="0" w:color="auto"/>
            <w:right w:val="none" w:sz="0" w:space="0" w:color="auto"/>
          </w:divBdr>
        </w:div>
      </w:divsChild>
    </w:div>
    <w:div w:id="1970473600">
      <w:bodyDiv w:val="1"/>
      <w:marLeft w:val="0"/>
      <w:marRight w:val="0"/>
      <w:marTop w:val="0"/>
      <w:marBottom w:val="0"/>
      <w:divBdr>
        <w:top w:val="none" w:sz="0" w:space="0" w:color="auto"/>
        <w:left w:val="none" w:sz="0" w:space="0" w:color="auto"/>
        <w:bottom w:val="none" w:sz="0" w:space="0" w:color="auto"/>
        <w:right w:val="none" w:sz="0" w:space="0" w:color="auto"/>
      </w:divBdr>
      <w:divsChild>
        <w:div w:id="1374309871">
          <w:marLeft w:val="0"/>
          <w:marRight w:val="0"/>
          <w:marTop w:val="0"/>
          <w:marBottom w:val="0"/>
          <w:divBdr>
            <w:top w:val="none" w:sz="0" w:space="0" w:color="auto"/>
            <w:left w:val="none" w:sz="0" w:space="0" w:color="auto"/>
            <w:bottom w:val="none" w:sz="0" w:space="0" w:color="auto"/>
            <w:right w:val="none" w:sz="0" w:space="0" w:color="auto"/>
          </w:divBdr>
          <w:divsChild>
            <w:div w:id="15258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10.xml.rels><?xml version="1.0" encoding="UTF-8" standalone="yes"?>
<Relationships xmlns="http://schemas.openxmlformats.org/package/2006/relationships"><Relationship Id="rId2" Type="http://schemas.openxmlformats.org/officeDocument/2006/relationships/package" Target="../embeddings/_____Microsoft_Excel7.xlsx"/><Relationship Id="rId1" Type="http://schemas.openxmlformats.org/officeDocument/2006/relationships/themeOverride" Target="../theme/themeOverride6.xml"/></Relationships>
</file>

<file path=word/charts/_rels/chart11.xml.rels><?xml version="1.0" encoding="UTF-8" standalone="yes"?>
<Relationships xmlns="http://schemas.openxmlformats.org/package/2006/relationships"><Relationship Id="rId2" Type="http://schemas.openxmlformats.org/officeDocument/2006/relationships/package" Target="../embeddings/_____Microsoft_Excel8.xlsx"/><Relationship Id="rId1" Type="http://schemas.openxmlformats.org/officeDocument/2006/relationships/themeOverride" Target="../theme/themeOverride7.xml"/></Relationships>
</file>

<file path=word/charts/_rels/chart12.xml.rels><?xml version="1.0" encoding="UTF-8" standalone="yes"?>
<Relationships xmlns="http://schemas.openxmlformats.org/package/2006/relationships"><Relationship Id="rId2" Type="http://schemas.openxmlformats.org/officeDocument/2006/relationships/package" Target="../embeddings/_____Microsoft_Excel9.xlsx"/><Relationship Id="rId1" Type="http://schemas.openxmlformats.org/officeDocument/2006/relationships/themeOverride" Target="../theme/themeOverride8.xm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5.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2" Type="http://schemas.openxmlformats.org/officeDocument/2006/relationships/package" Target="../embeddings/_____Microsoft_Excel5.xlsx"/><Relationship Id="rId1" Type="http://schemas.openxmlformats.org/officeDocument/2006/relationships/themeOverride" Target="../theme/themeOverride4.xml"/></Relationships>
</file>

<file path=word/charts/_rels/chart9.xml.rels><?xml version="1.0" encoding="UTF-8" standalone="yes"?>
<Relationships xmlns="http://schemas.openxmlformats.org/package/2006/relationships"><Relationship Id="rId2" Type="http://schemas.openxmlformats.org/officeDocument/2006/relationships/package" Target="../embeddings/_____Microsoft_Excel6.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barChart>
        <c:barDir val="col"/>
        <c:grouping val="clustered"/>
        <c:varyColors val="0"/>
        <c:ser>
          <c:idx val="1"/>
          <c:order val="0"/>
          <c:tx>
            <c:strRef>
              <c:f>Лист1!$C$6</c:f>
              <c:strCache>
                <c:ptCount val="1"/>
                <c:pt idx="0">
                  <c:v>Объем притока прямых иностранных инвестиций в Испанию 2013-2018 гг. (тыс. долл. США)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Лист1!$D$5:$I$5</c:f>
              <c:numCache>
                <c:formatCode>General</c:formatCode>
                <c:ptCount val="6"/>
                <c:pt idx="0">
                  <c:v>2013</c:v>
                </c:pt>
                <c:pt idx="1">
                  <c:v>2014</c:v>
                </c:pt>
                <c:pt idx="2">
                  <c:v>2015</c:v>
                </c:pt>
                <c:pt idx="3">
                  <c:v>2016</c:v>
                </c:pt>
                <c:pt idx="4">
                  <c:v>2017</c:v>
                </c:pt>
                <c:pt idx="5">
                  <c:v>2018</c:v>
                </c:pt>
              </c:numCache>
            </c:numRef>
          </c:cat>
          <c:val>
            <c:numRef>
              <c:f>Лист1!$D$6:$I$6</c:f>
              <c:numCache>
                <c:formatCode>General</c:formatCode>
                <c:ptCount val="6"/>
                <c:pt idx="0">
                  <c:v>52161</c:v>
                </c:pt>
                <c:pt idx="1">
                  <c:v>33330</c:v>
                </c:pt>
                <c:pt idx="2">
                  <c:v>25228</c:v>
                </c:pt>
                <c:pt idx="3">
                  <c:v>39261</c:v>
                </c:pt>
                <c:pt idx="4">
                  <c:v>7532</c:v>
                </c:pt>
                <c:pt idx="5">
                  <c:v>44320</c:v>
                </c:pt>
              </c:numCache>
            </c:numRef>
          </c:val>
          <c:extLst>
            <c:ext xmlns:c16="http://schemas.microsoft.com/office/drawing/2014/chart" uri="{C3380CC4-5D6E-409C-BE32-E72D297353CC}">
              <c16:uniqueId val="{00000000-54D4-40F9-A678-3C756647018C}"/>
            </c:ext>
          </c:extLst>
        </c:ser>
        <c:dLbls>
          <c:showLegendKey val="0"/>
          <c:showVal val="1"/>
          <c:showCatName val="0"/>
          <c:showSerName val="0"/>
          <c:showPercent val="0"/>
          <c:showBubbleSize val="0"/>
        </c:dLbls>
        <c:gapWidth val="300"/>
        <c:axId val="226705792"/>
        <c:axId val="226707328"/>
      </c:barChart>
      <c:catAx>
        <c:axId val="226705792"/>
        <c:scaling>
          <c:orientation val="minMax"/>
        </c:scaling>
        <c:delete val="0"/>
        <c:axPos val="b"/>
        <c:numFmt formatCode="General" sourceLinked="1"/>
        <c:majorTickMark val="none"/>
        <c:minorTickMark val="none"/>
        <c:tickLblPos val="nextTo"/>
        <c:crossAx val="226707328"/>
        <c:crosses val="autoZero"/>
        <c:auto val="1"/>
        <c:lblAlgn val="ctr"/>
        <c:lblOffset val="100"/>
        <c:noMultiLvlLbl val="0"/>
      </c:catAx>
      <c:valAx>
        <c:axId val="226707328"/>
        <c:scaling>
          <c:orientation val="minMax"/>
        </c:scaling>
        <c:delete val="1"/>
        <c:axPos val="l"/>
        <c:numFmt formatCode="General" sourceLinked="1"/>
        <c:majorTickMark val="out"/>
        <c:minorTickMark val="none"/>
        <c:tickLblPos val="nextTo"/>
        <c:crossAx val="226705792"/>
        <c:crosses val="autoZero"/>
        <c:crossBetween val="between"/>
      </c:valAx>
    </c:plotArea>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35"/>
    </mc:Choice>
    <mc:Fallback>
      <c:style val="35"/>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Лист1!$D$15:$H$15</c:f>
              <c:numCache>
                <c:formatCode>General</c:formatCode>
                <c:ptCount val="5"/>
                <c:pt idx="0">
                  <c:v>2013</c:v>
                </c:pt>
                <c:pt idx="1">
                  <c:v>2014</c:v>
                </c:pt>
                <c:pt idx="2">
                  <c:v>2015</c:v>
                </c:pt>
                <c:pt idx="3">
                  <c:v>2016</c:v>
                </c:pt>
                <c:pt idx="4">
                  <c:v>2017</c:v>
                </c:pt>
              </c:numCache>
            </c:numRef>
          </c:cat>
          <c:val>
            <c:numRef>
              <c:f>Лист1!$D$22:$H$22</c:f>
              <c:numCache>
                <c:formatCode>#,##0</c:formatCode>
                <c:ptCount val="5"/>
                <c:pt idx="0">
                  <c:v>1356.3066483700097</c:v>
                </c:pt>
                <c:pt idx="1">
                  <c:v>1879.2838933115172</c:v>
                </c:pt>
                <c:pt idx="2">
                  <c:v>151.81695723825743</c:v>
                </c:pt>
                <c:pt idx="3">
                  <c:v>124.96461167529048</c:v>
                </c:pt>
                <c:pt idx="4">
                  <c:v>130.33765603572772</c:v>
                </c:pt>
              </c:numCache>
            </c:numRef>
          </c:val>
          <c:extLst>
            <c:ext xmlns:c16="http://schemas.microsoft.com/office/drawing/2014/chart" uri="{C3380CC4-5D6E-409C-BE32-E72D297353CC}">
              <c16:uniqueId val="{00000000-637F-44B8-901E-1D0F37BC5E32}"/>
            </c:ext>
          </c:extLst>
        </c:ser>
        <c:dLbls>
          <c:dLblPos val="outEnd"/>
          <c:showLegendKey val="0"/>
          <c:showVal val="1"/>
          <c:showCatName val="0"/>
          <c:showSerName val="0"/>
          <c:showPercent val="0"/>
          <c:showBubbleSize val="0"/>
        </c:dLbls>
        <c:gapWidth val="150"/>
        <c:overlap val="-25"/>
        <c:axId val="219296896"/>
        <c:axId val="219298432"/>
      </c:barChart>
      <c:catAx>
        <c:axId val="219296896"/>
        <c:scaling>
          <c:orientation val="minMax"/>
        </c:scaling>
        <c:delete val="0"/>
        <c:axPos val="b"/>
        <c:numFmt formatCode="General" sourceLinked="1"/>
        <c:majorTickMark val="none"/>
        <c:minorTickMark val="none"/>
        <c:tickLblPos val="nextTo"/>
        <c:crossAx val="219298432"/>
        <c:crosses val="autoZero"/>
        <c:auto val="1"/>
        <c:lblAlgn val="ctr"/>
        <c:lblOffset val="100"/>
        <c:noMultiLvlLbl val="0"/>
      </c:catAx>
      <c:valAx>
        <c:axId val="219298432"/>
        <c:scaling>
          <c:orientation val="minMax"/>
        </c:scaling>
        <c:delete val="1"/>
        <c:axPos val="l"/>
        <c:numFmt formatCode="#,##0" sourceLinked="1"/>
        <c:majorTickMark val="none"/>
        <c:minorTickMark val="none"/>
        <c:tickLblPos val="nextTo"/>
        <c:crossAx val="219296896"/>
        <c:crosses val="autoZero"/>
        <c:crossBetween val="between"/>
      </c:valAx>
      <c:spPr>
        <a:noFill/>
        <a:ln w="25400">
          <a:noFill/>
        </a:ln>
      </c:spPr>
    </c:plotArea>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stacked"/>
        <c:varyColors val="0"/>
        <c:ser>
          <c:idx val="0"/>
          <c:order val="0"/>
          <c:tx>
            <c:strRef>
              <c:f>'пирамиды возраста'!$E$4</c:f>
              <c:strCache>
                <c:ptCount val="1"/>
                <c:pt idx="0">
                  <c:v>Мужчины</c:v>
                </c:pt>
              </c:strCache>
            </c:strRef>
          </c:tx>
          <c:spPr>
            <a:solidFill>
              <a:srgbClr val="0070C0"/>
            </a:solidFill>
          </c:spPr>
          <c:invertIfNegative val="0"/>
          <c:dLbls>
            <c:dLbl>
              <c:idx val="0"/>
              <c:tx>
                <c:rich>
                  <a:bodyPr/>
                  <a:lstStyle/>
                  <a:p>
                    <a:r>
                      <a:rPr lang="en-US" b="0"/>
                      <a:t>1 184</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5C3-4B94-9620-F5A538E59CEF}"/>
                </c:ext>
              </c:extLst>
            </c:dLbl>
            <c:dLbl>
              <c:idx val="1"/>
              <c:tx>
                <c:rich>
                  <a:bodyPr/>
                  <a:lstStyle/>
                  <a:p>
                    <a:r>
                      <a:rPr lang="en-US" b="0"/>
                      <a:t>1 041</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5C3-4B94-9620-F5A538E59CEF}"/>
                </c:ext>
              </c:extLst>
            </c:dLbl>
            <c:dLbl>
              <c:idx val="2"/>
              <c:tx>
                <c:rich>
                  <a:bodyPr/>
                  <a:lstStyle/>
                  <a:p>
                    <a:r>
                      <a:rPr lang="en-US" b="0"/>
                      <a:t>1 081</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5C3-4B94-9620-F5A538E59CEF}"/>
                </c:ext>
              </c:extLst>
            </c:dLbl>
            <c:dLbl>
              <c:idx val="3"/>
              <c:tx>
                <c:rich>
                  <a:bodyPr/>
                  <a:lstStyle/>
                  <a:p>
                    <a:r>
                      <a:rPr lang="en-US" b="0"/>
                      <a:t>1 182</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5C3-4B94-9620-F5A538E59CEF}"/>
                </c:ext>
              </c:extLst>
            </c:dLbl>
            <c:dLbl>
              <c:idx val="4"/>
              <c:tx>
                <c:rich>
                  <a:bodyPr/>
                  <a:lstStyle/>
                  <a:p>
                    <a:r>
                      <a:rPr lang="en-US" b="0"/>
                      <a:t>1 442</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5C3-4B94-9620-F5A538E59CEF}"/>
                </c:ext>
              </c:extLst>
            </c:dLbl>
            <c:dLbl>
              <c:idx val="5"/>
              <c:tx>
                <c:rich>
                  <a:bodyPr/>
                  <a:lstStyle/>
                  <a:p>
                    <a:r>
                      <a:rPr lang="en-US" b="0"/>
                      <a:t>1 876</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5C3-4B94-9620-F5A538E59CEF}"/>
                </c:ext>
              </c:extLst>
            </c:dLbl>
            <c:dLbl>
              <c:idx val="6"/>
              <c:tx>
                <c:rich>
                  <a:bodyPr/>
                  <a:lstStyle/>
                  <a:p>
                    <a:r>
                      <a:rPr lang="en-US" b="0"/>
                      <a:t>2 026</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5C3-4B94-9620-F5A538E59CEF}"/>
                </c:ext>
              </c:extLst>
            </c:dLbl>
            <c:dLbl>
              <c:idx val="7"/>
              <c:tx>
                <c:rich>
                  <a:bodyPr/>
                  <a:lstStyle/>
                  <a:p>
                    <a:r>
                      <a:rPr lang="en-US" b="0"/>
                      <a:t>1 931</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5C3-4B94-9620-F5A538E59CEF}"/>
                </c:ext>
              </c:extLst>
            </c:dLbl>
            <c:dLbl>
              <c:idx val="8"/>
              <c:tx>
                <c:rich>
                  <a:bodyPr/>
                  <a:lstStyle/>
                  <a:p>
                    <a:r>
                      <a:rPr lang="en-US" b="0"/>
                      <a:t>1 828</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5C3-4B94-9620-F5A538E59CEF}"/>
                </c:ext>
              </c:extLst>
            </c:dLbl>
            <c:dLbl>
              <c:idx val="9"/>
              <c:tx>
                <c:rich>
                  <a:bodyPr/>
                  <a:lstStyle/>
                  <a:p>
                    <a:r>
                      <a:rPr lang="en-US" b="0"/>
                      <a:t>1 646</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5C3-4B94-9620-F5A538E59CEF}"/>
                </c:ext>
              </c:extLst>
            </c:dLbl>
            <c:dLbl>
              <c:idx val="10"/>
              <c:tx>
                <c:rich>
                  <a:bodyPr/>
                  <a:lstStyle/>
                  <a:p>
                    <a:r>
                      <a:rPr lang="en-US" b="0"/>
                      <a:t>1 371</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5C3-4B94-9620-F5A538E59CEF}"/>
                </c:ext>
              </c:extLst>
            </c:dLbl>
            <c:dLbl>
              <c:idx val="11"/>
              <c:tx>
                <c:rich>
                  <a:bodyPr/>
                  <a:lstStyle/>
                  <a:p>
                    <a:r>
                      <a:rPr lang="en-US" b="0"/>
                      <a:t>1 230</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5C3-4B94-9620-F5A538E59CEF}"/>
                </c:ext>
              </c:extLst>
            </c:dLbl>
            <c:dLbl>
              <c:idx val="12"/>
              <c:tx>
                <c:rich>
                  <a:bodyPr/>
                  <a:lstStyle/>
                  <a:p>
                    <a:r>
                      <a:rPr lang="en-US" b="0"/>
                      <a:t>1 073</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5C3-4B94-9620-F5A538E59CEF}"/>
                </c:ext>
              </c:extLst>
            </c:dLbl>
            <c:dLbl>
              <c:idx val="13"/>
              <c:tx>
                <c:rich>
                  <a:bodyPr/>
                  <a:lstStyle/>
                  <a:p>
                    <a:r>
                      <a:rPr lang="en-US" b="0"/>
                      <a:t>895</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5C3-4B94-9620-F5A538E59CEF}"/>
                </c:ext>
              </c:extLst>
            </c:dLbl>
            <c:dLbl>
              <c:idx val="14"/>
              <c:tx>
                <c:rich>
                  <a:bodyPr/>
                  <a:lstStyle/>
                  <a:p>
                    <a:r>
                      <a:rPr lang="en-US" b="0"/>
                      <a:t>875</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D5C3-4B94-9620-F5A538E59CEF}"/>
                </c:ext>
              </c:extLst>
            </c:dLbl>
            <c:dLbl>
              <c:idx val="15"/>
              <c:tx>
                <c:rich>
                  <a:bodyPr/>
                  <a:lstStyle/>
                  <a:p>
                    <a:r>
                      <a:rPr lang="en-US" b="0"/>
                      <a:t>700</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D5C3-4B94-9620-F5A538E59CEF}"/>
                </c:ext>
              </c:extLst>
            </c:dLbl>
            <c:dLbl>
              <c:idx val="16"/>
              <c:tx>
                <c:rich>
                  <a:bodyPr/>
                  <a:lstStyle/>
                  <a:p>
                    <a:r>
                      <a:rPr lang="en-US" b="0"/>
                      <a:t>430</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D5C3-4B94-9620-F5A538E59CEF}"/>
                </c:ext>
              </c:extLst>
            </c:dLbl>
            <c:dLbl>
              <c:idx val="17"/>
              <c:layout>
                <c:manualLayout>
                  <c:x val="-1.7660044150110375E-2"/>
                  <c:y val="5.1263123359580052E-7"/>
                </c:manualLayout>
              </c:layout>
              <c:tx>
                <c:rich>
                  <a:bodyPr/>
                  <a:lstStyle/>
                  <a:p>
                    <a:r>
                      <a:rPr lang="en-US" b="0"/>
                      <a:t>188</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D5C3-4B94-9620-F5A538E59CEF}"/>
                </c:ext>
              </c:extLst>
            </c:dLbl>
            <c:dLbl>
              <c:idx val="18"/>
              <c:layout>
                <c:manualLayout>
                  <c:x val="-2.6490066225165563E-2"/>
                  <c:y val="2.170138888888889E-3"/>
                </c:manualLayout>
              </c:layout>
              <c:tx>
                <c:rich>
                  <a:bodyPr/>
                  <a:lstStyle/>
                  <a:p>
                    <a:r>
                      <a:rPr lang="en-US" b="0"/>
                      <a:t>67</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D5C3-4B94-9620-F5A538E59CEF}"/>
                </c:ext>
              </c:extLst>
            </c:dLbl>
            <c:dLbl>
              <c:idx val="19"/>
              <c:layout>
                <c:manualLayout>
                  <c:x val="-2.6490066225165563E-2"/>
                  <c:y val="0"/>
                </c:manualLayout>
              </c:layout>
              <c:tx>
                <c:rich>
                  <a:bodyPr/>
                  <a:lstStyle/>
                  <a:p>
                    <a:r>
                      <a:rPr lang="en-US" b="0"/>
                      <a:t>13</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D5C3-4B94-9620-F5A538E59CEF}"/>
                </c:ext>
              </c:extLst>
            </c:dLbl>
            <c:dLbl>
              <c:idx val="20"/>
              <c:layout>
                <c:manualLayout>
                  <c:x val="-1.9867549668874173E-2"/>
                  <c:y val="1.7087707786526683E-7"/>
                </c:manualLayout>
              </c:layout>
              <c:tx>
                <c:rich>
                  <a:bodyPr/>
                  <a:lstStyle/>
                  <a:p>
                    <a:r>
                      <a:rPr lang="en-US" b="0"/>
                      <a:t>1</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D5C3-4B94-9620-F5A538E59CEF}"/>
                </c:ext>
              </c:extLst>
            </c:dLbl>
            <c:spPr>
              <a:noFill/>
              <a:ln>
                <a:noFill/>
              </a:ln>
              <a:effectLst/>
            </c:spPr>
            <c:txPr>
              <a:bodyPr/>
              <a:lstStyle/>
              <a:p>
                <a:pPr>
                  <a:defRPr b="0"/>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'пирамиды возраста'!$D$5:$D$25</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90-94</c:v>
                </c:pt>
                <c:pt idx="19">
                  <c:v>95-99</c:v>
                </c:pt>
                <c:pt idx="20">
                  <c:v>Старше 100</c:v>
                </c:pt>
              </c:strCache>
            </c:strRef>
          </c:cat>
          <c:val>
            <c:numRef>
              <c:f>'пирамиды возраста'!$E$5:$E$25</c:f>
              <c:numCache>
                <c:formatCode>#,##0</c:formatCode>
                <c:ptCount val="21"/>
                <c:pt idx="0">
                  <c:v>-1184</c:v>
                </c:pt>
                <c:pt idx="1">
                  <c:v>-1041</c:v>
                </c:pt>
                <c:pt idx="2">
                  <c:v>-1081</c:v>
                </c:pt>
                <c:pt idx="3">
                  <c:v>-1182</c:v>
                </c:pt>
                <c:pt idx="4">
                  <c:v>-1442</c:v>
                </c:pt>
                <c:pt idx="5">
                  <c:v>-1876</c:v>
                </c:pt>
                <c:pt idx="6">
                  <c:v>-2026</c:v>
                </c:pt>
                <c:pt idx="7">
                  <c:v>-1931</c:v>
                </c:pt>
                <c:pt idx="8">
                  <c:v>-1828</c:v>
                </c:pt>
                <c:pt idx="9">
                  <c:v>-1646</c:v>
                </c:pt>
                <c:pt idx="10">
                  <c:v>-1371</c:v>
                </c:pt>
                <c:pt idx="11">
                  <c:v>-1230</c:v>
                </c:pt>
                <c:pt idx="12">
                  <c:v>-1073</c:v>
                </c:pt>
                <c:pt idx="13" formatCode="General">
                  <c:v>-895</c:v>
                </c:pt>
                <c:pt idx="14" formatCode="General">
                  <c:v>-875</c:v>
                </c:pt>
                <c:pt idx="15" formatCode="General">
                  <c:v>-700</c:v>
                </c:pt>
                <c:pt idx="16" formatCode="General">
                  <c:v>-430</c:v>
                </c:pt>
                <c:pt idx="17" formatCode="General">
                  <c:v>-188</c:v>
                </c:pt>
                <c:pt idx="18" formatCode="General">
                  <c:v>-67</c:v>
                </c:pt>
                <c:pt idx="19" formatCode="General">
                  <c:v>-13</c:v>
                </c:pt>
                <c:pt idx="20" formatCode="General">
                  <c:v>-1</c:v>
                </c:pt>
              </c:numCache>
            </c:numRef>
          </c:val>
          <c:extLst>
            <c:ext xmlns:c16="http://schemas.microsoft.com/office/drawing/2014/chart" uri="{C3380CC4-5D6E-409C-BE32-E72D297353CC}">
              <c16:uniqueId val="{00000015-D5C3-4B94-9620-F5A538E59CEF}"/>
            </c:ext>
          </c:extLst>
        </c:ser>
        <c:ser>
          <c:idx val="1"/>
          <c:order val="1"/>
          <c:tx>
            <c:strRef>
              <c:f>'пирамиды возраста'!$F$4</c:f>
              <c:strCache>
                <c:ptCount val="1"/>
                <c:pt idx="0">
                  <c:v>Женщины </c:v>
                </c:pt>
              </c:strCache>
            </c:strRef>
          </c:tx>
          <c:spPr>
            <a:solidFill>
              <a:srgbClr val="FF0000"/>
            </a:solidFill>
          </c:spPr>
          <c:invertIfNegative val="0"/>
          <c:dLbls>
            <c:dLbl>
              <c:idx val="17"/>
              <c:layout>
                <c:manualLayout>
                  <c:x val="6.6225165562913907E-3"/>
                  <c:y val="1.9892710012531237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D5C3-4B94-9620-F5A538E59CEF}"/>
                </c:ext>
              </c:extLst>
            </c:dLbl>
            <c:dLbl>
              <c:idx val="18"/>
              <c:layout>
                <c:manualLayout>
                  <c:x val="2.8697571743929361E-2"/>
                  <c:y val="-6.510416666666667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D5C3-4B94-9620-F5A538E59CEF}"/>
                </c:ext>
              </c:extLst>
            </c:dLbl>
            <c:dLbl>
              <c:idx val="19"/>
              <c:layout>
                <c:manualLayout>
                  <c:x val="3.0905077262693158E-2"/>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D5C3-4B94-9620-F5A538E59CEF}"/>
                </c:ext>
              </c:extLst>
            </c:dLbl>
            <c:dLbl>
              <c:idx val="20"/>
              <c:layout>
                <c:manualLayout>
                  <c:x val="1.9867549668874173E-2"/>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D5C3-4B94-9620-F5A538E59CEF}"/>
                </c:ext>
              </c:extLst>
            </c:dLbl>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'пирамиды возраста'!$D$5:$D$25</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90-94</c:v>
                </c:pt>
                <c:pt idx="19">
                  <c:v>95-99</c:v>
                </c:pt>
                <c:pt idx="20">
                  <c:v>Старше 100</c:v>
                </c:pt>
              </c:strCache>
            </c:strRef>
          </c:cat>
          <c:val>
            <c:numRef>
              <c:f>'пирамиды возраста'!$F$5:$F$25</c:f>
              <c:numCache>
                <c:formatCode>General</c:formatCode>
                <c:ptCount val="21"/>
                <c:pt idx="0" formatCode="#,##0">
                  <c:v>1114</c:v>
                </c:pt>
                <c:pt idx="1">
                  <c:v>984</c:v>
                </c:pt>
                <c:pt idx="2" formatCode="#,##0">
                  <c:v>1022</c:v>
                </c:pt>
                <c:pt idx="3" formatCode="#,##0">
                  <c:v>1114</c:v>
                </c:pt>
                <c:pt idx="4" formatCode="#,##0">
                  <c:v>1366</c:v>
                </c:pt>
                <c:pt idx="5" formatCode="#,##0">
                  <c:v>1773</c:v>
                </c:pt>
                <c:pt idx="6" formatCode="#,##0">
                  <c:v>1901</c:v>
                </c:pt>
                <c:pt idx="7" formatCode="#,##0">
                  <c:v>1826</c:v>
                </c:pt>
                <c:pt idx="8" formatCode="#,##0">
                  <c:v>1770</c:v>
                </c:pt>
                <c:pt idx="9" formatCode="#,##0">
                  <c:v>1631</c:v>
                </c:pt>
                <c:pt idx="10" formatCode="#,##0">
                  <c:v>1387</c:v>
                </c:pt>
                <c:pt idx="11" formatCode="#,##0">
                  <c:v>1281</c:v>
                </c:pt>
                <c:pt idx="12" formatCode="#,##0">
                  <c:v>1149</c:v>
                </c:pt>
                <c:pt idx="13" formatCode="#,##0">
                  <c:v>1013</c:v>
                </c:pt>
                <c:pt idx="14" formatCode="#,##0">
                  <c:v>1089</c:v>
                </c:pt>
                <c:pt idx="15">
                  <c:v>938</c:v>
                </c:pt>
                <c:pt idx="16">
                  <c:v>690</c:v>
                </c:pt>
                <c:pt idx="17">
                  <c:v>381</c:v>
                </c:pt>
                <c:pt idx="18">
                  <c:v>171</c:v>
                </c:pt>
                <c:pt idx="19">
                  <c:v>41</c:v>
                </c:pt>
                <c:pt idx="20">
                  <c:v>4</c:v>
                </c:pt>
              </c:numCache>
            </c:numRef>
          </c:val>
          <c:extLst>
            <c:ext xmlns:c16="http://schemas.microsoft.com/office/drawing/2014/chart" uri="{C3380CC4-5D6E-409C-BE32-E72D297353CC}">
              <c16:uniqueId val="{0000001A-D5C3-4B94-9620-F5A538E59CEF}"/>
            </c:ext>
          </c:extLst>
        </c:ser>
        <c:dLbls>
          <c:showLegendKey val="0"/>
          <c:showVal val="0"/>
          <c:showCatName val="0"/>
          <c:showSerName val="0"/>
          <c:showPercent val="0"/>
          <c:showBubbleSize val="0"/>
        </c:dLbls>
        <c:gapWidth val="0"/>
        <c:overlap val="100"/>
        <c:axId val="254710144"/>
        <c:axId val="254711680"/>
      </c:barChart>
      <c:catAx>
        <c:axId val="254710144"/>
        <c:scaling>
          <c:orientation val="minMax"/>
        </c:scaling>
        <c:delete val="0"/>
        <c:axPos val="l"/>
        <c:numFmt formatCode="General" sourceLinked="0"/>
        <c:majorTickMark val="out"/>
        <c:minorTickMark val="none"/>
        <c:tickLblPos val="low"/>
        <c:crossAx val="254711680"/>
        <c:crosses val="autoZero"/>
        <c:auto val="1"/>
        <c:lblAlgn val="ctr"/>
        <c:lblOffset val="100"/>
        <c:noMultiLvlLbl val="0"/>
      </c:catAx>
      <c:valAx>
        <c:axId val="254711680"/>
        <c:scaling>
          <c:orientation val="minMax"/>
        </c:scaling>
        <c:delete val="0"/>
        <c:axPos val="b"/>
        <c:majorGridlines/>
        <c:numFmt formatCode="#,##0" sourceLinked="1"/>
        <c:majorTickMark val="out"/>
        <c:minorTickMark val="none"/>
        <c:tickLblPos val="nextTo"/>
        <c:crossAx val="254710144"/>
        <c:crosses val="autoZero"/>
        <c:crossBetween val="between"/>
      </c:valAx>
    </c:plotArea>
    <c:legend>
      <c:legendPos val="r"/>
      <c:overlay val="0"/>
    </c:legend>
    <c:plotVisOnly val="1"/>
    <c:dispBlanksAs val="gap"/>
    <c:showDLblsOverMax val="0"/>
  </c:chart>
  <c:txPr>
    <a:bodyPr/>
    <a:lstStyle/>
    <a:p>
      <a:pPr>
        <a:defRPr sz="1200" b="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stacked"/>
        <c:varyColors val="0"/>
        <c:ser>
          <c:idx val="0"/>
          <c:order val="0"/>
          <c:tx>
            <c:strRef>
              <c:f>'пол возраст'!$D$2</c:f>
              <c:strCache>
                <c:ptCount val="1"/>
                <c:pt idx="0">
                  <c:v>Мужчины</c:v>
                </c:pt>
              </c:strCache>
            </c:strRef>
          </c:tx>
          <c:spPr>
            <a:solidFill>
              <a:srgbClr val="0070C0"/>
            </a:solidFill>
            <a:ln>
              <a:solidFill>
                <a:srgbClr val="0070C0"/>
              </a:solidFill>
            </a:ln>
          </c:spPr>
          <c:invertIfNegative val="0"/>
          <c:dLbls>
            <c:dLbl>
              <c:idx val="0"/>
              <c:tx>
                <c:rich>
                  <a:bodyPr/>
                  <a:lstStyle/>
                  <a:p>
                    <a:r>
                      <a:rPr lang="en-US" b="0"/>
                      <a:t>1 039</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FCF-49B3-A7D3-57FB3F7D8521}"/>
                </c:ext>
              </c:extLst>
            </c:dLbl>
            <c:dLbl>
              <c:idx val="1"/>
              <c:tx>
                <c:rich>
                  <a:bodyPr/>
                  <a:lstStyle/>
                  <a:p>
                    <a:r>
                      <a:rPr lang="en-US" b="0"/>
                      <a:t>1 237</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FCF-49B3-A7D3-57FB3F7D8521}"/>
                </c:ext>
              </c:extLst>
            </c:dLbl>
            <c:dLbl>
              <c:idx val="2"/>
              <c:tx>
                <c:rich>
                  <a:bodyPr/>
                  <a:lstStyle/>
                  <a:p>
                    <a:r>
                      <a:rPr lang="en-US" b="0"/>
                      <a:t>1 227</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FCF-49B3-A7D3-57FB3F7D8521}"/>
                </c:ext>
              </c:extLst>
            </c:dLbl>
            <c:dLbl>
              <c:idx val="3"/>
              <c:tx>
                <c:rich>
                  <a:bodyPr/>
                  <a:lstStyle/>
                  <a:p>
                    <a:r>
                      <a:rPr lang="en-US" b="0"/>
                      <a:t>1 104</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FCF-49B3-A7D3-57FB3F7D8521}"/>
                </c:ext>
              </c:extLst>
            </c:dLbl>
            <c:dLbl>
              <c:idx val="4"/>
              <c:tx>
                <c:rich>
                  <a:bodyPr/>
                  <a:lstStyle/>
                  <a:p>
                    <a:r>
                      <a:rPr lang="en-US" b="0"/>
                      <a:t>1 105</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FCF-49B3-A7D3-57FB3F7D8521}"/>
                </c:ext>
              </c:extLst>
            </c:dLbl>
            <c:dLbl>
              <c:idx val="5"/>
              <c:tx>
                <c:rich>
                  <a:bodyPr/>
                  <a:lstStyle/>
                  <a:p>
                    <a:r>
                      <a:rPr lang="en-US" b="0"/>
                      <a:t>1 189</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FCF-49B3-A7D3-57FB3F7D8521}"/>
                </c:ext>
              </c:extLst>
            </c:dLbl>
            <c:dLbl>
              <c:idx val="6"/>
              <c:tx>
                <c:rich>
                  <a:bodyPr/>
                  <a:lstStyle/>
                  <a:p>
                    <a:r>
                      <a:rPr lang="en-US" b="0"/>
                      <a:t>1 399</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FCF-49B3-A7D3-57FB3F7D8521}"/>
                </c:ext>
              </c:extLst>
            </c:dLbl>
            <c:dLbl>
              <c:idx val="7"/>
              <c:tx>
                <c:rich>
                  <a:bodyPr/>
                  <a:lstStyle/>
                  <a:p>
                    <a:r>
                      <a:rPr lang="en-US" b="0"/>
                      <a:t>1 824</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FCF-49B3-A7D3-57FB3F7D8521}"/>
                </c:ext>
              </c:extLst>
            </c:dLbl>
            <c:dLbl>
              <c:idx val="8"/>
              <c:tx>
                <c:rich>
                  <a:bodyPr/>
                  <a:lstStyle/>
                  <a:p>
                    <a:r>
                      <a:rPr lang="en-US" b="0"/>
                      <a:t>2 039</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FCF-49B3-A7D3-57FB3F7D8521}"/>
                </c:ext>
              </c:extLst>
            </c:dLbl>
            <c:dLbl>
              <c:idx val="9"/>
              <c:tx>
                <c:rich>
                  <a:bodyPr/>
                  <a:lstStyle/>
                  <a:p>
                    <a:r>
                      <a:rPr lang="en-US" b="0"/>
                      <a:t>1 935</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FCF-49B3-A7D3-57FB3F7D8521}"/>
                </c:ext>
              </c:extLst>
            </c:dLbl>
            <c:dLbl>
              <c:idx val="10"/>
              <c:tx>
                <c:rich>
                  <a:bodyPr/>
                  <a:lstStyle/>
                  <a:p>
                    <a:r>
                      <a:rPr lang="en-US" b="0"/>
                      <a:t>1 803</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FCF-49B3-A7D3-57FB3F7D8521}"/>
                </c:ext>
              </c:extLst>
            </c:dLbl>
            <c:dLbl>
              <c:idx val="11"/>
              <c:tx>
                <c:rich>
                  <a:bodyPr/>
                  <a:lstStyle/>
                  <a:p>
                    <a:r>
                      <a:rPr lang="en-US" b="0"/>
                      <a:t>1 622</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FCF-49B3-A7D3-57FB3F7D8521}"/>
                </c:ext>
              </c:extLst>
            </c:dLbl>
            <c:dLbl>
              <c:idx val="12"/>
              <c:tx>
                <c:rich>
                  <a:bodyPr/>
                  <a:lstStyle/>
                  <a:p>
                    <a:r>
                      <a:rPr lang="en-US" b="0"/>
                      <a:t>1 329</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FCF-49B3-A7D3-57FB3F7D8521}"/>
                </c:ext>
              </c:extLst>
            </c:dLbl>
            <c:dLbl>
              <c:idx val="13"/>
              <c:tx>
                <c:rich>
                  <a:bodyPr/>
                  <a:lstStyle/>
                  <a:p>
                    <a:r>
                      <a:rPr lang="en-US" b="0"/>
                      <a:t>1 132</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FCF-49B3-A7D3-57FB3F7D8521}"/>
                </c:ext>
              </c:extLst>
            </c:dLbl>
            <c:dLbl>
              <c:idx val="14"/>
              <c:tx>
                <c:rich>
                  <a:bodyPr/>
                  <a:lstStyle/>
                  <a:p>
                    <a:r>
                      <a:rPr lang="en-US" b="0"/>
                      <a:t>957</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2FCF-49B3-A7D3-57FB3F7D8521}"/>
                </c:ext>
              </c:extLst>
            </c:dLbl>
            <c:dLbl>
              <c:idx val="15"/>
              <c:tx>
                <c:rich>
                  <a:bodyPr/>
                  <a:lstStyle/>
                  <a:p>
                    <a:r>
                      <a:rPr lang="en-US" b="0"/>
                      <a:t>719</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2FCF-49B3-A7D3-57FB3F7D8521}"/>
                </c:ext>
              </c:extLst>
            </c:dLbl>
            <c:dLbl>
              <c:idx val="16"/>
              <c:tx>
                <c:rich>
                  <a:bodyPr/>
                  <a:lstStyle/>
                  <a:p>
                    <a:r>
                      <a:rPr lang="en-US" b="0"/>
                      <a:t>557</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FCF-49B3-A7D3-57FB3F7D8521}"/>
                </c:ext>
              </c:extLst>
            </c:dLbl>
            <c:dLbl>
              <c:idx val="17"/>
              <c:layout>
                <c:manualLayout>
                  <c:x val="-2.2075055187637969E-3"/>
                  <c:y val="6.8350831144117465E-7"/>
                </c:manualLayout>
              </c:layout>
              <c:tx>
                <c:rich>
                  <a:bodyPr/>
                  <a:lstStyle/>
                  <a:p>
                    <a:r>
                      <a:rPr lang="en-US" b="0"/>
                      <a:t>351</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FCF-49B3-A7D3-57FB3F7D8521}"/>
                </c:ext>
              </c:extLst>
            </c:dLbl>
            <c:dLbl>
              <c:idx val="18"/>
              <c:layout>
                <c:manualLayout>
                  <c:x val="-2.6490066225165563E-2"/>
                  <c:y val="2.170138888888889E-3"/>
                </c:manualLayout>
              </c:layout>
              <c:tx>
                <c:rich>
                  <a:bodyPr/>
                  <a:lstStyle/>
                  <a:p>
                    <a:r>
                      <a:rPr lang="en-US" b="0"/>
                      <a:t>132</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2FCF-49B3-A7D3-57FB3F7D8521}"/>
                </c:ext>
              </c:extLst>
            </c:dLbl>
            <c:dLbl>
              <c:idx val="19"/>
              <c:layout>
                <c:manualLayout>
                  <c:x val="-2.6490066225165563E-2"/>
                  <c:y val="0"/>
                </c:manualLayout>
              </c:layout>
              <c:tx>
                <c:rich>
                  <a:bodyPr/>
                  <a:lstStyle/>
                  <a:p>
                    <a:r>
                      <a:rPr lang="en-US" b="0"/>
                      <a:t>28</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2FCF-49B3-A7D3-57FB3F7D8521}"/>
                </c:ext>
              </c:extLst>
            </c:dLbl>
            <c:dLbl>
              <c:idx val="20"/>
              <c:layout>
                <c:manualLayout>
                  <c:x val="-1.9867549668874173E-2"/>
                  <c:y val="1.7087707786526683E-7"/>
                </c:manualLayout>
              </c:layout>
              <c:tx>
                <c:rich>
                  <a:bodyPr/>
                  <a:lstStyle/>
                  <a:p>
                    <a:r>
                      <a:rPr lang="en-US" b="0"/>
                      <a:t>2</a:t>
                    </a:r>
                    <a:endParaRPr lang="en-US"/>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2FCF-49B3-A7D3-57FB3F7D8521}"/>
                </c:ext>
              </c:extLst>
            </c:dLbl>
            <c:spPr>
              <a:noFill/>
              <a:ln>
                <a:noFill/>
              </a:ln>
              <a:effectLst/>
            </c:spPr>
            <c:txPr>
              <a:bodyPr/>
              <a:lstStyle/>
              <a:p>
                <a:pPr>
                  <a:defRPr b="0"/>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'пол возраст'!$C$3:$C$23</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90-94</c:v>
                </c:pt>
                <c:pt idx="19">
                  <c:v>95-99</c:v>
                </c:pt>
                <c:pt idx="20">
                  <c:v>Старше 100</c:v>
                </c:pt>
              </c:strCache>
            </c:strRef>
          </c:cat>
          <c:val>
            <c:numRef>
              <c:f>'пол возраст'!$D$3:$D$23</c:f>
              <c:numCache>
                <c:formatCode>#,##0</c:formatCode>
                <c:ptCount val="21"/>
                <c:pt idx="0">
                  <c:v>-1039</c:v>
                </c:pt>
                <c:pt idx="1">
                  <c:v>-1237</c:v>
                </c:pt>
                <c:pt idx="2">
                  <c:v>-1227</c:v>
                </c:pt>
                <c:pt idx="3">
                  <c:v>-1104</c:v>
                </c:pt>
                <c:pt idx="4">
                  <c:v>-1105</c:v>
                </c:pt>
                <c:pt idx="5">
                  <c:v>-1189</c:v>
                </c:pt>
                <c:pt idx="6">
                  <c:v>-1399</c:v>
                </c:pt>
                <c:pt idx="7">
                  <c:v>-1824</c:v>
                </c:pt>
                <c:pt idx="8">
                  <c:v>-2039</c:v>
                </c:pt>
                <c:pt idx="9">
                  <c:v>-1935</c:v>
                </c:pt>
                <c:pt idx="10">
                  <c:v>-1803</c:v>
                </c:pt>
                <c:pt idx="11">
                  <c:v>-1622</c:v>
                </c:pt>
                <c:pt idx="12">
                  <c:v>-1329</c:v>
                </c:pt>
                <c:pt idx="13">
                  <c:v>-1132</c:v>
                </c:pt>
                <c:pt idx="14" formatCode="General">
                  <c:v>-957</c:v>
                </c:pt>
                <c:pt idx="15" formatCode="General">
                  <c:v>-719</c:v>
                </c:pt>
                <c:pt idx="16" formatCode="General">
                  <c:v>-557</c:v>
                </c:pt>
                <c:pt idx="17" formatCode="General">
                  <c:v>-351</c:v>
                </c:pt>
                <c:pt idx="18" formatCode="General">
                  <c:v>-132</c:v>
                </c:pt>
                <c:pt idx="19" formatCode="General">
                  <c:v>-28</c:v>
                </c:pt>
                <c:pt idx="20" formatCode="General">
                  <c:v>-2</c:v>
                </c:pt>
              </c:numCache>
            </c:numRef>
          </c:val>
          <c:extLst>
            <c:ext xmlns:c16="http://schemas.microsoft.com/office/drawing/2014/chart" uri="{C3380CC4-5D6E-409C-BE32-E72D297353CC}">
              <c16:uniqueId val="{00000015-2FCF-49B3-A7D3-57FB3F7D8521}"/>
            </c:ext>
          </c:extLst>
        </c:ser>
        <c:ser>
          <c:idx val="1"/>
          <c:order val="1"/>
          <c:tx>
            <c:strRef>
              <c:f>'пол возраст'!$E$2</c:f>
              <c:strCache>
                <c:ptCount val="1"/>
                <c:pt idx="0">
                  <c:v>Женщины </c:v>
                </c:pt>
              </c:strCache>
            </c:strRef>
          </c:tx>
          <c:spPr>
            <a:solidFill>
              <a:srgbClr val="FF0000"/>
            </a:solidFill>
          </c:spPr>
          <c:invertIfNegative val="0"/>
          <c:dLbls>
            <c:dLbl>
              <c:idx val="19"/>
              <c:layout>
                <c:manualLayout>
                  <c:x val="2.2075055187637971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2FCF-49B3-A7D3-57FB3F7D8521}"/>
                </c:ext>
              </c:extLst>
            </c:dLbl>
            <c:dLbl>
              <c:idx val="20"/>
              <c:layout>
                <c:manualLayout>
                  <c:x val="1.986754966887417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2FCF-49B3-A7D3-57FB3F7D8521}"/>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'пол возраст'!$C$3:$C$23</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90-94</c:v>
                </c:pt>
                <c:pt idx="19">
                  <c:v>95-99</c:v>
                </c:pt>
                <c:pt idx="20">
                  <c:v>Старше 100</c:v>
                </c:pt>
              </c:strCache>
            </c:strRef>
          </c:cat>
          <c:val>
            <c:numRef>
              <c:f>'пол возраст'!$E$3:$E$23</c:f>
              <c:numCache>
                <c:formatCode>#,##0</c:formatCode>
                <c:ptCount val="21"/>
                <c:pt idx="0" formatCode="General">
                  <c:v>978</c:v>
                </c:pt>
                <c:pt idx="1">
                  <c:v>1167</c:v>
                </c:pt>
                <c:pt idx="2">
                  <c:v>1160</c:v>
                </c:pt>
                <c:pt idx="3">
                  <c:v>1047</c:v>
                </c:pt>
                <c:pt idx="4">
                  <c:v>1066</c:v>
                </c:pt>
                <c:pt idx="5">
                  <c:v>1172</c:v>
                </c:pt>
                <c:pt idx="6">
                  <c:v>1389</c:v>
                </c:pt>
                <c:pt idx="7">
                  <c:v>1789</c:v>
                </c:pt>
                <c:pt idx="8">
                  <c:v>1971</c:v>
                </c:pt>
                <c:pt idx="9">
                  <c:v>1879</c:v>
                </c:pt>
                <c:pt idx="10">
                  <c:v>1796</c:v>
                </c:pt>
                <c:pt idx="11">
                  <c:v>1666</c:v>
                </c:pt>
                <c:pt idx="12">
                  <c:v>1411</c:v>
                </c:pt>
                <c:pt idx="13">
                  <c:v>1259</c:v>
                </c:pt>
                <c:pt idx="14">
                  <c:v>1124</c:v>
                </c:pt>
                <c:pt idx="15" formatCode="General">
                  <c:v>925</c:v>
                </c:pt>
                <c:pt idx="16" formatCode="General">
                  <c:v>838</c:v>
                </c:pt>
                <c:pt idx="17" formatCode="General">
                  <c:v>612</c:v>
                </c:pt>
                <c:pt idx="18" formatCode="General">
                  <c:v>285</c:v>
                </c:pt>
                <c:pt idx="19" formatCode="General">
                  <c:v>80</c:v>
                </c:pt>
                <c:pt idx="20" formatCode="General">
                  <c:v>9</c:v>
                </c:pt>
              </c:numCache>
            </c:numRef>
          </c:val>
          <c:extLst>
            <c:ext xmlns:c16="http://schemas.microsoft.com/office/drawing/2014/chart" uri="{C3380CC4-5D6E-409C-BE32-E72D297353CC}">
              <c16:uniqueId val="{00000018-2FCF-49B3-A7D3-57FB3F7D8521}"/>
            </c:ext>
          </c:extLst>
        </c:ser>
        <c:dLbls>
          <c:showLegendKey val="0"/>
          <c:showVal val="0"/>
          <c:showCatName val="0"/>
          <c:showSerName val="0"/>
          <c:showPercent val="0"/>
          <c:showBubbleSize val="0"/>
        </c:dLbls>
        <c:gapWidth val="0"/>
        <c:overlap val="100"/>
        <c:axId val="252500992"/>
        <c:axId val="290587392"/>
      </c:barChart>
      <c:catAx>
        <c:axId val="252500992"/>
        <c:scaling>
          <c:orientation val="minMax"/>
        </c:scaling>
        <c:delete val="0"/>
        <c:axPos val="l"/>
        <c:numFmt formatCode="General" sourceLinked="1"/>
        <c:majorTickMark val="out"/>
        <c:minorTickMark val="none"/>
        <c:tickLblPos val="low"/>
        <c:crossAx val="290587392"/>
        <c:crosses val="autoZero"/>
        <c:auto val="1"/>
        <c:lblAlgn val="ctr"/>
        <c:lblOffset val="100"/>
        <c:noMultiLvlLbl val="0"/>
      </c:catAx>
      <c:valAx>
        <c:axId val="290587392"/>
        <c:scaling>
          <c:orientation val="minMax"/>
        </c:scaling>
        <c:delete val="0"/>
        <c:axPos val="b"/>
        <c:majorGridlines/>
        <c:numFmt formatCode="#,##0" sourceLinked="1"/>
        <c:majorTickMark val="out"/>
        <c:minorTickMark val="none"/>
        <c:tickLblPos val="nextTo"/>
        <c:crossAx val="252500992"/>
        <c:crosses val="autoZero"/>
        <c:crossBetween val="between"/>
      </c:valAx>
    </c:plotArea>
    <c:legend>
      <c:legendPos val="r"/>
      <c:overlay val="0"/>
    </c:legend>
    <c:plotVisOnly val="1"/>
    <c:dispBlanksAs val="gap"/>
    <c:showDLblsOverMax val="0"/>
  </c:chart>
  <c:txPr>
    <a:bodyPr/>
    <a:lstStyle/>
    <a:p>
      <a:pPr>
        <a:defRPr sz="1200" b="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barChart>
        <c:barDir val="col"/>
        <c:grouping val="clustered"/>
        <c:varyColors val="0"/>
        <c:ser>
          <c:idx val="1"/>
          <c:order val="0"/>
          <c:tx>
            <c:strRef>
              <c:f>Лист1!$C$9</c:f>
              <c:strCache>
                <c:ptCount val="1"/>
                <c:pt idx="0">
                  <c:v>Объем оттока прямых иностранных инвестиций в Испанию 2013-2018 гг. (тыс. долл. США)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Лист1!$D$5:$I$5</c:f>
              <c:numCache>
                <c:formatCode>General</c:formatCode>
                <c:ptCount val="6"/>
                <c:pt idx="0">
                  <c:v>2013</c:v>
                </c:pt>
                <c:pt idx="1">
                  <c:v>2014</c:v>
                </c:pt>
                <c:pt idx="2">
                  <c:v>2015</c:v>
                </c:pt>
                <c:pt idx="3">
                  <c:v>2016</c:v>
                </c:pt>
                <c:pt idx="4">
                  <c:v>2017</c:v>
                </c:pt>
                <c:pt idx="5">
                  <c:v>2018</c:v>
                </c:pt>
              </c:numCache>
            </c:numRef>
          </c:cat>
          <c:val>
            <c:numRef>
              <c:f>Лист1!$D$9:$I$9</c:f>
              <c:numCache>
                <c:formatCode>General</c:formatCode>
                <c:ptCount val="6"/>
                <c:pt idx="0">
                  <c:v>27553</c:v>
                </c:pt>
                <c:pt idx="1">
                  <c:v>41929</c:v>
                </c:pt>
                <c:pt idx="2">
                  <c:v>53584</c:v>
                </c:pt>
                <c:pt idx="3">
                  <c:v>55218</c:v>
                </c:pt>
                <c:pt idx="4">
                  <c:v>26584</c:v>
                </c:pt>
                <c:pt idx="5">
                  <c:v>32350</c:v>
                </c:pt>
              </c:numCache>
            </c:numRef>
          </c:val>
          <c:extLst>
            <c:ext xmlns:c16="http://schemas.microsoft.com/office/drawing/2014/chart" uri="{C3380CC4-5D6E-409C-BE32-E72D297353CC}">
              <c16:uniqueId val="{00000000-3B5C-4FA9-A259-5E85FC338DE9}"/>
            </c:ext>
          </c:extLst>
        </c:ser>
        <c:dLbls>
          <c:showLegendKey val="0"/>
          <c:showVal val="1"/>
          <c:showCatName val="0"/>
          <c:showSerName val="0"/>
          <c:showPercent val="0"/>
          <c:showBubbleSize val="0"/>
        </c:dLbls>
        <c:gapWidth val="300"/>
        <c:axId val="252618240"/>
        <c:axId val="254010496"/>
      </c:barChart>
      <c:catAx>
        <c:axId val="252618240"/>
        <c:scaling>
          <c:orientation val="minMax"/>
        </c:scaling>
        <c:delete val="0"/>
        <c:axPos val="b"/>
        <c:numFmt formatCode="General" sourceLinked="1"/>
        <c:majorTickMark val="none"/>
        <c:minorTickMark val="none"/>
        <c:tickLblPos val="nextTo"/>
        <c:crossAx val="254010496"/>
        <c:crosses val="autoZero"/>
        <c:auto val="1"/>
        <c:lblAlgn val="ctr"/>
        <c:lblOffset val="100"/>
        <c:noMultiLvlLbl val="0"/>
      </c:catAx>
      <c:valAx>
        <c:axId val="254010496"/>
        <c:scaling>
          <c:orientation val="minMax"/>
        </c:scaling>
        <c:delete val="1"/>
        <c:axPos val="l"/>
        <c:numFmt formatCode="General" sourceLinked="1"/>
        <c:majorTickMark val="out"/>
        <c:minorTickMark val="none"/>
        <c:tickLblPos val="nextTo"/>
        <c:crossAx val="252618240"/>
        <c:crosses val="autoZero"/>
        <c:crossBetween val="between"/>
      </c:valAx>
    </c:plotArea>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1"/>
    </mc:Choice>
    <mc:Fallback>
      <c:style val="11"/>
    </mc:Fallback>
  </mc:AlternateContent>
  <c:chart>
    <c:title>
      <c:overlay val="0"/>
    </c:title>
    <c:autoTitleDeleted val="0"/>
    <c:plotArea>
      <c:layout/>
      <c:pieChart>
        <c:varyColors val="1"/>
        <c:ser>
          <c:idx val="0"/>
          <c:order val="0"/>
          <c:tx>
            <c:strRef>
              <c:f>Лист1!$C$4</c:f>
              <c:strCache>
                <c:ptCount val="1"/>
                <c:pt idx="0">
                  <c:v>Импорт</c:v>
                </c:pt>
              </c:strCache>
            </c:strRef>
          </c:tx>
          <c:dLbls>
            <c:spPr>
              <a:noFill/>
              <a:ln>
                <a:noFill/>
              </a:ln>
              <a:effectLst/>
            </c:sp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Лист1!$B$5:$B$10</c:f>
              <c:strCache>
                <c:ptCount val="6"/>
                <c:pt idx="0">
                  <c:v>Нидерланды</c:v>
                </c:pt>
                <c:pt idx="1">
                  <c:v>Италия</c:v>
                </c:pt>
                <c:pt idx="2">
                  <c:v>Китай</c:v>
                </c:pt>
                <c:pt idx="3">
                  <c:v>Франция</c:v>
                </c:pt>
                <c:pt idx="4">
                  <c:v>Германия</c:v>
                </c:pt>
                <c:pt idx="5">
                  <c:v>Другие</c:v>
                </c:pt>
              </c:strCache>
            </c:strRef>
          </c:cat>
          <c:val>
            <c:numRef>
              <c:f>Лист1!$C$5:$C$10</c:f>
              <c:numCache>
                <c:formatCode>0%</c:formatCode>
                <c:ptCount val="6"/>
                <c:pt idx="0">
                  <c:v>0.05</c:v>
                </c:pt>
                <c:pt idx="1">
                  <c:v>7.0000000000000007E-2</c:v>
                </c:pt>
                <c:pt idx="2">
                  <c:v>7.0000000000000007E-2</c:v>
                </c:pt>
                <c:pt idx="3">
                  <c:v>0.12</c:v>
                </c:pt>
                <c:pt idx="4">
                  <c:v>0.14000000000000001</c:v>
                </c:pt>
                <c:pt idx="5">
                  <c:v>0.55000000000000004</c:v>
                </c:pt>
              </c:numCache>
            </c:numRef>
          </c:val>
          <c:extLst>
            <c:ext xmlns:c16="http://schemas.microsoft.com/office/drawing/2014/chart" uri="{C3380CC4-5D6E-409C-BE32-E72D297353CC}">
              <c16:uniqueId val="{00000000-58CC-49D5-BCC8-CCFE3E636B64}"/>
            </c:ext>
          </c:extLst>
        </c:ser>
        <c:dLbls>
          <c:dLblPos val="outEnd"/>
          <c:showLegendKey val="0"/>
          <c:showVal val="1"/>
          <c:showCatName val="0"/>
          <c:showSerName val="0"/>
          <c:showPercent val="0"/>
          <c:showBubbleSize val="0"/>
          <c:showLeaderLines val="1"/>
        </c:dLbls>
        <c:firstSliceAng val="0"/>
      </c:pieChart>
    </c:plotArea>
    <c:legend>
      <c:legendPos val="r"/>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1"/>
    </mc:Choice>
    <mc:Fallback>
      <c:style val="11"/>
    </mc:Fallback>
  </mc:AlternateContent>
  <c:chart>
    <c:title>
      <c:overlay val="0"/>
    </c:title>
    <c:autoTitleDeleted val="0"/>
    <c:plotArea>
      <c:layout/>
      <c:pieChart>
        <c:varyColors val="1"/>
        <c:ser>
          <c:idx val="0"/>
          <c:order val="0"/>
          <c:tx>
            <c:strRef>
              <c:f>Лист1!$E$4</c:f>
              <c:strCache>
                <c:ptCount val="1"/>
                <c:pt idx="0">
                  <c:v>Экспорт</c:v>
                </c:pt>
              </c:strCache>
            </c:strRef>
          </c:tx>
          <c:dLbls>
            <c:spPr>
              <a:noFill/>
              <a:ln>
                <a:noFill/>
              </a:ln>
              <a:effectLst/>
            </c:spPr>
            <c:dLblPos val="outEnd"/>
            <c:showLegendKey val="0"/>
            <c:showVal val="1"/>
            <c:showCatName val="0"/>
            <c:showSerName val="0"/>
            <c:showPercent val="0"/>
            <c:showBubbleSize val="0"/>
            <c:showLeaderLines val="1"/>
            <c:extLst>
              <c:ext xmlns:c15="http://schemas.microsoft.com/office/drawing/2012/chart" uri="{CE6537A1-D6FC-4f65-9D91-7224C49458BB}"/>
            </c:extLst>
          </c:dLbls>
          <c:cat>
            <c:strRef>
              <c:f>Лист1!$D$5:$D$10</c:f>
              <c:strCache>
                <c:ptCount val="6"/>
                <c:pt idx="0">
                  <c:v>Великобритания</c:v>
                </c:pt>
                <c:pt idx="1">
                  <c:v>Португалия</c:v>
                </c:pt>
                <c:pt idx="2">
                  <c:v>Италия</c:v>
                </c:pt>
                <c:pt idx="3">
                  <c:v>Германия</c:v>
                </c:pt>
                <c:pt idx="4">
                  <c:v>Франция</c:v>
                </c:pt>
                <c:pt idx="5">
                  <c:v>Другие</c:v>
                </c:pt>
              </c:strCache>
            </c:strRef>
          </c:cat>
          <c:val>
            <c:numRef>
              <c:f>Лист1!$E$5:$E$10</c:f>
              <c:numCache>
                <c:formatCode>0%</c:formatCode>
                <c:ptCount val="6"/>
                <c:pt idx="0">
                  <c:v>7.0000000000000007E-2</c:v>
                </c:pt>
                <c:pt idx="1">
                  <c:v>7.0000000000000007E-2</c:v>
                </c:pt>
                <c:pt idx="2">
                  <c:v>0.08</c:v>
                </c:pt>
                <c:pt idx="3">
                  <c:v>0.11</c:v>
                </c:pt>
                <c:pt idx="4">
                  <c:v>0.15</c:v>
                </c:pt>
                <c:pt idx="5">
                  <c:v>0.52</c:v>
                </c:pt>
              </c:numCache>
            </c:numRef>
          </c:val>
          <c:extLst>
            <c:ext xmlns:c16="http://schemas.microsoft.com/office/drawing/2014/chart" uri="{C3380CC4-5D6E-409C-BE32-E72D297353CC}">
              <c16:uniqueId val="{00000000-CA09-4FF0-93E2-5FD59CF4FFF4}"/>
            </c:ext>
          </c:extLst>
        </c:ser>
        <c:dLbls>
          <c:dLblPos val="outEnd"/>
          <c:showLegendKey val="0"/>
          <c:showVal val="1"/>
          <c:showCatName val="0"/>
          <c:showSerName val="0"/>
          <c:showPercent val="0"/>
          <c:showBubbleSize val="0"/>
          <c:showLeaderLines val="1"/>
        </c:dLbls>
        <c:firstSliceAng val="0"/>
      </c:pieChart>
    </c:plotArea>
    <c:legend>
      <c:legendPos val="r"/>
      <c:overlay val="0"/>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35"/>
    </mc:Choice>
    <mc:Fallback>
      <c:style val="35"/>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1.6806951961900154E-2"/>
          <c:y val="2.6264925655830277E-2"/>
          <c:w val="0.95462046204620465"/>
          <c:h val="0.87302810876516546"/>
        </c:manualLayout>
      </c:layout>
      <c:barChart>
        <c:barDir val="col"/>
        <c:grouping val="clustered"/>
        <c:varyColors val="0"/>
        <c:ser>
          <c:idx val="0"/>
          <c:order val="0"/>
          <c:tx>
            <c:strRef>
              <c:f>Лист3!$D$4:$D$5</c:f>
              <c:strCache>
                <c:ptCount val="1"/>
                <c:pt idx="0">
                  <c:v>Импорт Испании из РФ, тыс евро Всего</c:v>
                </c:pt>
              </c:strCache>
            </c:strRef>
          </c:tx>
          <c:invertIfNegative val="0"/>
          <c:dLbls>
            <c:spPr>
              <a:noFill/>
              <a:ln>
                <a:noFill/>
              </a:ln>
              <a:effectLst/>
            </c:spPr>
            <c:txPr>
              <a:bodyPr/>
              <a:lstStyle/>
              <a:p>
                <a:pPr>
                  <a:defRPr sz="1400"/>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Лист3!$E$4:$N$4</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Лист3!$E$5:$N$5</c:f>
              <c:numCache>
                <c:formatCode>0</c:formatCode>
                <c:ptCount val="10"/>
                <c:pt idx="0">
                  <c:v>4576534</c:v>
                </c:pt>
                <c:pt idx="1">
                  <c:v>6113923</c:v>
                </c:pt>
                <c:pt idx="2">
                  <c:v>8452224</c:v>
                </c:pt>
                <c:pt idx="3">
                  <c:v>8065344</c:v>
                </c:pt>
                <c:pt idx="4">
                  <c:v>8231560</c:v>
                </c:pt>
                <c:pt idx="5">
                  <c:v>5943280</c:v>
                </c:pt>
                <c:pt idx="6">
                  <c:v>3331897</c:v>
                </c:pt>
                <c:pt idx="7">
                  <c:v>3083824</c:v>
                </c:pt>
                <c:pt idx="8">
                  <c:v>3165683</c:v>
                </c:pt>
                <c:pt idx="9">
                  <c:v>2953639</c:v>
                </c:pt>
              </c:numCache>
            </c:numRef>
          </c:val>
          <c:extLst>
            <c:ext xmlns:c16="http://schemas.microsoft.com/office/drawing/2014/chart" uri="{C3380CC4-5D6E-409C-BE32-E72D297353CC}">
              <c16:uniqueId val="{00000000-74E0-49E4-BB43-EEBD6350E3D8}"/>
            </c:ext>
          </c:extLst>
        </c:ser>
        <c:dLbls>
          <c:dLblPos val="outEnd"/>
          <c:showLegendKey val="0"/>
          <c:showVal val="1"/>
          <c:showCatName val="0"/>
          <c:showSerName val="0"/>
          <c:showPercent val="0"/>
          <c:showBubbleSize val="0"/>
        </c:dLbls>
        <c:gapWidth val="150"/>
        <c:overlap val="-25"/>
        <c:axId val="151827200"/>
        <c:axId val="151829888"/>
      </c:barChart>
      <c:catAx>
        <c:axId val="151827200"/>
        <c:scaling>
          <c:orientation val="minMax"/>
        </c:scaling>
        <c:delete val="0"/>
        <c:axPos val="b"/>
        <c:numFmt formatCode="General" sourceLinked="1"/>
        <c:majorTickMark val="none"/>
        <c:minorTickMark val="none"/>
        <c:tickLblPos val="nextTo"/>
        <c:crossAx val="151829888"/>
        <c:crosses val="autoZero"/>
        <c:auto val="1"/>
        <c:lblAlgn val="ctr"/>
        <c:lblOffset val="100"/>
        <c:noMultiLvlLbl val="0"/>
      </c:catAx>
      <c:valAx>
        <c:axId val="151829888"/>
        <c:scaling>
          <c:orientation val="minMax"/>
        </c:scaling>
        <c:delete val="1"/>
        <c:axPos val="l"/>
        <c:numFmt formatCode="0" sourceLinked="1"/>
        <c:majorTickMark val="none"/>
        <c:minorTickMark val="none"/>
        <c:tickLblPos val="nextTo"/>
        <c:crossAx val="151827200"/>
        <c:crosses val="autoZero"/>
        <c:crossBetween val="between"/>
        <c:dispUnits>
          <c:builtInUnit val="thousands"/>
          <c:dispUnitsLbl/>
        </c:dispUnits>
      </c:valAx>
      <c:spPr>
        <a:noFill/>
        <a:ln w="25400">
          <a:noFill/>
        </a:ln>
      </c:spPr>
    </c:plotArea>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35"/>
    </mc:Choice>
    <mc:Fallback>
      <c:style val="35"/>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4685032593637026E-2"/>
          <c:y val="4.0489655724941509E-3"/>
          <c:w val="0.95462046204620465"/>
          <c:h val="0.87302810876516546"/>
        </c:manualLayout>
      </c:layout>
      <c:barChart>
        <c:barDir val="col"/>
        <c:grouping val="clustered"/>
        <c:varyColors val="0"/>
        <c:ser>
          <c:idx val="0"/>
          <c:order val="0"/>
          <c:tx>
            <c:strRef>
              <c:f>Лист3!$D$16</c:f>
              <c:strCache>
                <c:ptCount val="1"/>
                <c:pt idx="0">
                  <c:v>Экспорт Испании в РФ, тыс евро</c:v>
                </c:pt>
              </c:strCache>
            </c:strRef>
          </c:tx>
          <c:invertIfNegative val="0"/>
          <c:dLbls>
            <c:spPr>
              <a:noFill/>
              <a:ln>
                <a:noFill/>
              </a:ln>
              <a:effectLst/>
            </c:spPr>
            <c:txPr>
              <a:bodyPr/>
              <a:lstStyle/>
              <a:p>
                <a:pPr>
                  <a:defRPr sz="1400"/>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Лист3!$E$16:$N$16</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Лист3!$E$17:$N$17</c:f>
              <c:numCache>
                <c:formatCode>0</c:formatCode>
                <c:ptCount val="10"/>
                <c:pt idx="0">
                  <c:v>1474937</c:v>
                </c:pt>
                <c:pt idx="1">
                  <c:v>1991354</c:v>
                </c:pt>
                <c:pt idx="2">
                  <c:v>2523685</c:v>
                </c:pt>
                <c:pt idx="3">
                  <c:v>2929209</c:v>
                </c:pt>
                <c:pt idx="4">
                  <c:v>2817749</c:v>
                </c:pt>
                <c:pt idx="5">
                  <c:v>2581989</c:v>
                </c:pt>
                <c:pt idx="6">
                  <c:v>1669024</c:v>
                </c:pt>
                <c:pt idx="7">
                  <c:v>1597053</c:v>
                </c:pt>
                <c:pt idx="8">
                  <c:v>1914007</c:v>
                </c:pt>
                <c:pt idx="9">
                  <c:v>2028635</c:v>
                </c:pt>
              </c:numCache>
            </c:numRef>
          </c:val>
          <c:extLst>
            <c:ext xmlns:c16="http://schemas.microsoft.com/office/drawing/2014/chart" uri="{C3380CC4-5D6E-409C-BE32-E72D297353CC}">
              <c16:uniqueId val="{00000000-942D-474D-BFBE-6976DD9E3578}"/>
            </c:ext>
          </c:extLst>
        </c:ser>
        <c:dLbls>
          <c:dLblPos val="outEnd"/>
          <c:showLegendKey val="0"/>
          <c:showVal val="1"/>
          <c:showCatName val="0"/>
          <c:showSerName val="0"/>
          <c:showPercent val="0"/>
          <c:showBubbleSize val="0"/>
        </c:dLbls>
        <c:gapWidth val="150"/>
        <c:overlap val="-25"/>
        <c:axId val="152762624"/>
        <c:axId val="153457792"/>
      </c:barChart>
      <c:catAx>
        <c:axId val="152762624"/>
        <c:scaling>
          <c:orientation val="minMax"/>
        </c:scaling>
        <c:delete val="0"/>
        <c:axPos val="b"/>
        <c:numFmt formatCode="General" sourceLinked="1"/>
        <c:majorTickMark val="none"/>
        <c:minorTickMark val="none"/>
        <c:tickLblPos val="nextTo"/>
        <c:crossAx val="153457792"/>
        <c:crosses val="autoZero"/>
        <c:auto val="1"/>
        <c:lblAlgn val="ctr"/>
        <c:lblOffset val="100"/>
        <c:noMultiLvlLbl val="0"/>
      </c:catAx>
      <c:valAx>
        <c:axId val="153457792"/>
        <c:scaling>
          <c:orientation val="minMax"/>
        </c:scaling>
        <c:delete val="1"/>
        <c:axPos val="l"/>
        <c:numFmt formatCode="0" sourceLinked="1"/>
        <c:majorTickMark val="none"/>
        <c:minorTickMark val="none"/>
        <c:tickLblPos val="nextTo"/>
        <c:crossAx val="152762624"/>
        <c:crosses val="autoZero"/>
        <c:crossBetween val="between"/>
        <c:dispUnits>
          <c:builtInUnit val="thousands"/>
          <c:dispUnitsLbl/>
        </c:dispUnits>
      </c:valAx>
      <c:spPr>
        <a:noFill/>
        <a:ln w="25400">
          <a:noFill/>
        </a:ln>
      </c:spPr>
    </c:plotArea>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9"/>
    </mc:Choice>
    <mc:Fallback>
      <c:style val="19"/>
    </mc:Fallback>
  </mc:AlternateContent>
  <c:clrMapOvr bg1="lt1" tx1="dk1" bg2="lt2" tx2="dk2" accent1="accent1" accent2="accent2" accent3="accent3" accent4="accent4" accent5="accent5" accent6="accent6" hlink="hlink" folHlink="folHlink"/>
  <c:chart>
    <c:autoTitleDeleted val="1"/>
    <c:plotArea>
      <c:layout/>
      <c:lineChart>
        <c:grouping val="stacked"/>
        <c:varyColors val="0"/>
        <c:ser>
          <c:idx val="0"/>
          <c:order val="0"/>
          <c:tx>
            <c:strRef>
              <c:f>Лист3!$D$8</c:f>
              <c:strCache>
                <c:ptCount val="1"/>
                <c:pt idx="0">
                  <c:v>Доля импортируемой продукции из РФ во всем импорте Испании</c:v>
                </c:pt>
              </c:strCache>
            </c:strRef>
          </c:tx>
          <c:marker>
            <c:symbol val="none"/>
          </c:marker>
          <c:dLbls>
            <c:spPr>
              <a:solidFill>
                <a:schemeClr val="bg1"/>
              </a:solidFill>
              <a:ln>
                <a:solidFill>
                  <a:schemeClr val="tx2"/>
                </a:solidFill>
              </a:ln>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Лист3!$E$4:$N$4</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Лист3!$E$8:$N$8</c:f>
              <c:numCache>
                <c:formatCode>0.00</c:formatCode>
                <c:ptCount val="10"/>
                <c:pt idx="0">
                  <c:v>2.2200112554437834</c:v>
                </c:pt>
                <c:pt idx="1">
                  <c:v>2.5728638950356615</c:v>
                </c:pt>
                <c:pt idx="2">
                  <c:v>3.2446068334207836</c:v>
                </c:pt>
                <c:pt idx="3">
                  <c:v>3.1834222115589035</c:v>
                </c:pt>
                <c:pt idx="4">
                  <c:v>3.290611540956228</c:v>
                </c:pt>
                <c:pt idx="5">
                  <c:v>2.2004775407398314</c:v>
                </c:pt>
                <c:pt idx="6">
                  <c:v>1.1851863840569006</c:v>
                </c:pt>
                <c:pt idx="7">
                  <c:v>1.097354866571896</c:v>
                </c:pt>
                <c:pt idx="8">
                  <c:v>1.0161478825156487</c:v>
                </c:pt>
                <c:pt idx="9">
                  <c:v>0.89884047670745881</c:v>
                </c:pt>
              </c:numCache>
            </c:numRef>
          </c:val>
          <c:smooth val="0"/>
          <c:extLst>
            <c:ext xmlns:c16="http://schemas.microsoft.com/office/drawing/2014/chart" uri="{C3380CC4-5D6E-409C-BE32-E72D297353CC}">
              <c16:uniqueId val="{00000000-F9D3-4CA2-B0D9-83B54BBB2F2B}"/>
            </c:ext>
          </c:extLst>
        </c:ser>
        <c:ser>
          <c:idx val="1"/>
          <c:order val="1"/>
          <c:tx>
            <c:strRef>
              <c:f>Лист3!$D$20</c:f>
              <c:strCache>
                <c:ptCount val="1"/>
                <c:pt idx="0">
                  <c:v>Доля экспортируемой продукции в РФ во всем эксопрте Испании</c:v>
                </c:pt>
              </c:strCache>
            </c:strRef>
          </c:tx>
          <c:marker>
            <c:symbol val="none"/>
          </c:marker>
          <c:dLbls>
            <c:dLbl>
              <c:idx val="7"/>
              <c:layout>
                <c:manualLayout>
                  <c:x val="-4.0619989310529125E-2"/>
                  <c:y val="-3.87168141592920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9D3-4CA2-B0D9-83B54BBB2F2B}"/>
                </c:ext>
              </c:extLst>
            </c:dLbl>
            <c:dLbl>
              <c:idx val="8"/>
              <c:layout>
                <c:manualLayout>
                  <c:x val="-4.2778918548939081E-2"/>
                  <c:y val="-2.75573192239858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D3-4CA2-B0D9-83B54BBB2F2B}"/>
                </c:ext>
              </c:extLst>
            </c:dLbl>
            <c:spPr>
              <a:solidFill>
                <a:schemeClr val="bg1"/>
              </a:solidFill>
              <a:ln>
                <a:solidFill>
                  <a:schemeClr val="accent1"/>
                </a:solidFill>
              </a:ln>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Лист3!$E$4:$N$4</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Лист3!$E$20:$N$20</c:f>
              <c:numCache>
                <c:formatCode>0.00</c:formatCode>
                <c:ptCount val="10"/>
                <c:pt idx="0">
                  <c:v>0.92187069641830688</c:v>
                </c:pt>
                <c:pt idx="1">
                  <c:v>1.0737579045214027</c:v>
                </c:pt>
                <c:pt idx="2">
                  <c:v>1.1788796630352594</c:v>
                </c:pt>
                <c:pt idx="3">
                  <c:v>1.3174985889962705</c:v>
                </c:pt>
                <c:pt idx="4">
                  <c:v>1.2035777772225886</c:v>
                </c:pt>
                <c:pt idx="5">
                  <c:v>1.0572704725841433</c:v>
                </c:pt>
                <c:pt idx="6">
                  <c:v>0.65576778984322082</c:v>
                </c:pt>
                <c:pt idx="7">
                  <c:v>0.60954034938853607</c:v>
                </c:pt>
                <c:pt idx="8">
                  <c:v>0.67634828725210971</c:v>
                </c:pt>
                <c:pt idx="9">
                  <c:v>0.69428568894996989</c:v>
                </c:pt>
              </c:numCache>
            </c:numRef>
          </c:val>
          <c:smooth val="0"/>
          <c:extLst>
            <c:ext xmlns:c16="http://schemas.microsoft.com/office/drawing/2014/chart" uri="{C3380CC4-5D6E-409C-BE32-E72D297353CC}">
              <c16:uniqueId val="{00000003-F9D3-4CA2-B0D9-83B54BBB2F2B}"/>
            </c:ext>
          </c:extLst>
        </c:ser>
        <c:dLbls>
          <c:showLegendKey val="0"/>
          <c:showVal val="1"/>
          <c:showCatName val="0"/>
          <c:showSerName val="0"/>
          <c:showPercent val="0"/>
          <c:showBubbleSize val="0"/>
        </c:dLbls>
        <c:smooth val="0"/>
        <c:axId val="227260672"/>
        <c:axId val="236109824"/>
      </c:lineChart>
      <c:catAx>
        <c:axId val="227260672"/>
        <c:scaling>
          <c:orientation val="minMax"/>
        </c:scaling>
        <c:delete val="0"/>
        <c:axPos val="b"/>
        <c:numFmt formatCode="General" sourceLinked="1"/>
        <c:majorTickMark val="none"/>
        <c:minorTickMark val="none"/>
        <c:tickLblPos val="nextTo"/>
        <c:crossAx val="236109824"/>
        <c:crosses val="autoZero"/>
        <c:auto val="1"/>
        <c:lblAlgn val="ctr"/>
        <c:lblOffset val="100"/>
        <c:noMultiLvlLbl val="0"/>
      </c:catAx>
      <c:valAx>
        <c:axId val="236109824"/>
        <c:scaling>
          <c:orientation val="minMax"/>
        </c:scaling>
        <c:delete val="1"/>
        <c:axPos val="l"/>
        <c:numFmt formatCode="0.00" sourceLinked="1"/>
        <c:majorTickMark val="none"/>
        <c:minorTickMark val="none"/>
        <c:tickLblPos val="nextTo"/>
        <c:crossAx val="227260672"/>
        <c:crosses val="autoZero"/>
        <c:crossBetween val="between"/>
      </c:valAx>
    </c:plotArea>
    <c:legend>
      <c:legendPos val="t"/>
      <c:overlay val="0"/>
    </c:legend>
    <c:plotVisOnly val="1"/>
    <c:dispBlanksAs val="zero"/>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9"/>
    </mc:Choice>
    <mc:Fallback>
      <c:style val="19"/>
    </mc:Fallback>
  </mc:AlternateContent>
  <c:clrMapOvr bg1="lt1" tx1="dk1" bg2="lt2" tx2="dk2" accent1="accent1" accent2="accent2" accent3="accent3" accent4="accent4" accent5="accent5" accent6="accent6" hlink="hlink" folHlink="folHlink"/>
  <c:chart>
    <c:autoTitleDeleted val="1"/>
    <c:plotArea>
      <c:layout/>
      <c:lineChart>
        <c:grouping val="stacked"/>
        <c:varyColors val="0"/>
        <c:ser>
          <c:idx val="1"/>
          <c:order val="0"/>
          <c:tx>
            <c:strRef>
              <c:f>Лист3!$D$21</c:f>
              <c:strCache>
                <c:ptCount val="1"/>
                <c:pt idx="0">
                  <c:v>Доля импортируемой продукции из Испании во всем импорте РФ</c:v>
                </c:pt>
              </c:strCache>
            </c:strRef>
          </c:tx>
          <c:marker>
            <c:symbol val="none"/>
          </c:marker>
          <c:dLbls>
            <c:spPr>
              <a:solidFill>
                <a:schemeClr val="bg1"/>
              </a:solidFill>
              <a:ln>
                <a:solidFill>
                  <a:schemeClr val="accent1"/>
                </a:solidFill>
              </a:ln>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Лист3!$E$4:$N$4</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Лист3!$E$21:$N$21</c:f>
              <c:numCache>
                <c:formatCode>0.00</c:formatCode>
                <c:ptCount val="10"/>
                <c:pt idx="0">
                  <c:v>1.2041395006294491</c:v>
                </c:pt>
                <c:pt idx="1">
                  <c:v>1.1551589223655523</c:v>
                </c:pt>
                <c:pt idx="2">
                  <c:v>1.148374576631338</c:v>
                </c:pt>
                <c:pt idx="3">
                  <c:v>1.1914272654436637</c:v>
                </c:pt>
                <c:pt idx="4">
                  <c:v>1.1883624859318012</c:v>
                </c:pt>
                <c:pt idx="5">
                  <c:v>1.1973194083720036</c:v>
                </c:pt>
                <c:pt idx="6">
                  <c:v>1.0135614392312036</c:v>
                </c:pt>
                <c:pt idx="7">
                  <c:v>0.9697625560834483</c:v>
                </c:pt>
                <c:pt idx="8">
                  <c:v>0.94747184324710898</c:v>
                </c:pt>
                <c:pt idx="9">
                  <c:v>1.0059862288782304</c:v>
                </c:pt>
              </c:numCache>
            </c:numRef>
          </c:val>
          <c:smooth val="0"/>
          <c:extLst>
            <c:ext xmlns:c16="http://schemas.microsoft.com/office/drawing/2014/chart" uri="{C3380CC4-5D6E-409C-BE32-E72D297353CC}">
              <c16:uniqueId val="{00000000-6D13-4801-AF35-434B4A98E7F9}"/>
            </c:ext>
          </c:extLst>
        </c:ser>
        <c:ser>
          <c:idx val="0"/>
          <c:order val="1"/>
          <c:tx>
            <c:strRef>
              <c:f>Лист3!$D$9</c:f>
              <c:strCache>
                <c:ptCount val="1"/>
                <c:pt idx="0">
                  <c:v>Доля экспортируемой продукции в Испанию во всем экспорте РФ</c:v>
                </c:pt>
              </c:strCache>
            </c:strRef>
          </c:tx>
          <c:marker>
            <c:symbol val="none"/>
          </c:marker>
          <c:dLbls>
            <c:spPr>
              <a:solidFill>
                <a:schemeClr val="bg1"/>
              </a:solidFill>
              <a:ln>
                <a:solidFill>
                  <a:schemeClr val="tx2"/>
                </a:solidFill>
              </a:ln>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Лист3!$E$4:$N$4</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Лист3!$E$9:$N$9</c:f>
              <c:numCache>
                <c:formatCode>0.00</c:formatCode>
                <c:ptCount val="10"/>
                <c:pt idx="0">
                  <c:v>2.114861510571715</c:v>
                </c:pt>
                <c:pt idx="1">
                  <c:v>2.0446396473041144</c:v>
                </c:pt>
                <c:pt idx="2">
                  <c:v>2.2771221867449234</c:v>
                </c:pt>
                <c:pt idx="3">
                  <c:v>1.9766335945816011</c:v>
                </c:pt>
                <c:pt idx="4">
                  <c:v>2.073642691092326</c:v>
                </c:pt>
                <c:pt idx="5">
                  <c:v>1.586893478696537</c:v>
                </c:pt>
                <c:pt idx="6">
                  <c:v>1.075401325586073</c:v>
                </c:pt>
                <c:pt idx="7">
                  <c:v>1.1954694394560381</c:v>
                </c:pt>
                <c:pt idx="8">
                  <c:v>0.99575354457547061</c:v>
                </c:pt>
                <c:pt idx="9">
                  <c:v>0.77627684297012789</c:v>
                </c:pt>
              </c:numCache>
            </c:numRef>
          </c:val>
          <c:smooth val="0"/>
          <c:extLst>
            <c:ext xmlns:c16="http://schemas.microsoft.com/office/drawing/2014/chart" uri="{C3380CC4-5D6E-409C-BE32-E72D297353CC}">
              <c16:uniqueId val="{00000001-6D13-4801-AF35-434B4A98E7F9}"/>
            </c:ext>
          </c:extLst>
        </c:ser>
        <c:dLbls>
          <c:showLegendKey val="0"/>
          <c:showVal val="1"/>
          <c:showCatName val="0"/>
          <c:showSerName val="0"/>
          <c:showPercent val="0"/>
          <c:showBubbleSize val="0"/>
        </c:dLbls>
        <c:smooth val="0"/>
        <c:axId val="254698624"/>
        <c:axId val="254700160"/>
      </c:lineChart>
      <c:catAx>
        <c:axId val="254698624"/>
        <c:scaling>
          <c:orientation val="minMax"/>
        </c:scaling>
        <c:delete val="0"/>
        <c:axPos val="b"/>
        <c:numFmt formatCode="General" sourceLinked="1"/>
        <c:majorTickMark val="none"/>
        <c:minorTickMark val="none"/>
        <c:tickLblPos val="nextTo"/>
        <c:crossAx val="254700160"/>
        <c:crosses val="autoZero"/>
        <c:auto val="1"/>
        <c:lblAlgn val="ctr"/>
        <c:lblOffset val="100"/>
        <c:noMultiLvlLbl val="0"/>
      </c:catAx>
      <c:valAx>
        <c:axId val="254700160"/>
        <c:scaling>
          <c:orientation val="minMax"/>
        </c:scaling>
        <c:delete val="1"/>
        <c:axPos val="l"/>
        <c:numFmt formatCode="0.00" sourceLinked="1"/>
        <c:majorTickMark val="none"/>
        <c:minorTickMark val="none"/>
        <c:tickLblPos val="nextTo"/>
        <c:crossAx val="254698624"/>
        <c:crosses val="autoZero"/>
        <c:crossBetween val="between"/>
      </c:valAx>
    </c:plotArea>
    <c:legend>
      <c:legendPos val="t"/>
      <c:overlay val="0"/>
    </c:legend>
    <c:plotVisOnly val="1"/>
    <c:dispBlanksAs val="zero"/>
    <c:showDLblsOverMax val="0"/>
  </c:chart>
  <c:txPr>
    <a:bodyPr/>
    <a:lstStyle/>
    <a:p>
      <a:pPr>
        <a:defRPr sz="12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35"/>
    </mc:Choice>
    <mc:Fallback>
      <c:style val="35"/>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Лист1!$D$15:$H$15</c:f>
              <c:numCache>
                <c:formatCode>General</c:formatCode>
                <c:ptCount val="5"/>
                <c:pt idx="0">
                  <c:v>2013</c:v>
                </c:pt>
                <c:pt idx="1">
                  <c:v>2014</c:v>
                </c:pt>
                <c:pt idx="2">
                  <c:v>2015</c:v>
                </c:pt>
                <c:pt idx="3">
                  <c:v>2016</c:v>
                </c:pt>
                <c:pt idx="4">
                  <c:v>2017</c:v>
                </c:pt>
              </c:numCache>
            </c:numRef>
          </c:cat>
          <c:val>
            <c:numRef>
              <c:f>Лист1!$D$16:$H$16</c:f>
              <c:numCache>
                <c:formatCode>#,##0</c:formatCode>
                <c:ptCount val="5"/>
                <c:pt idx="0">
                  <c:v>147.17016896883223</c:v>
                </c:pt>
                <c:pt idx="1">
                  <c:v>199.7994948892968</c:v>
                </c:pt>
                <c:pt idx="2">
                  <c:v>64.184050792143992</c:v>
                </c:pt>
                <c:pt idx="3">
                  <c:v>61.333557618010943</c:v>
                </c:pt>
                <c:pt idx="4">
                  <c:v>84.265080622892157</c:v>
                </c:pt>
              </c:numCache>
            </c:numRef>
          </c:val>
          <c:extLst>
            <c:ext xmlns:c16="http://schemas.microsoft.com/office/drawing/2014/chart" uri="{C3380CC4-5D6E-409C-BE32-E72D297353CC}">
              <c16:uniqueId val="{00000000-D691-4E17-8B46-C94E3744EDB0}"/>
            </c:ext>
          </c:extLst>
        </c:ser>
        <c:dLbls>
          <c:dLblPos val="outEnd"/>
          <c:showLegendKey val="0"/>
          <c:showVal val="1"/>
          <c:showCatName val="0"/>
          <c:showSerName val="0"/>
          <c:showPercent val="0"/>
          <c:showBubbleSize val="0"/>
        </c:dLbls>
        <c:gapWidth val="150"/>
        <c:overlap val="-25"/>
        <c:axId val="274845056"/>
        <c:axId val="274846848"/>
      </c:barChart>
      <c:catAx>
        <c:axId val="274845056"/>
        <c:scaling>
          <c:orientation val="minMax"/>
        </c:scaling>
        <c:delete val="0"/>
        <c:axPos val="b"/>
        <c:numFmt formatCode="General" sourceLinked="1"/>
        <c:majorTickMark val="none"/>
        <c:minorTickMark val="none"/>
        <c:tickLblPos val="nextTo"/>
        <c:crossAx val="274846848"/>
        <c:crosses val="autoZero"/>
        <c:auto val="1"/>
        <c:lblAlgn val="ctr"/>
        <c:lblOffset val="100"/>
        <c:noMultiLvlLbl val="0"/>
      </c:catAx>
      <c:valAx>
        <c:axId val="274846848"/>
        <c:scaling>
          <c:orientation val="minMax"/>
        </c:scaling>
        <c:delete val="1"/>
        <c:axPos val="l"/>
        <c:numFmt formatCode="#,##0" sourceLinked="1"/>
        <c:majorTickMark val="none"/>
        <c:minorTickMark val="none"/>
        <c:tickLblPos val="nextTo"/>
        <c:crossAx val="274845056"/>
        <c:crosses val="autoZero"/>
        <c:crossBetween val="between"/>
      </c:valAx>
      <c:spPr>
        <a:noFill/>
        <a:ln w="25400">
          <a:noFill/>
        </a:ln>
      </c:spPr>
    </c:plotArea>
    <c:plotVisOnly val="1"/>
    <c:dispBlanksAs val="gap"/>
    <c:showDLblsOverMax val="0"/>
  </c:chart>
  <c:txPr>
    <a:bodyPr/>
    <a:lstStyle/>
    <a:p>
      <a:pPr>
        <a:defRPr sz="1100">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DB4BF-708B-4DBD-B2F5-372936936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5171</TotalTime>
  <Pages>1</Pages>
  <Words>16401</Words>
  <Characters>93487</Characters>
  <Application>Microsoft Office Word</Application>
  <DocSecurity>0</DocSecurity>
  <Lines>779</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Евгения Любимова</cp:lastModifiedBy>
  <cp:revision>57</cp:revision>
  <dcterms:created xsi:type="dcterms:W3CDTF">2019-06-01T10:03:00Z</dcterms:created>
  <dcterms:modified xsi:type="dcterms:W3CDTF">2021-12-09T11:08:00Z</dcterms:modified>
</cp:coreProperties>
</file>