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Калентьев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>оздание реалистичных изображений с солнечными бликами и тенями, направлением света и 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шт)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308ED5D4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ae"/>
        </w:rPr>
        <w:commentReference w:id="9"/>
      </w:r>
      <w:r w:rsidR="00842791" w:rsidRPr="00427310">
        <w:rPr>
          <w:noProof/>
        </w:rPr>
        <w:drawing>
          <wp:inline distT="0" distB="0" distL="0" distR="0" wp14:anchorId="72ADFA88" wp14:editId="6FE654D0">
            <wp:extent cx="5940425" cy="555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1" w:name="_Toc34125504"/>
      <w:bookmarkStart w:id="12" w:name="_Toc36076942"/>
      <w:commentRangeStart w:id="13"/>
      <w:r w:rsidRPr="007C1B59">
        <w:rPr>
          <w:rFonts w:cs="Times New Roman"/>
          <w:szCs w:val="28"/>
        </w:rPr>
        <w:lastRenderedPageBreak/>
        <w:t>Таблица</w:t>
      </w:r>
      <w:commentRangeEnd w:id="13"/>
      <w:r w:rsidR="00DE78DE">
        <w:rPr>
          <w:rStyle w:val="ae"/>
          <w:rFonts w:ascii="Verdana" w:hAnsi="Verdana"/>
          <w:bCs w:val="0"/>
        </w:rPr>
        <w:commentReference w:id="13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RunKompas()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ExtrudElement()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RoundElement()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LengthBox()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WidthBox()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HeigthDress()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WidthDress()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CountDress()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KompasObject()</w:t>
            </w:r>
          </w:p>
        </w:tc>
        <w:tc>
          <w:tcPr>
            <w:tcW w:w="2598" w:type="dxa"/>
            <w:vAlign w:val="center"/>
          </w:tcPr>
          <w:p w14:paraId="6EB70FDC" w14:textId="2310A6EE" w:rsidR="009F0C49" w:rsidRPr="009F0C49" w:rsidRDefault="009F0C49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77" w:type="dxa"/>
            <w:vAlign w:val="center"/>
          </w:tcPr>
          <w:p w14:paraId="7FE86008" w14:textId="5BF9480F" w:rsidR="009F0C49" w:rsidRDefault="009F0C49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DresserCreator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1"/>
      <w:bookmarkEnd w:id="12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4A8ADCAC" w14:textId="35215ABF" w:rsidR="00A3625A" w:rsidRPr="00842791" w:rsidRDefault="00A3625A" w:rsidP="00292B4F">
      <w:pPr>
        <w:pStyle w:val="af"/>
      </w:pPr>
      <w:r>
        <w:rPr>
          <w:rStyle w:val="ae"/>
        </w:rPr>
        <w:annotationRef/>
      </w:r>
      <w:r>
        <w:rPr>
          <w:lang w:val="en-US"/>
        </w:rPr>
        <w:t>KompasAPI</w:t>
      </w:r>
      <w:r w:rsidRPr="00842791">
        <w:t xml:space="preserve"> – </w:t>
      </w:r>
      <w:r>
        <w:rPr>
          <w:lang w:val="en-US"/>
        </w:rPr>
        <w:t>KompasObject</w:t>
      </w:r>
      <w:r w:rsidRPr="00842791">
        <w:t xml:space="preserve"> – </w:t>
      </w:r>
      <w:r>
        <w:t>свойство</w:t>
      </w:r>
      <w:r w:rsidRPr="00842791">
        <w:t>.</w:t>
      </w:r>
    </w:p>
  </w:comment>
  <w:comment w:id="13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2D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ADCAC" w16cid:durableId="2575A2D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D08AF" w14:textId="77777777" w:rsidR="00B44BAB" w:rsidRDefault="00B44BAB" w:rsidP="00AD58B0">
      <w:pPr>
        <w:spacing w:after="0" w:line="240" w:lineRule="auto"/>
      </w:pPr>
      <w:r>
        <w:separator/>
      </w:r>
    </w:p>
  </w:endnote>
  <w:endnote w:type="continuationSeparator" w:id="0">
    <w:p w14:paraId="773F9452" w14:textId="77777777" w:rsidR="00B44BAB" w:rsidRDefault="00B44BAB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2045A" w14:textId="77777777" w:rsidR="00B44BAB" w:rsidRDefault="00B44BAB" w:rsidP="00AD58B0">
      <w:pPr>
        <w:spacing w:after="0" w:line="240" w:lineRule="auto"/>
      </w:pPr>
      <w:r>
        <w:separator/>
      </w:r>
    </w:p>
  </w:footnote>
  <w:footnote w:type="continuationSeparator" w:id="0">
    <w:p w14:paraId="649C03EB" w14:textId="77777777" w:rsidR="00B44BAB" w:rsidRDefault="00B44BAB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E5F1D"/>
    <w:rsid w:val="004F33E1"/>
    <w:rsid w:val="00503775"/>
    <w:rsid w:val="00504BA4"/>
    <w:rsid w:val="0051397B"/>
    <w:rsid w:val="005161E6"/>
    <w:rsid w:val="0053574C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42791"/>
    <w:rsid w:val="00877768"/>
    <w:rsid w:val="008917BA"/>
    <w:rsid w:val="008D6ED1"/>
    <w:rsid w:val="008E12C5"/>
    <w:rsid w:val="009314F1"/>
    <w:rsid w:val="00951D77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2357</Words>
  <Characters>13440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9</cp:revision>
  <dcterms:created xsi:type="dcterms:W3CDTF">2021-12-27T13:35:00Z</dcterms:created>
  <dcterms:modified xsi:type="dcterms:W3CDTF">2021-12-28T08:11:00Z</dcterms:modified>
</cp:coreProperties>
</file>