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C7867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>中小微企业应收账款风险预警与ESG加权AI智能催收排程系统</w:t>
      </w:r>
    </w:p>
    <w:p w14:paraId="07551FAB">
      <w:pPr>
        <w:jc w:val="both"/>
        <w:rPr>
          <w:rFonts w:hint="eastAsia" w:eastAsiaTheme="minorEastAsia"/>
          <w:b/>
          <w:bCs/>
          <w:sz w:val="24"/>
          <w:szCs w:val="32"/>
          <w:lang w:val="en-US" w:eastAsia="zh-CN"/>
        </w:rPr>
      </w:pPr>
    </w:p>
    <w:p w14:paraId="06E49A89">
      <w:pPr>
        <w:jc w:val="both"/>
        <w:rPr>
          <w:rFonts w:hint="eastAsia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 w:eastAsiaTheme="minorEastAsia"/>
          <w:b/>
          <w:bCs/>
          <w:sz w:val="24"/>
          <w:szCs w:val="32"/>
          <w:lang w:val="en-US" w:eastAsia="zh-CN"/>
        </w:rPr>
        <w:t>痛点描述：</w:t>
      </w:r>
      <w:r>
        <w:rPr>
          <w:rFonts w:hint="eastAsia"/>
          <w:b/>
          <w:bCs/>
          <w:sz w:val="24"/>
          <w:szCs w:val="32"/>
          <w:lang w:val="en-US" w:eastAsia="zh-CN"/>
        </w:rPr>
        <w:t>（https://qiyejia.my/article/8937）</w:t>
      </w:r>
    </w:p>
    <w:p w14:paraId="2DDD4E58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客户货款逾期拖欠，是马来西亚中小微企业面临的重大现金流威胁。马来西亚国家银行（BNM）金融稳定报告指出，客户付款延迟是造成中小企业现金流承压的重要诱因。多家马来西亚行业调研显示，超过半数本地 B2B 中小商家受到客户逾期付款的显著影响，B2B 商业账单普遍存在 30‑60 天的逾期周期。</w:t>
      </w:r>
    </w:p>
    <w:p w14:paraId="3C5BBB2E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本地小微商家大多依靠 Excel、WhatsApp 手工跟进回款工作，耗费大量人力；面对多笔到期欠款，难以客观区分客户催收优先级。部分合作客户存在失信、劳工、环保处罚等经营问题，潜藏较高坏账风险。马来西亚普通 B2B 商业缺少强制逾期处罚法规，诉讼时间与金钱成本高，企业大多只能依靠商务协商处理回款。</w:t>
      </w:r>
    </w:p>
    <w:p w14:paraId="1C9D75C7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F0952B">
      <w:p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大致流程：</w:t>
      </w:r>
    </w:p>
    <w:p w14:paraId="3B89EFA5">
      <w:p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①触发业务事件：系统自动监测多笔应收账单集中到期，企业现金流承压；也支持页面按钮手动模拟触发完整工作流</w:t>
      </w:r>
    </w:p>
    <w:p w14:paraId="5B9565D8">
      <w:p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②拉取关联业务数据：读取合成模拟数据：可用现金余额、客户应收账单金额、到期日、逾期罚息率、客户业务重要等级、客户 ESG 评级 (A/B/C)</w:t>
      </w:r>
    </w:p>
    <w:p w14:paraId="14E445A0">
      <w:p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③AI 决策逻辑（核心加权算法自动计算 + AI 自动化增强，AI 不做最终财务决策）</w:t>
      </w:r>
    </w:p>
    <w:p w14:paraId="6EC1E6F0">
      <w:p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系统内置四维加权评分算法，基于逾期罚息、客户业务重要度、到期紧急度、客户 ESG 经营风险自动计算现金流风险等级，自动输出催收优先级方案，区分【加紧催收】/【可协商延期】，此部分由代码自动完成，不依赖大模型。GenAI 作为自动化增强组件：基于已算出的排程结果，自动完成风险归因解读、生成多套可选协商策略、输出英文 + 马来文双语商务沟通文案与 ESG 坏账风险提示。容错设计：AI 服务不可用时启用内置备用模板，核心催收排程自动化不受影响。所有 AI 输出均为建议，需经人工审批。</w:t>
      </w:r>
    </w:p>
    <w:p w14:paraId="0AADED6E">
      <w:p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④人工审批：弹窗展示算法输出的排程方案与 AI 生成的风险解读、多套协商策略；支持人工手动调整催收优先级、修改沟通话术；可选择确认执行，或是延后重新运算。关键操作必须经过商家人工掌控。</w:t>
      </w:r>
    </w:p>
    <w:p w14:paraId="02FAB080">
      <w:p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⑤输出可见结果 + 审计日志留存：展示最终催收排程方案、ESG 风控结论；所有 AI 输出、人工修改、审批、ESG 凭证审核操作全部完整记录审计日志，满足可追溯要求。</w:t>
      </w:r>
      <w:r>
        <w:rPr>
          <w:rFonts w:hint="eastAsia"/>
          <w:sz w:val="24"/>
          <w:szCs w:val="32"/>
          <w:lang w:val="en-US" w:eastAsia="zh-CN"/>
        </w:rPr>
        <w:br w:type="textWrapping"/>
      </w:r>
    </w:p>
    <w:p w14:paraId="0FFE36B1">
      <w:p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创新描述：</w:t>
      </w:r>
    </w:p>
    <w:p w14:paraId="0E11840D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本系统参考马来西亚 SEDG（Simplified ESG Disclosure Guide，供应链中小企业简化 ESG 披露指南）官方指标，把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32"/>
          <w:lang w:val="en-US" w:eastAsia="zh-CN"/>
        </w:rPr>
        <w:t>客户 ESG 经营风险纳入催收优先级决策，设置独立认证员角色完成凭证审核，避免单纯依靠企业自主填报带来的失真问题，适配马来西亚中小客户普遍缺乏第三方 ESG 证书的现实，AI 仅输出催收策略建议与英、马来双语沟通文案，将最终财务决策权限交给人工审批，规避 AI 直接处理财务决策的风险，整体采用轻量化实现思路，MVP 模拟角色切换与凭证审核流程，完整的账号权限、文件真伪校验能力放在后续版本迭代，降低本地中小企业使用成本，构建起风险预警‑AI 催收排程‑人工审批‑审计留痕的完整业务闭环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。</w:t>
      </w:r>
    </w:p>
    <w:p w14:paraId="19B94C01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7A3253CB">
      <w:p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SDG：</w:t>
      </w:r>
    </w:p>
    <w:p w14:paraId="1B3A2BE3">
      <w:p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SDG8、SDG9、SDG12、SDG17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6D7B08"/>
    <w:rsid w:val="4BD94A55"/>
    <w:rsid w:val="4EC4476B"/>
    <w:rsid w:val="4F644771"/>
    <w:rsid w:val="6DA547F4"/>
    <w:rsid w:val="79F7010D"/>
    <w:rsid w:val="7EBF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908</Words>
  <Characters>1042</Characters>
  <Lines>0</Lines>
  <Paragraphs>0</Paragraphs>
  <TotalTime>41</TotalTime>
  <ScaleCrop>false</ScaleCrop>
  <LinksUpToDate>false</LinksUpToDate>
  <CharactersWithSpaces>1094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2026-10-20T02:36:00Z</dcterms:created>
  <dc:creator>a</dc:creator>
  <cp:lastModifiedBy>WPS_1667742562</cp:lastModifiedBy>
  <dcterms:modified xsi:type="dcterms:W3CDTF">2026-10-20T12:44:00Z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eyJoZGlkIjoiOWI2ZDg5ZTEwYjA0NmQ2ZGRiMTliMTk5NzlmMWNmZDkiLCJ1c2VySWQiOiIxNDM3OTMxODAxIn0=</vt:lpwstr>
  </property>
  <property fmtid="{D5CDD505-2E9C-101B-9397-08002B2CF9AE}" pid="4" name="ICV">
    <vt:lpwstr>D79634B0276742AB8D586E665D28BBC3_12</vt:lpwstr>
  </property>
</Properties>
</file>