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color w:val="000000"/>
        </w:rPr>
        <w:t>A2 对 AI 排查报告的审阅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采信报告前我会做什么</w:t>
      </w:r>
    </w:p>
    <w:p>
      <w:r>
        <w:rPr>
          <w:rFonts w:ascii="Arial Unicode MS" w:hAnsi="Arial Unicode MS" w:eastAsia="Arial Unicode MS" w:cs="Arial Unicode MS"/>
          <w:color w:val="000000"/>
        </w:rPr>
        <w:t>我不会直接采用报告并启动一周重写，而会先按发布的实际链路逐个节点核对。第一步是直接请求生产接口，检查响应里有没有第 46 条：没有，就查发布、部署或 CDN；有，再进入客户端排查。</w:t>
      </w:r>
    </w:p>
    <w:p>
      <w:r>
        <w:rPr>
          <w:rFonts w:ascii="Arial Unicode MS" w:hAnsi="Arial Unicode MS" w:eastAsia="Arial Unicode MS" w:cs="Arial Unicode MS"/>
          <w:color w:val="000000"/>
        </w:rPr>
        <w:t>服务端文件有 46 条、本地缓存有 45 条、两边 updatedAt 相同，不能直接证明远端快照被丢弃。需要沿链路确认问题发生在哪里，区分整份快照未被采用，与解析校验、成员准入、可见性过滤或字段覆盖造成的结果。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报告的问题在哪里</w:t>
      </w:r>
    </w:p>
    <w:p>
      <w:r>
        <w:rPr>
          <w:rFonts w:ascii="Arial Unicode MS" w:hAnsi="Arial Unicode MS" w:eastAsia="Arial Unicode MS" w:cs="Arial Unicode MS"/>
          <w:color w:val="000000"/>
        </w:rPr>
        <w:t>首先，报告把数量差异和相同的版本标识，直接推成了客户端丢弃远端配置，没有把中间链路核对清楚。报告所说的“丢弃”是整份快照未采用，不能与某条模型被过滤混为一谈。</w:t>
      </w:r>
    </w:p>
    <w:p>
      <w:r>
        <w:rPr>
          <w:rFonts w:ascii="Arial Unicode MS" w:hAnsi="Arial Unicode MS" w:eastAsia="Arial Unicode MS" w:cs="Arial Unicode MS"/>
          <w:color w:val="000000"/>
        </w:rPr>
        <w:t>其次，“静默丢弃”不准确。代码中已有冲突告警，测试也断言了这条日志，缺少的是把告警接到运营能看到的指标上。</w:t>
      </w:r>
    </w:p>
    <w:p>
      <w:r>
        <w:rPr>
          <w:rFonts w:ascii="Arial Unicode MS" w:hAnsi="Arial Unicode MS" w:eastAsia="Arial Unicode MS" w:cs="Arial Unicode MS"/>
          <w:color w:val="000000"/>
        </w:rPr>
        <w:t>另外，updatedAt 是版本标识。同版本不同内容是非法重发，发布侧必须提高版本向前修复（forward-fix）。因此，客户端拒绝可能是在执行发布契约，不能直接认定是加载逻辑缺陷，更不能据此直接启动一周重写。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为什么不直接采用 AI 的改法</w:t>
      </w:r>
    </w:p>
    <w:p>
      <w:r>
        <w:rPr>
          <w:rFonts w:ascii="Arial Unicode MS" w:hAnsi="Arial Unicode MS" w:eastAsia="Arial Unicode MS" w:cs="Arial Unicode MS"/>
          <w:color w:val="000000"/>
        </w:rPr>
        <w:t>如果问题实际发生在解析、可见性过滤或覆盖链，移除版本比较仍然不能解决用户看不到模型的问题。</w:t>
      </w:r>
    </w:p>
    <w:p>
      <w:r>
        <w:rPr>
          <w:rFonts w:ascii="Arial Unicode MS" w:hAnsi="Arial Unicode MS" w:eastAsia="Arial Unicode MS" w:cs="Arial Unicode MS"/>
          <w:color w:val="000000"/>
        </w:rPr>
        <w:t>即使确实是这个比较阻止了更新，在没有下游过滤的前提下，修改后可能让界面更新，但也会引入附带风险：该比较同时用于启动期 LKG 选择和在线刷新，还承担回滚保护、冲突检测及 V5/V6 升级路径。删除它会放开旧副本和已退休模型；逐字段深比较还会让 defaultEnabled、retired 这类可见性字段被旧值覆盖。我认为这不符合设计的安全逻辑。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我的处理方案</w:t>
      </w:r>
    </w:p>
    <w:p>
      <w:r>
        <w:rPr>
          <w:rFonts w:ascii="Arial Unicode MS" w:hAnsi="Arial Unicode MS" w:eastAsia="Arial Unicode MS" w:cs="Arial Unicode MS"/>
          <w:color w:val="000000"/>
        </w:rPr>
        <w:t>先按实际发布链路定位，再由发布侧提高 revision，遵守同版本内容不可变的契约；增加 CI 断言，并把已有冲突告警接到运营可见的指标上。不能为了让一次更新生效，直接移除客户端已有的版本保护。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69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69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 w:before="0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 对 AI 排查报告的审阅</dc:title>
  <dc:subject/>
  <dc:creator>李岩泽</dc:creator>
  <cp:keywords/>
  <dc:description>generated by python-docx</dc:description>
  <cp:lastModifiedBy>李岩泽（AI 辅助整理）</cp:lastModifiedBy>
  <cp:revision>1</cp:revision>
  <dcterms:created xsi:type="dcterms:W3CDTF">2013-12-23T23:15:00Z</dcterms:created>
  <dcterms:modified xsi:type="dcterms:W3CDTF">2013-12-23T23:15:00Z</dcterms:modified>
  <cp:category/>
</cp:coreProperties>
</file>