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部署计划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一、部署目标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在目标服务器稳定运行后端+前端，可被访问。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二、部署架构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浏览器 → 反向代理 → 前端静态/Vite；/api → FastAPI 后端(8000) → SQLite 与 DeepSeek API。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三、部署步骤</w:t>
      </w:r>
    </w:p>
    <w:p>
      <w:r>
        <w:rPr>
          <w:rFonts w:ascii="宋体" w:hAnsi="宋体" w:eastAsia="宋体"/>
          <w:b w:val="0"/>
          <w:i w:val="0"/>
          <w:sz w:val="22"/>
        </w:rPr>
        <w:t>配置 Python3.13 + Node22；</w:t>
      </w:r>
    </w:p>
    <w:p>
      <w:r>
        <w:rPr>
          <w:rFonts w:ascii="宋体" w:hAnsi="宋体" w:eastAsia="宋体"/>
          <w:b w:val="0"/>
          <w:i w:val="0"/>
          <w:sz w:val="22"/>
        </w:rPr>
        <w:t>后端：uv pip install -r requirements.txt，配置 .env 填 Key；</w:t>
      </w:r>
    </w:p>
    <w:p>
      <w:r>
        <w:rPr>
          <w:rFonts w:ascii="宋体" w:hAnsi="宋体" w:eastAsia="宋体"/>
          <w:b w:val="0"/>
          <w:i w:val="0"/>
          <w:sz w:val="22"/>
        </w:rPr>
        <w:t>前端：npm install &amp;&amp; npm run build，产物 dist/；</w:t>
      </w:r>
    </w:p>
    <w:p>
      <w:r>
        <w:rPr>
          <w:rFonts w:ascii="宋体" w:hAnsi="宋体" w:eastAsia="宋体"/>
          <w:b w:val="0"/>
          <w:i w:val="0"/>
          <w:sz w:val="22"/>
        </w:rPr>
        <w:t>uvicorn 启动后端；反向代理转发静态与 /api；</w:t>
      </w:r>
    </w:p>
    <w:p>
      <w:r>
        <w:rPr>
          <w:rFonts w:ascii="宋体" w:hAnsi="宋体" w:eastAsia="宋体"/>
          <w:b w:val="0"/>
          <w:i w:val="0"/>
          <w:sz w:val="22"/>
        </w:rPr>
        <w:t>配置 CORS 允许前端来源。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四、配置项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.env：LLM_PROVIDER/API_BASE/API_KEY/MODEL；端口 8000；数据 data/ 需持久化。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五、Docker 与回滚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可选 Docker 部署（注意国内镜像源）；备份 data/；保留旧版 dist 便于回滚。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