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测试报告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一、测试结论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核心功能通过，达到选题基本验收指标。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二、用例执行结果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用例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结果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上传CSV/Excel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返回table_id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各区域销售额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华东309k/华南257k/华北230k+柱状图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极简追问一月呢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补全后真实120000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剔除华东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华南257000/华北230000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导出docx/pdf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docx约49KB/pdf约22KB含图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审计分页+关键字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过滤正常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沙箱危险import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os/subprocess被拦截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T08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单行概述不出图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charts=[]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三、性能与安全指标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端到端正确率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≥85%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抽测通过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代码一次通过率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≥70%(反思后≥90%)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反思机制生效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百万行查询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&lt;3s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待真压测(TBD)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沙箱逃逸拦截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通过危险import/超时用例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四、发现问题与处理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追问编造数据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已修复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改为沙箱重跑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不需图也出图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已修复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加必要性判断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导出中文文件名报错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已修复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RFC5987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审计trace_id覆盖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已修复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export用独立uuid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五、运行截图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（插入关键运行截图：上传/分析结果/审计页/导出报告。）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六、结论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系统功能与安全验收达标，可进入交付。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