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7137" w14:textId="77777777" w:rsidR="00B13AC9" w:rsidRDefault="00B13AC9" w:rsidP="00B13AC9">
      <w:pPr>
        <w:pStyle w:val="Heading2"/>
        <w:rPr>
          <w:rFonts w:hint="eastAsia"/>
        </w:rPr>
      </w:pPr>
      <w:r>
        <w:t>INTENZÍV OSZTÁLYON SZERZETT INFEKCIÓK</w:t>
      </w:r>
    </w:p>
    <w:p w14:paraId="2D7541AB" w14:textId="77777777" w:rsidR="00B13AC9" w:rsidRPr="003D065F" w:rsidRDefault="00B13AC9" w:rsidP="00B13AC9">
      <w:pPr>
        <w:rPr>
          <w:rFonts w:ascii="Rubik Bold" w:hAnsi="Rubik Bold" w:hint="eastAsia"/>
          <w:color w:val="F1A983" w:themeColor="accent2" w:themeTint="99"/>
          <w:sz w:val="36"/>
          <w:szCs w:val="36"/>
        </w:rPr>
      </w:pPr>
      <w:r w:rsidRPr="003D065F">
        <w:rPr>
          <w:rFonts w:ascii="Rubik Bold" w:hAnsi="Rubik Bold"/>
          <w:color w:val="F1A983" w:themeColor="accent2" w:themeTint="99"/>
          <w:sz w:val="36"/>
          <w:szCs w:val="36"/>
        </w:rPr>
        <w:t>INFEKTOLÓGIAI MENEDZSMENT AZ INTEN</w:t>
      </w:r>
      <w:r>
        <w:rPr>
          <w:rFonts w:ascii="Rubik Bold" w:hAnsi="Rubik Bold"/>
          <w:color w:val="F1A983" w:themeColor="accent2" w:themeTint="99"/>
          <w:sz w:val="36"/>
          <w:szCs w:val="36"/>
        </w:rPr>
        <w:t>Z</w:t>
      </w:r>
      <w:r w:rsidRPr="003D065F">
        <w:rPr>
          <w:rFonts w:ascii="Rubik Bold" w:hAnsi="Rubik Bold"/>
          <w:color w:val="F1A983" w:themeColor="accent2" w:themeTint="99"/>
          <w:sz w:val="36"/>
          <w:szCs w:val="36"/>
        </w:rPr>
        <w:t>ÍV OSZTÁLYON</w:t>
      </w:r>
    </w:p>
    <w:p w14:paraId="06650C2D" w14:textId="77777777" w:rsidR="00B13AC9" w:rsidRDefault="00B13AC9" w:rsidP="00B13AC9"/>
    <w:p w14:paraId="6D90BFA9" w14:textId="77777777" w:rsidR="00B13AC9" w:rsidRPr="0080044C" w:rsidRDefault="00B13AC9" w:rsidP="00B13AC9">
      <w:pPr>
        <w:jc w:val="both"/>
        <w:rPr>
          <w:i/>
          <w:iCs/>
          <w:sz w:val="24"/>
          <w:szCs w:val="24"/>
        </w:rPr>
      </w:pPr>
      <w:r w:rsidRPr="0080044C">
        <w:rPr>
          <w:i/>
          <w:iCs/>
          <w:sz w:val="24"/>
          <w:szCs w:val="24"/>
        </w:rPr>
        <w:t xml:space="preserve">A betegeink infektológiai menedzsmentjének pillére a </w:t>
      </w:r>
      <w:r w:rsidRPr="0080044C">
        <w:rPr>
          <w:b/>
          <w:bCs/>
          <w:i/>
          <w:iCs/>
          <w:sz w:val="24"/>
          <w:szCs w:val="24"/>
        </w:rPr>
        <w:t>mintavétel</w:t>
      </w:r>
      <w:r w:rsidRPr="0080044C">
        <w:rPr>
          <w:i/>
          <w:iCs/>
          <w:sz w:val="24"/>
          <w:szCs w:val="24"/>
        </w:rPr>
        <w:t xml:space="preserve">, </w:t>
      </w:r>
      <w:r w:rsidRPr="0080044C">
        <w:rPr>
          <w:b/>
          <w:bCs/>
          <w:i/>
          <w:iCs/>
          <w:sz w:val="24"/>
          <w:szCs w:val="24"/>
        </w:rPr>
        <w:t>empírikus kezelés</w:t>
      </w:r>
      <w:r w:rsidRPr="0080044C">
        <w:rPr>
          <w:i/>
          <w:iCs/>
          <w:sz w:val="24"/>
          <w:szCs w:val="24"/>
        </w:rPr>
        <w:t xml:space="preserve"> és eredményekkel 3-5 nap múlva </w:t>
      </w:r>
      <w:r w:rsidRPr="0080044C">
        <w:rPr>
          <w:b/>
          <w:bCs/>
          <w:i/>
          <w:iCs/>
          <w:sz w:val="24"/>
          <w:szCs w:val="24"/>
        </w:rPr>
        <w:t>ismételt átnézés</w:t>
      </w:r>
      <w:r w:rsidRPr="0080044C">
        <w:rPr>
          <w:i/>
          <w:iCs/>
          <w:sz w:val="24"/>
          <w:szCs w:val="24"/>
        </w:rPr>
        <w:t>. Alábbiak csak általános iránymutatások, melyek figyelembe veszik a helyi rezisztencia viszonyokat és a mikrobiológiai laboratóriumunk gyors turnover idejét.</w:t>
      </w:r>
    </w:p>
    <w:p w14:paraId="6515A1C4" w14:textId="77777777" w:rsidR="00B13AC9" w:rsidRDefault="00B13AC9" w:rsidP="00B13AC9">
      <w:pPr>
        <w:pStyle w:val="Heading2"/>
        <w:rPr>
          <w:rFonts w:hint="eastAsia"/>
        </w:rPr>
      </w:pPr>
      <w:r>
        <w:rPr>
          <w:noProof/>
        </w:rPr>
        <w:drawing>
          <wp:anchor distT="0" distB="0" distL="114300" distR="114300" simplePos="0" relativeHeight="251659264" behindDoc="0" locked="0" layoutInCell="1" allowOverlap="1" wp14:anchorId="32A4F9CA" wp14:editId="7E0F92B8">
            <wp:simplePos x="0" y="0"/>
            <wp:positionH relativeFrom="margin">
              <wp:posOffset>420052</wp:posOffset>
            </wp:positionH>
            <wp:positionV relativeFrom="paragraph">
              <wp:posOffset>115570</wp:posOffset>
            </wp:positionV>
            <wp:extent cx="4837523" cy="6839809"/>
            <wp:effectExtent l="0" t="0" r="1270" b="0"/>
            <wp:wrapNone/>
            <wp:docPr id="1146876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37523" cy="68398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EBC149" w14:textId="77777777" w:rsidR="00B13AC9" w:rsidRDefault="00B13AC9" w:rsidP="00B13AC9"/>
    <w:p w14:paraId="3462C245" w14:textId="77777777" w:rsidR="00B13AC9" w:rsidRDefault="00B13AC9" w:rsidP="00B13AC9">
      <w:pPr>
        <w:rPr>
          <w:rFonts w:ascii="Rubik Bold" w:eastAsiaTheme="majorEastAsia" w:hAnsi="Rubik Bold" w:cs="Rubik Black" w:hint="eastAsia"/>
          <w:sz w:val="32"/>
          <w:szCs w:val="32"/>
          <w:u w:val="single"/>
        </w:rPr>
      </w:pPr>
      <w:r>
        <w:rPr>
          <w:rFonts w:hint="eastAsia"/>
        </w:rPr>
        <w:br w:type="page"/>
      </w:r>
    </w:p>
    <w:p w14:paraId="4BC3A61C" w14:textId="77777777" w:rsidR="00B13AC9" w:rsidRDefault="00B13AC9" w:rsidP="00B13AC9">
      <w:pPr>
        <w:pStyle w:val="Heading3"/>
        <w:rPr>
          <w:rFonts w:hint="eastAsia"/>
        </w:rPr>
      </w:pPr>
      <w:r w:rsidRPr="00976AFD">
        <w:lastRenderedPageBreak/>
        <w:t>1.</w:t>
      </w:r>
      <w:r>
        <w:t xml:space="preserve"> MINTAVÉTEL</w:t>
      </w:r>
    </w:p>
    <w:p w14:paraId="2BC8603B" w14:textId="77777777" w:rsidR="00B13AC9" w:rsidRPr="005240F4" w:rsidRDefault="00B13AC9" w:rsidP="00B13AC9"/>
    <w:p w14:paraId="41208C07" w14:textId="77777777" w:rsidR="00B13AC9" w:rsidRPr="005240F4" w:rsidRDefault="00B13AC9" w:rsidP="00B13AC9">
      <w:pPr>
        <w:pStyle w:val="Heading4"/>
      </w:pPr>
      <w:r w:rsidRPr="005240F4">
        <w:t>DIAGNOSZTIKUS MINTAVÉTEL – infekció gyanújakor</w:t>
      </w:r>
    </w:p>
    <w:p w14:paraId="18A8C528" w14:textId="77777777" w:rsidR="00B13AC9" w:rsidRPr="005240F4" w:rsidRDefault="00B13AC9" w:rsidP="00B13AC9">
      <w:pPr>
        <w:pStyle w:val="Heading4"/>
        <w:rPr>
          <w:rFonts w:cs="Rubik"/>
        </w:rPr>
      </w:pPr>
      <w:r w:rsidRPr="005240F4">
        <w:rPr>
          <w:rFonts w:cs="Rubik"/>
        </w:rPr>
        <w:t>A mintavétel nem csak célzott antibiotikus kezelést tesz lehetővé, de információt adhat a fertőzés biztossága és az infekció forrása tekintetében is és az antibiotikum választáson túl is releváns a kezelés szempontjából.</w:t>
      </w:r>
    </w:p>
    <w:p w14:paraId="1DA0567E" w14:textId="77777777" w:rsidR="00B13AC9" w:rsidRDefault="00B13AC9" w:rsidP="00B13AC9">
      <w:pPr>
        <w:pStyle w:val="ListParagraph"/>
        <w:numPr>
          <w:ilvl w:val="0"/>
          <w:numId w:val="14"/>
        </w:numPr>
      </w:pPr>
      <w:r>
        <w:t>ANTIBIOTIKUM ADÁSA ELŐTT</w:t>
      </w:r>
    </w:p>
    <w:p w14:paraId="2B22D3C6" w14:textId="77777777" w:rsidR="00B13AC9" w:rsidRDefault="00B13AC9" w:rsidP="00B13AC9">
      <w:pPr>
        <w:pStyle w:val="ListParagraph"/>
        <w:numPr>
          <w:ilvl w:val="0"/>
          <w:numId w:val="14"/>
        </w:numPr>
      </w:pPr>
      <w:r>
        <w:t>2 pár hemokultúra (1 pár frissen szúrt, 1 pár CVK-ból)</w:t>
      </w:r>
    </w:p>
    <w:p w14:paraId="72232F04" w14:textId="77777777" w:rsidR="00B13AC9" w:rsidRDefault="00B13AC9" w:rsidP="00B13AC9">
      <w:pPr>
        <w:pStyle w:val="ListParagraph"/>
        <w:numPr>
          <w:ilvl w:val="0"/>
          <w:numId w:val="14"/>
        </w:numPr>
      </w:pPr>
      <w:r>
        <w:t>az infekció feltételezett helyéről (pl. trachea)</w:t>
      </w:r>
    </w:p>
    <w:p w14:paraId="4ACF8F5C" w14:textId="77777777" w:rsidR="00B13AC9" w:rsidRDefault="00B13AC9" w:rsidP="00B13AC9">
      <w:pPr>
        <w:pStyle w:val="ListParagraph"/>
        <w:numPr>
          <w:ilvl w:val="0"/>
          <w:numId w:val="14"/>
        </w:numPr>
      </w:pPr>
      <w:r>
        <w:t>Nem szükséges mintát venni olyan helyről, amit nem gondolsz infekció forrásának (pl. katéter, szűrő torok)</w:t>
      </w:r>
    </w:p>
    <w:p w14:paraId="17BB8D46" w14:textId="77777777" w:rsidR="00B13AC9" w:rsidRDefault="00B13AC9" w:rsidP="00B13AC9">
      <w:pPr>
        <w:pStyle w:val="Heading4"/>
      </w:pPr>
      <w:r>
        <w:t>SZŰRŐ MINTAVÉTEL</w:t>
      </w:r>
    </w:p>
    <w:p w14:paraId="11276989" w14:textId="77777777" w:rsidR="00B13AC9" w:rsidRPr="005240F4" w:rsidRDefault="00B13AC9" w:rsidP="00B13AC9">
      <w:r>
        <w:t>Ennek elsődleges célja audit, illetve multirezisztens kórokozó esetén a beteg elkülönítése.</w:t>
      </w:r>
    </w:p>
    <w:p w14:paraId="30085B9A" w14:textId="77777777" w:rsidR="00B13AC9" w:rsidRDefault="00B13AC9" w:rsidP="00B13AC9">
      <w:pPr>
        <w:pStyle w:val="ListParagraph"/>
        <w:numPr>
          <w:ilvl w:val="0"/>
          <w:numId w:val="15"/>
        </w:numPr>
      </w:pPr>
      <w:r>
        <w:t>Felvételkor és minden hétfőn (hetente csak egyszer)</w:t>
      </w:r>
    </w:p>
    <w:p w14:paraId="4BAEEA94" w14:textId="77777777" w:rsidR="00B13AC9" w:rsidRDefault="00B13AC9" w:rsidP="00B13AC9">
      <w:pPr>
        <w:pStyle w:val="ListParagraph"/>
        <w:numPr>
          <w:ilvl w:val="0"/>
          <w:numId w:val="15"/>
        </w:numPr>
      </w:pPr>
      <w:r>
        <w:t>lágyéki törlés és trachea (ha intubált) vagy torok (ha nem intubált)</w:t>
      </w:r>
    </w:p>
    <w:p w14:paraId="1069FC1F" w14:textId="77777777" w:rsidR="00B13AC9" w:rsidRDefault="00B13AC9" w:rsidP="00B13AC9">
      <w:pPr>
        <w:pStyle w:val="ListParagraph"/>
        <w:numPr>
          <w:ilvl w:val="0"/>
          <w:numId w:val="15"/>
        </w:numPr>
      </w:pPr>
      <w:r>
        <w:t>mást nem kell (pl. friss centrálból HK, vizelet, stb...)</w:t>
      </w:r>
    </w:p>
    <w:p w14:paraId="4CF9E842" w14:textId="77777777" w:rsidR="00B13AC9" w:rsidRDefault="00B13AC9" w:rsidP="00B13AC9">
      <w:pPr>
        <w:rPr>
          <w:rFonts w:ascii="Rubik Bold" w:eastAsiaTheme="majorEastAsia" w:hAnsi="Rubik Bold" w:cs="Rubik Black" w:hint="eastAsia"/>
          <w:sz w:val="32"/>
          <w:szCs w:val="32"/>
          <w:u w:val="single"/>
        </w:rPr>
      </w:pPr>
      <w:r>
        <w:rPr>
          <w:rFonts w:hint="eastAsia"/>
        </w:rPr>
        <w:br w:type="page"/>
      </w:r>
    </w:p>
    <w:p w14:paraId="2A501241" w14:textId="77777777" w:rsidR="00B13AC9" w:rsidRDefault="00B13AC9" w:rsidP="00B13AC9">
      <w:pPr>
        <w:pStyle w:val="Heading3"/>
        <w:rPr>
          <w:rFonts w:hint="eastAsia"/>
        </w:rPr>
      </w:pPr>
      <w:r>
        <w:lastRenderedPageBreak/>
        <w:t>2. INFEKCIÓ BIZTOS?</w:t>
      </w:r>
    </w:p>
    <w:p w14:paraId="5CD91F21" w14:textId="77777777" w:rsidR="00B13AC9" w:rsidRDefault="00B13AC9" w:rsidP="00B13AC9">
      <w:pPr>
        <w:pStyle w:val="Heading4"/>
      </w:pPr>
      <w:r>
        <w:t>BIZTOS - Klinikailag evidens infekció</w:t>
      </w:r>
    </w:p>
    <w:p w14:paraId="108C14D3" w14:textId="77777777" w:rsidR="00B13AC9" w:rsidRDefault="00B13AC9" w:rsidP="00B13AC9">
      <w:pPr>
        <w:pStyle w:val="ListParagraph"/>
        <w:numPr>
          <w:ilvl w:val="0"/>
          <w:numId w:val="17"/>
        </w:numPr>
      </w:pPr>
      <w:r>
        <w:t>véráramfertőzés (pozitív hemokultúra, kivéve kontamináció</w:t>
      </w:r>
      <w:r>
        <w:rPr>
          <w:lang w:val="en-GB"/>
        </w:rPr>
        <w:t>*</w:t>
      </w:r>
      <w:r>
        <w:t>)</w:t>
      </w:r>
    </w:p>
    <w:p w14:paraId="6907A257" w14:textId="77777777" w:rsidR="00B13AC9" w:rsidRDefault="00B13AC9" w:rsidP="00B13AC9">
      <w:pPr>
        <w:pStyle w:val="ListParagraph"/>
        <w:numPr>
          <w:ilvl w:val="0"/>
          <w:numId w:val="17"/>
        </w:numPr>
      </w:pPr>
      <w:r>
        <w:t>egyéb steril helyről tenyésző baktérium (pl. liquor, pleura)</w:t>
      </w:r>
    </w:p>
    <w:p w14:paraId="64EBCC94" w14:textId="77777777" w:rsidR="00B13AC9" w:rsidRDefault="00B13AC9" w:rsidP="00B13AC9">
      <w:pPr>
        <w:pStyle w:val="ListParagraph"/>
        <w:numPr>
          <w:ilvl w:val="0"/>
          <w:numId w:val="17"/>
        </w:numPr>
      </w:pPr>
      <w:r>
        <w:t>látható infekció pl. hasűri infekció műtéti lelettel, gennyes sebfertőzés, tályog</w:t>
      </w:r>
    </w:p>
    <w:p w14:paraId="451435F6" w14:textId="77777777" w:rsidR="00B13AC9" w:rsidRDefault="00B13AC9" w:rsidP="00B13AC9">
      <w:pPr>
        <w:pStyle w:val="Heading4"/>
      </w:pPr>
      <w:r>
        <w:t>SZÜRKE ZÓNA</w:t>
      </w:r>
    </w:p>
    <w:p w14:paraId="3367034C" w14:textId="77777777" w:rsidR="00B13AC9" w:rsidRDefault="00B13AC9" w:rsidP="00B13AC9">
      <w:pPr>
        <w:rPr>
          <w:sz w:val="24"/>
          <w:szCs w:val="24"/>
        </w:rPr>
      </w:pPr>
      <w:r w:rsidRPr="008C7323">
        <w:rPr>
          <w:sz w:val="24"/>
          <w:szCs w:val="24"/>
        </w:rPr>
        <w:t>A legtöbb eset szürke zónába esik. Intenzíven fekvő betegeknél gyakoriak az infekcióra utaló jelek, melyek a betegek egyéb problémái, gyógyszerek, nem-bakteriális szisztémás gyulladásos válasz, invazív eszközök, felborult mikrobiom miatt alakulnak ki. Ezeken nem segít antibiotikum, viszont mellékhatást okoz, rezisztenciát indukál. Sajnos valódi infekció esetén viszont az elmaradt antibiotikus kezelés is káros.</w:t>
      </w:r>
    </w:p>
    <w:p w14:paraId="11F647CA" w14:textId="77777777" w:rsidR="00B13AC9" w:rsidRPr="005240F4" w:rsidRDefault="00B13AC9" w:rsidP="00B13AC9">
      <w:r w:rsidRPr="005240F4">
        <w:t>Az alábbiak átgondolása segít a döntésben, hogy várj, vagy indíts antibiotikumot</w:t>
      </w:r>
      <w:r>
        <w:t>:</w:t>
      </w:r>
    </w:p>
    <w:p w14:paraId="302CC74E" w14:textId="77777777" w:rsidR="00B13AC9" w:rsidRDefault="00B13AC9" w:rsidP="00B13AC9">
      <w:pPr>
        <w:pStyle w:val="ListParagraph"/>
        <w:numPr>
          <w:ilvl w:val="0"/>
          <w:numId w:val="16"/>
        </w:numPr>
      </w:pPr>
      <w:r>
        <w:t>biomarkerek (PCT &gt; CRP, WBC, neutrofilia)</w:t>
      </w:r>
    </w:p>
    <w:p w14:paraId="40E6DAA5" w14:textId="77777777" w:rsidR="00B13AC9" w:rsidRDefault="00B13AC9" w:rsidP="00B13AC9">
      <w:pPr>
        <w:pStyle w:val="ListParagraph"/>
        <w:numPr>
          <w:ilvl w:val="0"/>
          <w:numId w:val="16"/>
        </w:numPr>
      </w:pPr>
      <w:r>
        <w:t>láz</w:t>
      </w:r>
    </w:p>
    <w:p w14:paraId="735EC793" w14:textId="77777777" w:rsidR="00B13AC9" w:rsidRDefault="00B13AC9" w:rsidP="00B13AC9">
      <w:pPr>
        <w:pStyle w:val="ListParagraph"/>
        <w:numPr>
          <w:ilvl w:val="0"/>
          <w:numId w:val="16"/>
        </w:numPr>
      </w:pPr>
      <w:r>
        <w:t>infekció forrásnak megfelelő szervdiszfunkció (pl. VAP – FiO2 emelkedés, has – GI diszfunkció)</w:t>
      </w:r>
    </w:p>
    <w:p w14:paraId="161B583A" w14:textId="77777777" w:rsidR="00B13AC9" w:rsidRDefault="00B13AC9" w:rsidP="00B13AC9">
      <w:pPr>
        <w:pStyle w:val="ListParagraph"/>
        <w:numPr>
          <w:ilvl w:val="0"/>
          <w:numId w:val="16"/>
        </w:numPr>
      </w:pPr>
      <w:r>
        <w:t>klinikai jel (pl. purulens váladék)</w:t>
      </w:r>
    </w:p>
    <w:p w14:paraId="32146C6F" w14:textId="77777777" w:rsidR="00B13AC9" w:rsidRDefault="00B13AC9" w:rsidP="00B13AC9">
      <w:pPr>
        <w:pStyle w:val="ListParagraph"/>
        <w:numPr>
          <w:ilvl w:val="0"/>
          <w:numId w:val="16"/>
        </w:numPr>
      </w:pPr>
      <w:r>
        <w:t>alternatív ok (pl. műtét, beavatkozás közelmúltban)</w:t>
      </w:r>
    </w:p>
    <w:p w14:paraId="54909D1D" w14:textId="77777777" w:rsidR="00B13AC9" w:rsidRDefault="00B13AC9" w:rsidP="00B13AC9">
      <w:r>
        <w:t>Antibiotikummal a legalább közepesen biztos fertőzést kezeld!</w:t>
      </w:r>
    </w:p>
    <w:p w14:paraId="4AE8439E" w14:textId="77777777" w:rsidR="00B13AC9" w:rsidRDefault="00B13AC9" w:rsidP="00B13AC9">
      <w:r>
        <w:t>Jól lévő betegnél teljesen biztonságos a várakozás és későbbi újraértékelés. Sokkos betegnél inkább indíts antibiotikumot.</w:t>
      </w:r>
      <w:r>
        <w:br w:type="page"/>
      </w:r>
    </w:p>
    <w:p w14:paraId="4B76D552" w14:textId="77777777" w:rsidR="00B13AC9" w:rsidRDefault="00B13AC9" w:rsidP="00B13AC9">
      <w:pPr>
        <w:pStyle w:val="Heading3"/>
        <w:jc w:val="center"/>
        <w:rPr>
          <w:rFonts w:hint="eastAsia"/>
        </w:rPr>
      </w:pPr>
      <w:r w:rsidRPr="00976AFD">
        <w:lastRenderedPageBreak/>
        <w:t>3.</w:t>
      </w:r>
      <w:r>
        <w:t xml:space="preserve"> EMPÍRIKUS KEZELÉS</w:t>
      </w:r>
    </w:p>
    <w:p w14:paraId="28E28B39" w14:textId="77777777" w:rsidR="00B13AC9" w:rsidRDefault="00B13AC9" w:rsidP="00B13AC9">
      <w:pPr>
        <w:rPr>
          <w:b/>
          <w:bCs/>
        </w:rPr>
      </w:pPr>
    </w:p>
    <w:p w14:paraId="1603DAC8" w14:textId="77777777" w:rsidR="00B13AC9" w:rsidRDefault="00B13AC9" w:rsidP="00B13AC9">
      <w:pPr>
        <w:jc w:val="center"/>
        <w:rPr>
          <w:b/>
          <w:bCs/>
          <w:sz w:val="36"/>
          <w:szCs w:val="36"/>
        </w:rPr>
      </w:pPr>
      <w:r w:rsidRPr="00631779">
        <w:rPr>
          <w:b/>
          <w:bCs/>
          <w:sz w:val="36"/>
          <w:szCs w:val="36"/>
        </w:rPr>
        <w:t>MEROPENEM</w:t>
      </w:r>
    </w:p>
    <w:p w14:paraId="2CECF2AA" w14:textId="77777777" w:rsidR="00B13AC9" w:rsidRPr="0024602D" w:rsidRDefault="00B13AC9" w:rsidP="00B13AC9">
      <w:pPr>
        <w:jc w:val="center"/>
        <w:rPr>
          <w:b/>
          <w:bCs/>
        </w:rPr>
      </w:pPr>
      <w:r w:rsidRPr="0024602D">
        <w:rPr>
          <w:b/>
          <w:bCs/>
        </w:rPr>
        <w:t>Légúti infekció, kevésbé valószínű infekció: Cefepim, Tazocin</w:t>
      </w:r>
    </w:p>
    <w:p w14:paraId="19262C97" w14:textId="77777777" w:rsidR="00B13AC9" w:rsidRDefault="00B13AC9" w:rsidP="00B13AC9"/>
    <w:p w14:paraId="6889659C" w14:textId="77777777" w:rsidR="00B13AC9" w:rsidRDefault="00B13AC9" w:rsidP="00B13AC9">
      <w:pPr>
        <w:pStyle w:val="ListParagraph"/>
        <w:numPr>
          <w:ilvl w:val="0"/>
          <w:numId w:val="19"/>
        </w:numPr>
      </w:pPr>
      <w:r>
        <w:t xml:space="preserve">Ennek kiegészítése spektrum szélesítés céljából időnként indokolt lehet, de az ittfekvés első hetében rutinszerűen nem szükséges, mivel rezisztencia ritka és nehéz általános javaslatot adni a spektrum szélesítés irányába. Nem szükséges a szűrő minták eredményének rutin ’fedése’. </w:t>
      </w:r>
    </w:p>
    <w:p w14:paraId="7A0BF9D2" w14:textId="77777777" w:rsidR="00B13AC9" w:rsidRDefault="00B13AC9" w:rsidP="00B13AC9">
      <w:pPr>
        <w:pStyle w:val="ListParagraph"/>
        <w:numPr>
          <w:ilvl w:val="0"/>
          <w:numId w:val="19"/>
        </w:numPr>
      </w:pPr>
      <w:r>
        <w:t>Amit ne használj: empírikus vancomycin kezelés, hacsak a szűrő mintákban nincs MRSA! A béta-laktámok gram pozitív spektruma jó. ITO-n szerzett MRSA véráramfertőzés extrém ritka (2025-ben egyetlen eset sem volt). Koaguláz negatív staphylococcusok általában kontaminációk és ha mégis kell kezelni MIC-ük sokszor magas, ezért linezolid szükséges.</w:t>
      </w:r>
    </w:p>
    <w:p w14:paraId="387BD990" w14:textId="77777777" w:rsidR="00B13AC9" w:rsidRPr="00631779" w:rsidRDefault="00B13AC9" w:rsidP="00B13AC9">
      <w:pPr>
        <w:rPr>
          <w:b/>
          <w:bCs/>
        </w:rPr>
      </w:pPr>
      <w:r w:rsidRPr="00631779">
        <w:rPr>
          <w:b/>
          <w:bCs/>
        </w:rPr>
        <w:t>Osztályunkon szerzett</w:t>
      </w:r>
      <w:r>
        <w:rPr>
          <w:b/>
          <w:bCs/>
        </w:rPr>
        <w:t xml:space="preserve"> véráramfertőzésekben</w:t>
      </w:r>
      <w:r w:rsidRPr="00631779">
        <w:rPr>
          <w:b/>
          <w:bCs/>
        </w:rPr>
        <w:t xml:space="preserve"> élen járnak:</w:t>
      </w:r>
    </w:p>
    <w:p w14:paraId="02562EED" w14:textId="77777777" w:rsidR="00B13AC9" w:rsidRDefault="00B13AC9" w:rsidP="00B13AC9">
      <w:pPr>
        <w:pStyle w:val="ListParagraph"/>
        <w:numPr>
          <w:ilvl w:val="0"/>
          <w:numId w:val="18"/>
        </w:numPr>
      </w:pPr>
      <w:r>
        <w:t>Pseudomonas aeruginosa (probléma: karbapenem rezisztencia)</w:t>
      </w:r>
    </w:p>
    <w:p w14:paraId="3F52E3C2" w14:textId="77777777" w:rsidR="00B13AC9" w:rsidRDefault="00B13AC9" w:rsidP="00B13AC9">
      <w:pPr>
        <w:pStyle w:val="ListParagraph"/>
        <w:numPr>
          <w:ilvl w:val="0"/>
          <w:numId w:val="18"/>
        </w:numPr>
      </w:pPr>
      <w:r>
        <w:t>Klebsiella spp. és E coli (probléma: cefalosporin rezisztencia)</w:t>
      </w:r>
    </w:p>
    <w:p w14:paraId="69F86304" w14:textId="77777777" w:rsidR="00B13AC9" w:rsidRDefault="00B13AC9" w:rsidP="00B13AC9">
      <w:pPr>
        <w:pStyle w:val="ListParagraph"/>
        <w:numPr>
          <w:ilvl w:val="0"/>
          <w:numId w:val="18"/>
        </w:numPr>
      </w:pPr>
      <w:r>
        <w:t>Egyéb Enterobacterek (probléma: AmpC és ESBL)</w:t>
      </w:r>
    </w:p>
    <w:p w14:paraId="78FB839D" w14:textId="77777777" w:rsidR="00B13AC9" w:rsidRDefault="00B13AC9" w:rsidP="00B13AC9">
      <w:pPr>
        <w:pStyle w:val="ListParagraph"/>
        <w:numPr>
          <w:ilvl w:val="0"/>
          <w:numId w:val="18"/>
        </w:numPr>
      </w:pPr>
      <w:r>
        <w:t>Enterococcusok (probléma: VRE)</w:t>
      </w:r>
    </w:p>
    <w:p w14:paraId="63F52534" w14:textId="77777777" w:rsidR="00B13AC9" w:rsidRPr="00323E55" w:rsidRDefault="00B13AC9" w:rsidP="00B13AC9">
      <w:pPr>
        <w:pStyle w:val="ListParagraph"/>
        <w:numPr>
          <w:ilvl w:val="0"/>
          <w:numId w:val="18"/>
        </w:numPr>
      </w:pPr>
      <w:r>
        <w:t>Acinetobacter (probléma: MACI)</w:t>
      </w:r>
    </w:p>
    <w:p w14:paraId="4EA12FCE" w14:textId="77777777" w:rsidR="00B13AC9" w:rsidRDefault="00B13AC9" w:rsidP="00B13AC9">
      <w:pPr>
        <w:rPr>
          <w:rFonts w:ascii="Rubik Bold" w:eastAsiaTheme="majorEastAsia" w:hAnsi="Rubik Bold" w:cs="Rubik Black" w:hint="eastAsia"/>
          <w:sz w:val="32"/>
          <w:szCs w:val="32"/>
          <w:u w:val="single"/>
        </w:rPr>
      </w:pPr>
      <w:r>
        <w:rPr>
          <w:rFonts w:hint="eastAsia"/>
        </w:rPr>
        <w:br w:type="page"/>
      </w:r>
    </w:p>
    <w:p w14:paraId="18B3CB9A" w14:textId="77777777" w:rsidR="00B13AC9" w:rsidRDefault="00B13AC9" w:rsidP="00B13AC9">
      <w:pPr>
        <w:pStyle w:val="Heading3"/>
        <w:rPr>
          <w:rFonts w:hint="eastAsia"/>
        </w:rPr>
      </w:pPr>
      <w:r>
        <w:lastRenderedPageBreak/>
        <w:t>2-5 NAPOS REVIEW, ISMÉTELT ÁTGONDOLÁS</w:t>
      </w:r>
    </w:p>
    <w:p w14:paraId="44969DA6" w14:textId="77777777" w:rsidR="00B13AC9" w:rsidRDefault="00B13AC9" w:rsidP="00B13AC9">
      <w:r>
        <w:t>Az infektológiai menedzsment szempontjából sokkal fontosabb, mint az empírikus kezelés. Gondold át: volt-e/van-e infekció? Milyen mikrobiológiai eredmények vannak?</w:t>
      </w:r>
    </w:p>
    <w:p w14:paraId="612AC6D0" w14:textId="77777777" w:rsidR="00B13AC9" w:rsidRDefault="00B13AC9" w:rsidP="00B13AC9">
      <w:r w:rsidRPr="00601C03">
        <w:rPr>
          <w:b/>
          <w:bCs/>
        </w:rPr>
        <w:t>Antibiotikum leállítás:</w:t>
      </w:r>
      <w:r>
        <w:t xml:space="preserve"> Amennyiben a beteg jobban van, véráramfertőzés nem igazolódott az empírikusan indított antibiotikumot állítsd meg 3-5 nap után!</w:t>
      </w:r>
    </w:p>
    <w:p w14:paraId="411A0DC7" w14:textId="77777777" w:rsidR="00B13AC9" w:rsidRDefault="00B13AC9" w:rsidP="00B13AC9">
      <w:r w:rsidRPr="00601C03">
        <w:rPr>
          <w:b/>
          <w:bCs/>
        </w:rPr>
        <w:t xml:space="preserve">Antibiotikum indítás: </w:t>
      </w:r>
      <w:r>
        <w:t>Ha eredetileg várakozás mellett döntöttél, de véráramfertőzés igazolódott vagy biztosabbnak gondolod az infekciót, a leletek birtokában célzott, hatékony és akár szűkebb spektrumú antibiotikumot indíthatsz.</w:t>
      </w:r>
    </w:p>
    <w:p w14:paraId="1F8F5A92" w14:textId="77777777" w:rsidR="00B13AC9" w:rsidRDefault="00B13AC9" w:rsidP="00B13AC9">
      <w:pPr>
        <w:rPr>
          <w:b/>
          <w:bCs/>
        </w:rPr>
      </w:pPr>
      <w:r>
        <w:rPr>
          <w:b/>
          <w:bCs/>
        </w:rPr>
        <w:t>Célzott antibiotikus kezelés</w:t>
      </w:r>
    </w:p>
    <w:p w14:paraId="59924D42" w14:textId="77777777" w:rsidR="00B13AC9" w:rsidRDefault="00B13AC9" w:rsidP="00B13AC9">
      <w:r w:rsidRPr="005B455F">
        <w:t xml:space="preserve">Ha az infekció továbbra is biztos </w:t>
      </w:r>
      <w:r>
        <w:t>gondold át mi a legjobb célzott antibiotikum és azzal</w:t>
      </w:r>
      <w:r w:rsidRPr="005B455F">
        <w:t xml:space="preserve"> folytasd az antibiotikus kezelést.</w:t>
      </w:r>
      <w:r>
        <w:t xml:space="preserve"> </w:t>
      </w:r>
    </w:p>
    <w:p w14:paraId="5CAABBFC" w14:textId="77777777" w:rsidR="00B13AC9" w:rsidRDefault="00B13AC9" w:rsidP="00B13AC9">
      <w:pPr>
        <w:pStyle w:val="ListParagraph"/>
        <w:numPr>
          <w:ilvl w:val="0"/>
          <w:numId w:val="21"/>
        </w:numPr>
      </w:pPr>
      <w:r>
        <w:t>A diagnosztikus minták nyomán válassz célzott antibiotikumot, eszkalálj vagy deeszkalálj. Csak a hemokultúrák vagy infekció forrásáról vett mintákkal kalkulálj, nem szükséges a szűrő minták ’fedése’. Ha van pozitív hemokultúra, a legtöbb esetben ez vezesse a terápiát.</w:t>
      </w:r>
    </w:p>
    <w:p w14:paraId="1CFA98AD" w14:textId="77777777" w:rsidR="00B13AC9" w:rsidRDefault="00B13AC9" w:rsidP="00B13AC9">
      <w:pPr>
        <w:pStyle w:val="ListParagraph"/>
        <w:numPr>
          <w:ilvl w:val="0"/>
          <w:numId w:val="21"/>
        </w:numPr>
      </w:pPr>
      <w:r>
        <w:t>Tipikus célzott antibiotikum választásra ld. példa alább</w:t>
      </w:r>
    </w:p>
    <w:p w14:paraId="54BFEE6D" w14:textId="77777777" w:rsidR="00B13AC9" w:rsidRPr="005B455F" w:rsidRDefault="00B13AC9" w:rsidP="00B13AC9">
      <w:pPr>
        <w:pStyle w:val="ListParagraph"/>
        <w:numPr>
          <w:ilvl w:val="0"/>
          <w:numId w:val="21"/>
        </w:numPr>
      </w:pPr>
      <w:r w:rsidRPr="005B455F">
        <w:t>Tipikus kezelési időtartam: 7 nap</w:t>
      </w:r>
    </w:p>
    <w:p w14:paraId="622AB3AC" w14:textId="77777777" w:rsidR="00B13AC9" w:rsidRPr="005B455F" w:rsidRDefault="00B13AC9" w:rsidP="00B13AC9">
      <w:pPr>
        <w:pStyle w:val="ListParagraph"/>
        <w:numPr>
          <w:ilvl w:val="0"/>
          <w:numId w:val="21"/>
        </w:numPr>
      </w:pPr>
      <w:r w:rsidRPr="005B455F">
        <w:t>Staphylococcus aureus véráramfertőzés: minimum 14 nap</w:t>
      </w:r>
    </w:p>
    <w:p w14:paraId="1B3BB2CA" w14:textId="77777777" w:rsidR="00B13AC9" w:rsidRDefault="00B13AC9" w:rsidP="00B13AC9">
      <w:pPr>
        <w:pStyle w:val="ListParagraph"/>
        <w:numPr>
          <w:ilvl w:val="0"/>
          <w:numId w:val="21"/>
        </w:numPr>
      </w:pPr>
      <w:r w:rsidRPr="005B455F">
        <w:t xml:space="preserve">Metasztatikus, mélyen fekvő, perzisztáló infekció </w:t>
      </w:r>
      <w:r>
        <w:t xml:space="preserve">és nem konvencionális kórokozók </w:t>
      </w:r>
      <w:r w:rsidRPr="005B455F">
        <w:t>esetén</w:t>
      </w:r>
      <w:r>
        <w:t xml:space="preserve"> hosszabb kezelés lehet szükséges</w:t>
      </w:r>
    </w:p>
    <w:p w14:paraId="5C46B909" w14:textId="77777777" w:rsidR="00B13AC9" w:rsidRPr="001B41CD" w:rsidRDefault="00B13AC9" w:rsidP="00B13AC9">
      <w:pPr>
        <w:pStyle w:val="ListParagraph"/>
        <w:numPr>
          <w:ilvl w:val="0"/>
          <w:numId w:val="21"/>
        </w:numPr>
      </w:pPr>
      <w:r>
        <w:t>Staphylococcus aureus véráramfertőzés esetén mindenképp, illetve nem javuló fertőzések esetén érdemes kontroll hemokultúrát küldeni.</w:t>
      </w:r>
    </w:p>
    <w:p w14:paraId="20357D51" w14:textId="77777777" w:rsidR="00B13AC9" w:rsidRDefault="00B13AC9" w:rsidP="00B13AC9">
      <w:r>
        <w:br w:type="page"/>
      </w:r>
    </w:p>
    <w:p w14:paraId="3F15473F" w14:textId="77777777" w:rsidR="00B13AC9" w:rsidRDefault="00B13AC9" w:rsidP="00B13AC9">
      <w:pPr>
        <w:pStyle w:val="Heading4"/>
      </w:pPr>
      <w:r>
        <w:lastRenderedPageBreak/>
        <w:t>Célzott kezelés, példák:</w:t>
      </w:r>
    </w:p>
    <w:p w14:paraId="2E5B05EB" w14:textId="77777777" w:rsidR="00B13AC9" w:rsidRPr="005B455F" w:rsidRDefault="00B13AC9" w:rsidP="00B13AC9">
      <w:pPr>
        <w:rPr>
          <w:sz w:val="22"/>
          <w:szCs w:val="22"/>
        </w:rPr>
      </w:pPr>
      <w:r>
        <w:rPr>
          <w:sz w:val="22"/>
          <w:szCs w:val="22"/>
        </w:rPr>
        <w:t>Apróbetű: J</w:t>
      </w:r>
      <w:r w:rsidRPr="005B455F">
        <w:rPr>
          <w:sz w:val="22"/>
          <w:szCs w:val="22"/>
        </w:rPr>
        <w:t>avaslat</w:t>
      </w:r>
      <w:r>
        <w:rPr>
          <w:sz w:val="22"/>
          <w:szCs w:val="22"/>
        </w:rPr>
        <w:t xml:space="preserve"> monomikrobiális véráramfertőzésekre source kontroll után</w:t>
      </w:r>
      <w:r w:rsidRPr="005B455F">
        <w:rPr>
          <w:sz w:val="22"/>
          <w:szCs w:val="22"/>
        </w:rPr>
        <w:t>,</w:t>
      </w:r>
      <w:r>
        <w:rPr>
          <w:sz w:val="22"/>
          <w:szCs w:val="22"/>
        </w:rPr>
        <w:t xml:space="preserve"> amennyiben antibiogram alapján érzékeny az alábbi antibiotikumokra.</w:t>
      </w:r>
      <w:r w:rsidRPr="005B455F">
        <w:rPr>
          <w:sz w:val="22"/>
          <w:szCs w:val="22"/>
        </w:rPr>
        <w:t xml:space="preserve"> </w:t>
      </w:r>
      <w:r>
        <w:rPr>
          <w:sz w:val="22"/>
          <w:szCs w:val="22"/>
        </w:rPr>
        <w:t>S</w:t>
      </w:r>
      <w:r w:rsidRPr="005B455F">
        <w:rPr>
          <w:sz w:val="22"/>
          <w:szCs w:val="22"/>
        </w:rPr>
        <w:t>zámos szempont lehet, ami alapján mást kell választani.</w:t>
      </w:r>
    </w:p>
    <w:tbl>
      <w:tblPr>
        <w:tblStyle w:val="TableGrid"/>
        <w:tblW w:w="0" w:type="auto"/>
        <w:tblLook w:val="04A0" w:firstRow="1" w:lastRow="0" w:firstColumn="1" w:lastColumn="0" w:noHBand="0" w:noVBand="1"/>
      </w:tblPr>
      <w:tblGrid>
        <w:gridCol w:w="4505"/>
        <w:gridCol w:w="4511"/>
      </w:tblGrid>
      <w:tr w:rsidR="00B13AC9" w14:paraId="4F55DD99" w14:textId="77777777" w:rsidTr="00EF28BF">
        <w:trPr>
          <w:trHeight w:val="1020"/>
        </w:trPr>
        <w:tc>
          <w:tcPr>
            <w:tcW w:w="4531" w:type="dxa"/>
          </w:tcPr>
          <w:p w14:paraId="74FECD87"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Staphylococcus aureus (MSSA)</w:t>
            </w:r>
          </w:p>
        </w:tc>
        <w:tc>
          <w:tcPr>
            <w:tcW w:w="4531" w:type="dxa"/>
          </w:tcPr>
          <w:p w14:paraId="6E1FA6FB"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cefazolin</w:t>
            </w:r>
          </w:p>
        </w:tc>
      </w:tr>
      <w:tr w:rsidR="00B13AC9" w14:paraId="38C5F11E" w14:textId="77777777" w:rsidTr="00EF28BF">
        <w:trPr>
          <w:trHeight w:val="1020"/>
        </w:trPr>
        <w:tc>
          <w:tcPr>
            <w:tcW w:w="4531" w:type="dxa"/>
          </w:tcPr>
          <w:p w14:paraId="2C231E82"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Staphylococcus aureus (MRSA)</w:t>
            </w:r>
          </w:p>
        </w:tc>
        <w:tc>
          <w:tcPr>
            <w:tcW w:w="4531" w:type="dxa"/>
          </w:tcPr>
          <w:p w14:paraId="5A563897"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vancomycin</w:t>
            </w:r>
          </w:p>
        </w:tc>
      </w:tr>
      <w:tr w:rsidR="00B13AC9" w14:paraId="73F07FD4" w14:textId="77777777" w:rsidTr="00EF28BF">
        <w:trPr>
          <w:trHeight w:val="1020"/>
        </w:trPr>
        <w:tc>
          <w:tcPr>
            <w:tcW w:w="4531" w:type="dxa"/>
          </w:tcPr>
          <w:p w14:paraId="1CBFD3D5"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Enterococcus faecalis</w:t>
            </w:r>
          </w:p>
          <w:p w14:paraId="062E543F" w14:textId="77777777" w:rsidR="00B13AC9" w:rsidRPr="000714F4" w:rsidRDefault="00B13AC9" w:rsidP="00EF28BF">
            <w:pPr>
              <w:rPr>
                <w:sz w:val="24"/>
                <w:szCs w:val="24"/>
              </w:rPr>
            </w:pPr>
            <w:r w:rsidRPr="000714F4">
              <w:rPr>
                <w:sz w:val="24"/>
                <w:szCs w:val="24"/>
              </w:rPr>
              <w:t>(beta-laktám érzékeny)</w:t>
            </w:r>
          </w:p>
        </w:tc>
        <w:tc>
          <w:tcPr>
            <w:tcW w:w="4531" w:type="dxa"/>
          </w:tcPr>
          <w:p w14:paraId="3A629B67"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ampicillin + ceftriaxon</w:t>
            </w:r>
          </w:p>
        </w:tc>
      </w:tr>
      <w:tr w:rsidR="00B13AC9" w14:paraId="5DD57871" w14:textId="77777777" w:rsidTr="00EF28BF">
        <w:trPr>
          <w:trHeight w:val="1020"/>
        </w:trPr>
        <w:tc>
          <w:tcPr>
            <w:tcW w:w="4531" w:type="dxa"/>
          </w:tcPr>
          <w:p w14:paraId="6C64D7CE"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Pseudomonas aeruginosa</w:t>
            </w:r>
          </w:p>
          <w:p w14:paraId="73B7FA56" w14:textId="77777777" w:rsidR="00B13AC9" w:rsidRPr="000714F4" w:rsidRDefault="00B13AC9" w:rsidP="00EF28BF">
            <w:pPr>
              <w:rPr>
                <w:sz w:val="24"/>
                <w:szCs w:val="24"/>
              </w:rPr>
            </w:pPr>
            <w:r w:rsidRPr="000714F4">
              <w:rPr>
                <w:sz w:val="24"/>
                <w:szCs w:val="24"/>
              </w:rPr>
              <w:t>(nem rezisztens)</w:t>
            </w:r>
          </w:p>
        </w:tc>
        <w:tc>
          <w:tcPr>
            <w:tcW w:w="4531" w:type="dxa"/>
          </w:tcPr>
          <w:p w14:paraId="740BA2DC"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ceftazidim</w:t>
            </w:r>
          </w:p>
          <w:p w14:paraId="7D73C83B" w14:textId="77777777" w:rsidR="00B13AC9" w:rsidRPr="000714F4" w:rsidRDefault="00B13AC9" w:rsidP="00EF28BF">
            <w:pPr>
              <w:rPr>
                <w:sz w:val="24"/>
                <w:szCs w:val="24"/>
              </w:rPr>
            </w:pPr>
            <w:r w:rsidRPr="000714F4">
              <w:rPr>
                <w:sz w:val="24"/>
                <w:szCs w:val="24"/>
              </w:rPr>
              <w:t xml:space="preserve">(alternatíva: cefepim, piperacillin/tazobactam, ha csak </w:t>
            </w:r>
            <w:r>
              <w:rPr>
                <w:sz w:val="24"/>
                <w:szCs w:val="24"/>
              </w:rPr>
              <w:t>k</w:t>
            </w:r>
            <w:r w:rsidRPr="000714F4">
              <w:rPr>
                <w:sz w:val="24"/>
                <w:szCs w:val="24"/>
              </w:rPr>
              <w:t>arbapenem akkor meropenem)</w:t>
            </w:r>
          </w:p>
        </w:tc>
      </w:tr>
      <w:tr w:rsidR="00B13AC9" w14:paraId="36D7A48D" w14:textId="77777777" w:rsidTr="00EF28BF">
        <w:trPr>
          <w:trHeight w:val="1138"/>
        </w:trPr>
        <w:tc>
          <w:tcPr>
            <w:tcW w:w="4531" w:type="dxa"/>
          </w:tcPr>
          <w:p w14:paraId="617A6E60"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ESBL Enterobacter spp.</w:t>
            </w:r>
          </w:p>
          <w:p w14:paraId="30E94539" w14:textId="77777777" w:rsidR="00B13AC9" w:rsidRPr="000714F4" w:rsidRDefault="00B13AC9" w:rsidP="00EF28BF">
            <w:pPr>
              <w:rPr>
                <w:sz w:val="24"/>
                <w:szCs w:val="24"/>
              </w:rPr>
            </w:pPr>
            <w:r w:rsidRPr="000714F4">
              <w:rPr>
                <w:sz w:val="24"/>
                <w:szCs w:val="24"/>
              </w:rPr>
              <w:t>(pl. Klebsiella, E. Coli, Serratia, Proteus, Morganella, Citrobacter, egyéb Enterobacter spp.)</w:t>
            </w:r>
          </w:p>
        </w:tc>
        <w:tc>
          <w:tcPr>
            <w:tcW w:w="4531" w:type="dxa"/>
          </w:tcPr>
          <w:p w14:paraId="00116837"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meropenem</w:t>
            </w:r>
          </w:p>
        </w:tc>
      </w:tr>
      <w:tr w:rsidR="00B13AC9" w14:paraId="3FF55A5E" w14:textId="77777777" w:rsidTr="00EF28BF">
        <w:trPr>
          <w:trHeight w:val="1138"/>
        </w:trPr>
        <w:tc>
          <w:tcPr>
            <w:tcW w:w="4531" w:type="dxa"/>
          </w:tcPr>
          <w:p w14:paraId="09D09343"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Enterobacter magas AmpC rizikó</w:t>
            </w:r>
          </w:p>
          <w:p w14:paraId="21AE30E2" w14:textId="77777777" w:rsidR="00B13AC9" w:rsidRPr="000714F4" w:rsidRDefault="00B13AC9" w:rsidP="00EF28BF">
            <w:pPr>
              <w:rPr>
                <w:sz w:val="24"/>
                <w:szCs w:val="24"/>
              </w:rPr>
            </w:pPr>
            <w:r w:rsidRPr="000714F4">
              <w:rPr>
                <w:sz w:val="24"/>
                <w:szCs w:val="24"/>
              </w:rPr>
              <w:t>Enterobacter cloacae complex, Klebsiella aerogenes, and Citrobacter freundii</w:t>
            </w:r>
          </w:p>
        </w:tc>
        <w:tc>
          <w:tcPr>
            <w:tcW w:w="4531" w:type="dxa"/>
          </w:tcPr>
          <w:p w14:paraId="329602C7"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meropenem</w:t>
            </w:r>
          </w:p>
        </w:tc>
      </w:tr>
      <w:tr w:rsidR="00B13AC9" w14:paraId="0860499A" w14:textId="77777777" w:rsidTr="00EF28BF">
        <w:trPr>
          <w:trHeight w:val="1020"/>
        </w:trPr>
        <w:tc>
          <w:tcPr>
            <w:tcW w:w="4531" w:type="dxa"/>
          </w:tcPr>
          <w:p w14:paraId="4298AC54"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E. Coli</w:t>
            </w:r>
          </w:p>
          <w:p w14:paraId="7617E6BB"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Klebsiella pn</w:t>
            </w:r>
            <w:r>
              <w:rPr>
                <w:rFonts w:ascii="Rubik SemiBold" w:hAnsi="Rubik SemiBold" w:cs="Rubik SemiBold"/>
                <w:sz w:val="24"/>
                <w:szCs w:val="24"/>
              </w:rPr>
              <w:t>eumoniae</w:t>
            </w:r>
          </w:p>
        </w:tc>
        <w:tc>
          <w:tcPr>
            <w:tcW w:w="4531" w:type="dxa"/>
          </w:tcPr>
          <w:p w14:paraId="0DFB9A6F"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 xml:space="preserve">ceftriaxon </w:t>
            </w:r>
            <w:r w:rsidRPr="000714F4">
              <w:rPr>
                <w:sz w:val="24"/>
                <w:szCs w:val="24"/>
              </w:rPr>
              <w:t>(ha érzékeny)</w:t>
            </w:r>
          </w:p>
        </w:tc>
      </w:tr>
      <w:tr w:rsidR="00B13AC9" w14:paraId="6B0978C9" w14:textId="77777777" w:rsidTr="00EF28BF">
        <w:trPr>
          <w:trHeight w:val="1020"/>
        </w:trPr>
        <w:tc>
          <w:tcPr>
            <w:tcW w:w="4531" w:type="dxa"/>
          </w:tcPr>
          <w:p w14:paraId="70F4520A"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Enterobacter alacsony AmpC rizikó</w:t>
            </w:r>
          </w:p>
          <w:p w14:paraId="67FC3334" w14:textId="77777777" w:rsidR="00B13AC9" w:rsidRPr="000714F4" w:rsidRDefault="00B13AC9" w:rsidP="00EF28BF">
            <w:pPr>
              <w:rPr>
                <w:sz w:val="24"/>
                <w:szCs w:val="24"/>
              </w:rPr>
            </w:pPr>
            <w:r w:rsidRPr="000714F4">
              <w:rPr>
                <w:sz w:val="24"/>
                <w:szCs w:val="24"/>
              </w:rPr>
              <w:t>Többi Enterobacter, pl. Serratia, Proteus, Morganella, Citrobacter, stb.</w:t>
            </w:r>
          </w:p>
        </w:tc>
        <w:tc>
          <w:tcPr>
            <w:tcW w:w="4531" w:type="dxa"/>
          </w:tcPr>
          <w:p w14:paraId="51454F8B"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 xml:space="preserve">ceftriaxon </w:t>
            </w:r>
            <w:r w:rsidRPr="000714F4">
              <w:rPr>
                <w:sz w:val="24"/>
                <w:szCs w:val="24"/>
              </w:rPr>
              <w:t>(ha érzékeny)</w:t>
            </w:r>
          </w:p>
        </w:tc>
      </w:tr>
      <w:tr w:rsidR="00B13AC9" w14:paraId="0B9A419F" w14:textId="77777777" w:rsidTr="00EF28BF">
        <w:trPr>
          <w:trHeight w:val="1020"/>
        </w:trPr>
        <w:tc>
          <w:tcPr>
            <w:tcW w:w="4531" w:type="dxa"/>
          </w:tcPr>
          <w:p w14:paraId="656BA96F"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Acinetobacter spp. (nem MACI)</w:t>
            </w:r>
          </w:p>
        </w:tc>
        <w:tc>
          <w:tcPr>
            <w:tcW w:w="4531" w:type="dxa"/>
          </w:tcPr>
          <w:p w14:paraId="6E4FEF3F"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meropenem</w:t>
            </w:r>
          </w:p>
        </w:tc>
      </w:tr>
      <w:tr w:rsidR="00B13AC9" w14:paraId="0CE803B5" w14:textId="77777777" w:rsidTr="00EF28BF">
        <w:trPr>
          <w:trHeight w:val="1020"/>
        </w:trPr>
        <w:tc>
          <w:tcPr>
            <w:tcW w:w="4531" w:type="dxa"/>
          </w:tcPr>
          <w:p w14:paraId="37D41C72"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Acinetobacter spp. (MACI)</w:t>
            </w:r>
          </w:p>
        </w:tc>
        <w:tc>
          <w:tcPr>
            <w:tcW w:w="4531" w:type="dxa"/>
          </w:tcPr>
          <w:p w14:paraId="5F541748"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két aktív szer antibiogram alapján</w:t>
            </w:r>
          </w:p>
          <w:p w14:paraId="380E0524"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ld. high-dose Sulbactam protokoll</w:t>
            </w:r>
          </w:p>
        </w:tc>
      </w:tr>
      <w:tr w:rsidR="00B13AC9" w14:paraId="6C3F1223" w14:textId="77777777" w:rsidTr="00EF28BF">
        <w:trPr>
          <w:trHeight w:val="1020"/>
        </w:trPr>
        <w:tc>
          <w:tcPr>
            <w:tcW w:w="4531" w:type="dxa"/>
          </w:tcPr>
          <w:p w14:paraId="3BE2F120"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Stenotrophomonas maltophilia</w:t>
            </w:r>
          </w:p>
        </w:tc>
        <w:tc>
          <w:tcPr>
            <w:tcW w:w="4531" w:type="dxa"/>
          </w:tcPr>
          <w:p w14:paraId="0C491F36" w14:textId="77777777" w:rsidR="00B13AC9" w:rsidRPr="000714F4" w:rsidRDefault="00B13AC9" w:rsidP="00EF28BF">
            <w:pPr>
              <w:rPr>
                <w:rFonts w:ascii="Rubik SemiBold" w:hAnsi="Rubik SemiBold" w:cs="Rubik SemiBold"/>
                <w:sz w:val="24"/>
                <w:szCs w:val="24"/>
              </w:rPr>
            </w:pPr>
            <w:r w:rsidRPr="000714F4">
              <w:rPr>
                <w:rFonts w:ascii="Rubik SemiBold" w:hAnsi="Rubik SemiBold" w:cs="Rubik SemiBold"/>
                <w:sz w:val="24"/>
                <w:szCs w:val="24"/>
              </w:rPr>
              <w:t>TMP/SMX magas dózis ld. protokoll</w:t>
            </w:r>
          </w:p>
        </w:tc>
      </w:tr>
    </w:tbl>
    <w:p w14:paraId="4AA7B968" w14:textId="77777777" w:rsidR="00B13AC9" w:rsidRDefault="00B13AC9" w:rsidP="00B13AC9">
      <w:pPr>
        <w:rPr>
          <w:rFonts w:ascii="Rubik SemiBold" w:hAnsi="Rubik SemiBold" w:cs="Rubik SemiBold"/>
        </w:rPr>
      </w:pPr>
    </w:p>
    <w:p w14:paraId="1F80ABD1" w14:textId="77777777" w:rsidR="00B13AC9" w:rsidRDefault="00B13AC9" w:rsidP="00B13AC9">
      <w:pPr>
        <w:pStyle w:val="Heading4"/>
      </w:pPr>
      <w:r>
        <w:lastRenderedPageBreak/>
        <w:t>Kontamináns baktériumok</w:t>
      </w:r>
    </w:p>
    <w:p w14:paraId="264C2D05" w14:textId="77777777" w:rsidR="00B13AC9" w:rsidRPr="001B41CD" w:rsidRDefault="00B13AC9" w:rsidP="00B13AC9">
      <w:r w:rsidRPr="001B41CD">
        <w:t>Akkor merül fel, hogy kórokozók, ha hasonló időben vett két pár (4 palack) hemokultúrából ugyanaz a törzs, preferáltan ugyanaz a rezisztencia mintázatú törzs tenyészik. Ennek hiányában antibiotikum kezelés nem kell.</w:t>
      </w:r>
    </w:p>
    <w:p w14:paraId="5367E637" w14:textId="77777777" w:rsidR="00B13AC9" w:rsidRDefault="00B13AC9" w:rsidP="00B13AC9">
      <w:pPr>
        <w:pStyle w:val="ListParagraph"/>
        <w:numPr>
          <w:ilvl w:val="0"/>
          <w:numId w:val="20"/>
        </w:numPr>
      </w:pPr>
      <w:r>
        <w:t>Corynebacterium, Micrococcus, Aerococcus, Lactobacillus, Bacillus, Cutibacterium spp.</w:t>
      </w:r>
    </w:p>
    <w:p w14:paraId="53F7BE2C" w14:textId="77777777" w:rsidR="00B13AC9" w:rsidRDefault="00B13AC9" w:rsidP="00B13AC9">
      <w:pPr>
        <w:pStyle w:val="ListParagraph"/>
        <w:numPr>
          <w:ilvl w:val="0"/>
          <w:numId w:val="20"/>
        </w:numPr>
      </w:pPr>
      <w:r>
        <w:t>Koaguláz negatív staphylococci: S. epidermidis, haemolyticus, capitis, hominis, simulans, warneri etc.</w:t>
      </w:r>
    </w:p>
    <w:p w14:paraId="624770EE" w14:textId="77777777" w:rsidR="00B13AC9" w:rsidRDefault="00B13AC9" w:rsidP="00B13AC9">
      <w:r>
        <w:t>Sosem tekintendő kontaminánsnak hemokultúrából:</w:t>
      </w:r>
    </w:p>
    <w:p w14:paraId="69C43738" w14:textId="77777777" w:rsidR="00B13AC9" w:rsidRDefault="00B13AC9" w:rsidP="00B13AC9">
      <w:pPr>
        <w:pStyle w:val="ListParagraph"/>
        <w:numPr>
          <w:ilvl w:val="0"/>
          <w:numId w:val="22"/>
        </w:numPr>
      </w:pPr>
      <w:r>
        <w:t>Staphylococcus aureus</w:t>
      </w:r>
    </w:p>
    <w:p w14:paraId="27875A9A" w14:textId="77777777" w:rsidR="00B13AC9" w:rsidRDefault="00B13AC9" w:rsidP="00B13AC9">
      <w:pPr>
        <w:pStyle w:val="ListParagraph"/>
        <w:numPr>
          <w:ilvl w:val="0"/>
          <w:numId w:val="22"/>
        </w:numPr>
      </w:pPr>
      <w:r>
        <w:t>Enterococcus spp.</w:t>
      </w:r>
    </w:p>
    <w:p w14:paraId="0EAB9812" w14:textId="77777777" w:rsidR="00B13AC9" w:rsidRDefault="00B13AC9" w:rsidP="00B13AC9">
      <w:pPr>
        <w:pStyle w:val="ListParagraph"/>
        <w:numPr>
          <w:ilvl w:val="0"/>
          <w:numId w:val="22"/>
        </w:numPr>
      </w:pPr>
      <w:r>
        <w:t>Enterobacter spp.</w:t>
      </w:r>
    </w:p>
    <w:p w14:paraId="67F5A103" w14:textId="77777777" w:rsidR="00B13AC9" w:rsidRDefault="00B13AC9" w:rsidP="00B13AC9">
      <w:pPr>
        <w:pStyle w:val="ListParagraph"/>
        <w:numPr>
          <w:ilvl w:val="0"/>
          <w:numId w:val="22"/>
        </w:numPr>
      </w:pPr>
      <w:r>
        <w:t>Pseudomonas spp.</w:t>
      </w:r>
    </w:p>
    <w:p w14:paraId="552ECBF3" w14:textId="77777777" w:rsidR="00B13AC9" w:rsidRDefault="00B13AC9" w:rsidP="00B13AC9">
      <w:pPr>
        <w:pStyle w:val="ListParagraph"/>
        <w:numPr>
          <w:ilvl w:val="0"/>
          <w:numId w:val="22"/>
        </w:numPr>
      </w:pPr>
      <w:r>
        <w:t>Acinetobacter spp.</w:t>
      </w:r>
    </w:p>
    <w:p w14:paraId="7F531DA3" w14:textId="77777777" w:rsidR="00B13AC9" w:rsidRDefault="00B13AC9" w:rsidP="00B13AC9"/>
    <w:p w14:paraId="76B87108" w14:textId="77777777" w:rsidR="000F7761" w:rsidRPr="00B13AC9" w:rsidRDefault="000F7761" w:rsidP="00B13AC9"/>
    <w:sectPr w:rsidR="000F7761" w:rsidRPr="00B13AC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280F" w14:textId="77777777" w:rsidR="00015BF0" w:rsidRDefault="00015BF0">
      <w:pPr>
        <w:spacing w:after="0" w:line="240" w:lineRule="auto"/>
      </w:pPr>
      <w:r>
        <w:separator/>
      </w:r>
    </w:p>
  </w:endnote>
  <w:endnote w:type="continuationSeparator" w:id="0">
    <w:p w14:paraId="6072B758" w14:textId="77777777" w:rsidR="00015BF0" w:rsidRDefault="00015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Rubik">
    <w:altName w:val="Arial"/>
    <w:panose1 w:val="00000000000000000000"/>
    <w:charset w:val="00"/>
    <w:family w:val="auto"/>
    <w:pitch w:val="variable"/>
    <w:sig w:usb0="A0002A6F" w:usb1="C000205B" w:usb2="00000000" w:usb3="00000000" w:csb0="000000F7" w:csb1="00000000"/>
  </w:font>
  <w:font w:name="Aptos Display">
    <w:charset w:val="00"/>
    <w:family w:val="swiss"/>
    <w:pitch w:val="variable"/>
    <w:sig w:usb0="20000287" w:usb1="00000003" w:usb2="00000000" w:usb3="00000000" w:csb0="0000019F" w:csb1="00000000"/>
  </w:font>
  <w:font w:name="Rubik Bold">
    <w:altName w:val="Cambria"/>
    <w:panose1 w:val="00000000000000000000"/>
    <w:charset w:val="00"/>
    <w:family w:val="roman"/>
    <w:notTrueType/>
    <w:pitch w:val="default"/>
  </w:font>
  <w:font w:name="Rubik Blac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9F571" w14:textId="77777777" w:rsidR="002D6FCC" w:rsidRDefault="002D6FCC">
    <w:pPr>
      <w:pBdr>
        <w:top w:val="nil"/>
        <w:left w:val="nil"/>
        <w:bottom w:val="nil"/>
        <w:right w:val="nil"/>
        <w:between w:val="nil"/>
      </w:pBdr>
      <w:tabs>
        <w:tab w:val="center" w:pos="4513"/>
        <w:tab w:val="right" w:pos="9026"/>
        <w:tab w:val="left" w:pos="1184"/>
      </w:tabs>
      <w:spacing w:after="0" w:line="240" w:lineRule="auto"/>
      <w:rPr>
        <w:rFonts w:eastAsia="Rubik"/>
        <w:color w:val="000000"/>
      </w:rPr>
    </w:pPr>
  </w:p>
  <w:p w14:paraId="7D49C7DD" w14:textId="77777777" w:rsidR="002D6FCC" w:rsidRDefault="002D6FCC">
    <w:pPr>
      <w:pBdr>
        <w:top w:val="nil"/>
        <w:left w:val="nil"/>
        <w:bottom w:val="nil"/>
        <w:right w:val="nil"/>
        <w:between w:val="nil"/>
      </w:pBdr>
      <w:tabs>
        <w:tab w:val="center" w:pos="4513"/>
        <w:tab w:val="right" w:pos="9026"/>
      </w:tabs>
      <w:spacing w:after="0" w:line="240" w:lineRule="auto"/>
      <w:rPr>
        <w:rFonts w:eastAsia="Rubik"/>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6AE5" w14:textId="77777777" w:rsidR="00015BF0" w:rsidRDefault="00015BF0">
      <w:pPr>
        <w:spacing w:after="0" w:line="240" w:lineRule="auto"/>
      </w:pPr>
      <w:r>
        <w:separator/>
      </w:r>
    </w:p>
  </w:footnote>
  <w:footnote w:type="continuationSeparator" w:id="0">
    <w:p w14:paraId="319494FD" w14:textId="77777777" w:rsidR="00015BF0" w:rsidRDefault="00015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2540"/>
    <w:multiLevelType w:val="hybridMultilevel"/>
    <w:tmpl w:val="660A0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89591B"/>
    <w:multiLevelType w:val="hybridMultilevel"/>
    <w:tmpl w:val="670A6D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6612F4A"/>
    <w:multiLevelType w:val="hybridMultilevel"/>
    <w:tmpl w:val="D0AE3B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93674CA"/>
    <w:multiLevelType w:val="multilevel"/>
    <w:tmpl w:val="6BA068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4C4973"/>
    <w:multiLevelType w:val="multilevel"/>
    <w:tmpl w:val="2E7CC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CFF17D6"/>
    <w:multiLevelType w:val="hybridMultilevel"/>
    <w:tmpl w:val="1F0EA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897354"/>
    <w:multiLevelType w:val="hybridMultilevel"/>
    <w:tmpl w:val="018483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0CC589D"/>
    <w:multiLevelType w:val="hybridMultilevel"/>
    <w:tmpl w:val="B1E2E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90215B"/>
    <w:multiLevelType w:val="hybridMultilevel"/>
    <w:tmpl w:val="B86827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98797C"/>
    <w:multiLevelType w:val="hybridMultilevel"/>
    <w:tmpl w:val="AA4814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CB97084"/>
    <w:multiLevelType w:val="hybridMultilevel"/>
    <w:tmpl w:val="A7FAC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FB4B5B"/>
    <w:multiLevelType w:val="hybridMultilevel"/>
    <w:tmpl w:val="70F03E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24D6B71"/>
    <w:multiLevelType w:val="hybridMultilevel"/>
    <w:tmpl w:val="EE62C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DC26DA"/>
    <w:multiLevelType w:val="hybridMultilevel"/>
    <w:tmpl w:val="4F8AD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873A67"/>
    <w:multiLevelType w:val="hybridMultilevel"/>
    <w:tmpl w:val="7040D3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0925269"/>
    <w:multiLevelType w:val="hybridMultilevel"/>
    <w:tmpl w:val="9C82B3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0D73FE8"/>
    <w:multiLevelType w:val="hybridMultilevel"/>
    <w:tmpl w:val="ABB00A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5377C6"/>
    <w:multiLevelType w:val="hybridMultilevel"/>
    <w:tmpl w:val="5CBE3B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D90433F"/>
    <w:multiLevelType w:val="hybridMultilevel"/>
    <w:tmpl w:val="E3967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40476BA"/>
    <w:multiLevelType w:val="hybridMultilevel"/>
    <w:tmpl w:val="41F23B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6CA26F2"/>
    <w:multiLevelType w:val="hybridMultilevel"/>
    <w:tmpl w:val="ABCAD7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C514111"/>
    <w:multiLevelType w:val="hybridMultilevel"/>
    <w:tmpl w:val="EF507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4968398">
    <w:abstractNumId w:val="3"/>
  </w:num>
  <w:num w:numId="2" w16cid:durableId="23092726">
    <w:abstractNumId w:val="4"/>
  </w:num>
  <w:num w:numId="3" w16cid:durableId="289555319">
    <w:abstractNumId w:val="20"/>
  </w:num>
  <w:num w:numId="4" w16cid:durableId="1378041809">
    <w:abstractNumId w:val="21"/>
  </w:num>
  <w:num w:numId="5" w16cid:durableId="1795949869">
    <w:abstractNumId w:val="10"/>
  </w:num>
  <w:num w:numId="6" w16cid:durableId="1496609530">
    <w:abstractNumId w:val="7"/>
  </w:num>
  <w:num w:numId="7" w16cid:durableId="1431045874">
    <w:abstractNumId w:val="5"/>
  </w:num>
  <w:num w:numId="8" w16cid:durableId="1981029310">
    <w:abstractNumId w:val="12"/>
  </w:num>
  <w:num w:numId="9" w16cid:durableId="630404873">
    <w:abstractNumId w:val="6"/>
  </w:num>
  <w:num w:numId="10" w16cid:durableId="78598033">
    <w:abstractNumId w:val="13"/>
  </w:num>
  <w:num w:numId="11" w16cid:durableId="2058047634">
    <w:abstractNumId w:val="16"/>
  </w:num>
  <w:num w:numId="12" w16cid:durableId="362023523">
    <w:abstractNumId w:val="11"/>
  </w:num>
  <w:num w:numId="13" w16cid:durableId="848829445">
    <w:abstractNumId w:val="8"/>
  </w:num>
  <w:num w:numId="14" w16cid:durableId="2116092022">
    <w:abstractNumId w:val="18"/>
  </w:num>
  <w:num w:numId="15" w16cid:durableId="1325670323">
    <w:abstractNumId w:val="19"/>
  </w:num>
  <w:num w:numId="16" w16cid:durableId="1148860304">
    <w:abstractNumId w:val="17"/>
  </w:num>
  <w:num w:numId="17" w16cid:durableId="84426430">
    <w:abstractNumId w:val="15"/>
  </w:num>
  <w:num w:numId="18" w16cid:durableId="1338311146">
    <w:abstractNumId w:val="1"/>
  </w:num>
  <w:num w:numId="19" w16cid:durableId="1722747714">
    <w:abstractNumId w:val="2"/>
  </w:num>
  <w:num w:numId="20" w16cid:durableId="1590237683">
    <w:abstractNumId w:val="14"/>
  </w:num>
  <w:num w:numId="21" w16cid:durableId="1835291903">
    <w:abstractNumId w:val="0"/>
  </w:num>
  <w:num w:numId="22" w16cid:durableId="112361662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61"/>
    <w:rsid w:val="00015BF0"/>
    <w:rsid w:val="0005225E"/>
    <w:rsid w:val="00055D94"/>
    <w:rsid w:val="000F7761"/>
    <w:rsid w:val="001002A9"/>
    <w:rsid w:val="00103BC9"/>
    <w:rsid w:val="002D6FCC"/>
    <w:rsid w:val="0035383B"/>
    <w:rsid w:val="003B7147"/>
    <w:rsid w:val="004336AA"/>
    <w:rsid w:val="004658A8"/>
    <w:rsid w:val="0049199F"/>
    <w:rsid w:val="004E339D"/>
    <w:rsid w:val="00531B61"/>
    <w:rsid w:val="006A0B70"/>
    <w:rsid w:val="006C4CF9"/>
    <w:rsid w:val="0071285D"/>
    <w:rsid w:val="007277A8"/>
    <w:rsid w:val="00774D40"/>
    <w:rsid w:val="0078024B"/>
    <w:rsid w:val="007B7990"/>
    <w:rsid w:val="007D58A5"/>
    <w:rsid w:val="00977C87"/>
    <w:rsid w:val="00B13AC9"/>
    <w:rsid w:val="00BE57B0"/>
    <w:rsid w:val="00C37067"/>
    <w:rsid w:val="00E5284D"/>
    <w:rsid w:val="00EF013B"/>
    <w:rsid w:val="00FE32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ABA0"/>
  <w15:chartTrackingRefBased/>
  <w15:docId w15:val="{8B29B1C2-0170-4BE5-8D12-A6B1922B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FCC"/>
    <w:pPr>
      <w:spacing w:line="256" w:lineRule="auto"/>
    </w:pPr>
    <w:rPr>
      <w:rFonts w:ascii="Rubik" w:eastAsiaTheme="minorEastAsia" w:hAnsi="Rubik" w:cs="Rubik"/>
      <w:kern w:val="0"/>
      <w:sz w:val="28"/>
      <w:szCs w:val="28"/>
      <w:lang w:val="hu-HU" w:eastAsia="zh-CN"/>
      <w14:ligatures w14:val="none"/>
    </w:rPr>
  </w:style>
  <w:style w:type="paragraph" w:styleId="Heading1">
    <w:name w:val="heading 1"/>
    <w:basedOn w:val="Normal"/>
    <w:next w:val="Normal"/>
    <w:link w:val="Heading1Char"/>
    <w:uiPriority w:val="9"/>
    <w:qFormat/>
    <w:rsid w:val="000F7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7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7761"/>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rsid w:val="000F7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7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77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77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77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7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761"/>
    <w:rPr>
      <w:rFonts w:eastAsiaTheme="majorEastAsia" w:cstheme="majorBidi"/>
      <w:color w:val="272727" w:themeColor="text1" w:themeTint="D8"/>
    </w:rPr>
  </w:style>
  <w:style w:type="paragraph" w:styleId="Title">
    <w:name w:val="Title"/>
    <w:basedOn w:val="Normal"/>
    <w:next w:val="Normal"/>
    <w:link w:val="TitleChar"/>
    <w:uiPriority w:val="10"/>
    <w:qFormat/>
    <w:rsid w:val="000F7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761"/>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F7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761"/>
    <w:pPr>
      <w:spacing w:before="160"/>
      <w:jc w:val="center"/>
    </w:pPr>
    <w:rPr>
      <w:i/>
      <w:iCs/>
      <w:color w:val="404040" w:themeColor="text1" w:themeTint="BF"/>
    </w:rPr>
  </w:style>
  <w:style w:type="character" w:customStyle="1" w:styleId="QuoteChar">
    <w:name w:val="Quote Char"/>
    <w:basedOn w:val="DefaultParagraphFont"/>
    <w:link w:val="Quote"/>
    <w:uiPriority w:val="29"/>
    <w:rsid w:val="000F7761"/>
    <w:rPr>
      <w:i/>
      <w:iCs/>
      <w:color w:val="404040" w:themeColor="text1" w:themeTint="BF"/>
    </w:rPr>
  </w:style>
  <w:style w:type="paragraph" w:styleId="ListParagraph">
    <w:name w:val="List Paragraph"/>
    <w:basedOn w:val="Normal"/>
    <w:uiPriority w:val="34"/>
    <w:qFormat/>
    <w:rsid w:val="000F7761"/>
    <w:pPr>
      <w:ind w:left="720"/>
      <w:contextualSpacing/>
    </w:pPr>
  </w:style>
  <w:style w:type="character" w:styleId="IntenseEmphasis">
    <w:name w:val="Intense Emphasis"/>
    <w:basedOn w:val="DefaultParagraphFont"/>
    <w:uiPriority w:val="21"/>
    <w:qFormat/>
    <w:rsid w:val="000F7761"/>
    <w:rPr>
      <w:i/>
      <w:iCs/>
      <w:color w:val="0F4761" w:themeColor="accent1" w:themeShade="BF"/>
    </w:rPr>
  </w:style>
  <w:style w:type="paragraph" w:styleId="IntenseQuote">
    <w:name w:val="Intense Quote"/>
    <w:basedOn w:val="Normal"/>
    <w:next w:val="Normal"/>
    <w:link w:val="IntenseQuoteChar"/>
    <w:uiPriority w:val="30"/>
    <w:qFormat/>
    <w:rsid w:val="000F7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761"/>
    <w:rPr>
      <w:i/>
      <w:iCs/>
      <w:color w:val="0F4761" w:themeColor="accent1" w:themeShade="BF"/>
    </w:rPr>
  </w:style>
  <w:style w:type="character" w:styleId="IntenseReference">
    <w:name w:val="Intense Reference"/>
    <w:basedOn w:val="DefaultParagraphFont"/>
    <w:uiPriority w:val="32"/>
    <w:qFormat/>
    <w:rsid w:val="000F7761"/>
    <w:rPr>
      <w:b/>
      <w:bCs/>
      <w:smallCaps/>
      <w:color w:val="0F4761" w:themeColor="accent1" w:themeShade="BF"/>
      <w:spacing w:val="5"/>
    </w:rPr>
  </w:style>
  <w:style w:type="paragraph" w:styleId="Header">
    <w:name w:val="header"/>
    <w:basedOn w:val="Normal"/>
    <w:link w:val="HeaderChar"/>
    <w:uiPriority w:val="99"/>
    <w:unhideWhenUsed/>
    <w:rsid w:val="002D6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FCC"/>
    <w:rPr>
      <w:rFonts w:ascii="Rubik" w:eastAsiaTheme="minorEastAsia" w:hAnsi="Rubik" w:cs="Rubik"/>
      <w:kern w:val="0"/>
      <w:sz w:val="28"/>
      <w:szCs w:val="28"/>
      <w:lang w:val="hu-HU" w:eastAsia="zh-CN"/>
      <w14:ligatures w14:val="none"/>
    </w:rPr>
  </w:style>
  <w:style w:type="paragraph" w:styleId="Footer">
    <w:name w:val="footer"/>
    <w:basedOn w:val="Normal"/>
    <w:link w:val="FooterChar"/>
    <w:uiPriority w:val="99"/>
    <w:unhideWhenUsed/>
    <w:rsid w:val="002D6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FCC"/>
    <w:rPr>
      <w:rFonts w:ascii="Rubik" w:eastAsiaTheme="minorEastAsia" w:hAnsi="Rubik" w:cs="Rubik"/>
      <w:kern w:val="0"/>
      <w:sz w:val="28"/>
      <w:szCs w:val="28"/>
      <w:lang w:val="hu-HU" w:eastAsia="zh-CN"/>
      <w14:ligatures w14:val="none"/>
    </w:rPr>
  </w:style>
  <w:style w:type="table" w:styleId="TableGrid">
    <w:name w:val="Table Grid"/>
    <w:basedOn w:val="TableNormal"/>
    <w:uiPriority w:val="39"/>
    <w:rsid w:val="002D6FCC"/>
    <w:pPr>
      <w:spacing w:after="0" w:line="240" w:lineRule="auto"/>
    </w:pPr>
    <w:rPr>
      <w:rFonts w:ascii="Rubik" w:eastAsiaTheme="minorEastAsia" w:hAnsi="Rubik" w:cs="Rubik"/>
      <w:kern w:val="0"/>
      <w:sz w:val="28"/>
      <w:szCs w:val="28"/>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6FCC"/>
    <w:pPr>
      <w:spacing w:after="0" w:line="240" w:lineRule="auto"/>
    </w:pPr>
    <w:rPr>
      <w:rFonts w:ascii="Rubik" w:eastAsiaTheme="minorEastAsia" w:hAnsi="Rubik" w:cs="Rubik"/>
      <w:kern w:val="0"/>
      <w:sz w:val="28"/>
      <w:szCs w:val="28"/>
      <w:lang w:val="hu-HU" w:eastAsia="zh-CN"/>
      <w14:ligatures w14:val="none"/>
    </w:rPr>
  </w:style>
  <w:style w:type="character" w:styleId="Emphasis">
    <w:name w:val="Emphasis"/>
    <w:basedOn w:val="DefaultParagraphFont"/>
    <w:uiPriority w:val="20"/>
    <w:qFormat/>
    <w:rsid w:val="002D6FCC"/>
    <w:rPr>
      <w:i/>
      <w:iCs/>
    </w:rPr>
  </w:style>
  <w:style w:type="character" w:styleId="SubtleEmphasis">
    <w:name w:val="Subtle Emphasis"/>
    <w:basedOn w:val="DefaultParagraphFont"/>
    <w:uiPriority w:val="19"/>
    <w:qFormat/>
    <w:rsid w:val="002D6FCC"/>
    <w:rPr>
      <w:i/>
      <w:iCs/>
      <w:color w:val="404040" w:themeColor="text1" w:themeTint="BF"/>
    </w:rPr>
  </w:style>
  <w:style w:type="paragraph" w:styleId="Revision">
    <w:name w:val="Revision"/>
    <w:hidden/>
    <w:uiPriority w:val="99"/>
    <w:semiHidden/>
    <w:rsid w:val="002D6FCC"/>
    <w:pPr>
      <w:spacing w:after="0" w:line="240" w:lineRule="auto"/>
    </w:pPr>
    <w:rPr>
      <w:rFonts w:ascii="Rubik" w:eastAsiaTheme="minorEastAsia" w:hAnsi="Rubik" w:cs="Rubik"/>
      <w:kern w:val="0"/>
      <w:sz w:val="28"/>
      <w:szCs w:val="28"/>
      <w:lang w:val="hu-HU"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972</Words>
  <Characters>5543</Characters>
  <Application>Microsoft Office Word</Application>
  <DocSecurity>0</DocSecurity>
  <Lines>46</Lines>
  <Paragraphs>13</Paragraphs>
  <ScaleCrop>false</ScaleCrop>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Lorinc Zavorszky</dc:creator>
  <cp:keywords/>
  <dc:description/>
  <cp:lastModifiedBy>Lorinc Zavorszky</cp:lastModifiedBy>
  <cp:revision>13</cp:revision>
  <dcterms:created xsi:type="dcterms:W3CDTF">2026-05-21T08:16:00Z</dcterms:created>
  <dcterms:modified xsi:type="dcterms:W3CDTF">2026-06-13T13:30:00Z</dcterms:modified>
</cp:coreProperties>
</file>