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52"/>
          <w:szCs w:val="52"/>
        </w:rPr>
        <w:t xml:space="preserve">Berechtigungskonzept</w:t>
      </w:r>
    </w:p>
    <w:p>
      <w:pPr>
        <w:spacing w:after="400"/>
      </w:pPr>
      <w:r>
        <w:rPr>
          <w:rFonts w:ascii="Calibri" w:cs="Calibri" w:eastAsia="Calibri" w:hAnsi="Calibri"/>
          <w:color w:val="2E5496"/>
          <w:sz w:val="30"/>
          <w:szCs w:val="30"/>
        </w:rPr>
        <w:t xml:space="preserve">Provisionsmanagement und Software-Verkaufsmanagement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Gegenstand</w:t>
            </w:r>
          </w:p>
        </w:tc>
        <w:tc>
          <w:tcPr>
            <w:tcW w:type="dxa" w:w="66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Angabe</w:t>
            </w:r>
          </w:p>
        </w:tc>
      </w:tr>
      <w:tr>
        <w:tc>
          <w:tcPr>
            <w:tcW w:type="dxa" w:w="24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Extensions</w:t>
            </w:r>
          </w:p>
        </w:tc>
        <w:tc>
          <w:tcPr>
            <w:tcW w:type="dxa" w:w="66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Commission Management 1.1.0.0</w:t>
            </w:r>
          </w:p>
          <w:p>
            <w:pPr>
              <w:spacing w:after="40" w:before="40"/>
              <w:jc w:val="left"/>
            </w:pPr>
            <w:r>
              <w:rPr>
                <w:rFonts w:ascii="Calibri" w:cs="Calibri" w:eastAsia="Calibri" w:hAnsi="Calibri"/>
                <w:b w:val="false"/>
                <w:bCs w:val="false"/>
                <w:sz w:val="19"/>
                <w:szCs w:val="19"/>
              </w:rPr>
              <w:t xml:space="preserve">Software Sales Management 1.0.0.0</w:t>
            </w:r>
          </w:p>
        </w:tc>
      </w:tr>
      <w:tr>
        <w:tc>
          <w:tcPr>
            <w:tcW w:type="dxa" w:w="24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Objekt-Präfix</w:t>
            </w:r>
          </w:p>
        </w:tc>
        <w:tc>
          <w:tcPr>
            <w:tcW w:type="dxa" w:w="66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w:t>
            </w:r>
          </w:p>
        </w:tc>
      </w:tr>
      <w:tr>
        <w:tc>
          <w:tcPr>
            <w:tcW w:type="dxa" w:w="24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ID-Bereiche</w:t>
            </w:r>
          </w:p>
        </w:tc>
        <w:tc>
          <w:tcPr>
            <w:tcW w:type="dxa" w:w="66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63000 – 63500 · 63600 – 63700</w:t>
            </w:r>
          </w:p>
        </w:tc>
      </w:tr>
      <w:tr>
        <w:tc>
          <w:tcPr>
            <w:tcW w:type="dxa" w:w="24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Berechtigungssätze</w:t>
            </w:r>
          </w:p>
        </w:tc>
        <w:tc>
          <w:tcPr>
            <w:tcW w:type="dxa" w:w="66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8, davon 4 je Extension</w:t>
            </w:r>
          </w:p>
        </w:tc>
      </w:tr>
      <w:tr>
        <w:tc>
          <w:tcPr>
            <w:tcW w:type="dxa" w:w="24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Stand</w:t>
            </w:r>
          </w:p>
        </w:tc>
        <w:tc>
          <w:tcPr>
            <w:tcW w:type="dxa" w:w="66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Version 1.0 – abgeleitet aus dem Quellcode der Berechtigungssätze</w:t>
            </w:r>
          </w:p>
        </w:tc>
      </w:tr>
    </w:tbl>
    <w:p>
      <w:pPr>
        <w:pStyle w:val="Heading1"/>
        <w:spacing w:after="160" w:before="320"/>
      </w:pPr>
      <w:r>
        <w:t xml:space="preserve">1  Zweck</w:t>
      </w:r>
    </w:p>
    <w:p>
      <w:pPr>
        <w:spacing w:after="120" w:line="276"/>
      </w:pPr>
      <w:r>
        <w:rPr>
          <w:rFonts w:ascii="Calibri" w:cs="Calibri" w:eastAsia="Calibri" w:hAnsi="Calibri"/>
          <w:b w:val="false"/>
          <w:bCs w:val="false"/>
          <w:i w:val="false"/>
          <w:iCs w:val="false"/>
          <w:sz w:val="21"/>
          <w:szCs w:val="21"/>
        </w:rPr>
        <w:t xml:space="preserve">Dieses Dokument beschreibt, wer im Provisionsmanagement und im Software-Verkaufsmanagement was tun darf. Es richtet sich an die Person, die im Mandanten die Benutzerrechte vergibt, und an das Code-Review.</w:t>
      </w:r>
    </w:p>
    <w:p>
      <w:pPr>
        <w:spacing w:after="120" w:line="276"/>
      </w:pPr>
      <w:r>
        <w:rPr>
          <w:rFonts w:ascii="Calibri" w:cs="Calibri" w:eastAsia="Calibri" w:hAnsi="Calibri"/>
          <w:b w:val="false"/>
          <w:bCs w:val="false"/>
          <w:i w:val="false"/>
          <w:iCs w:val="false"/>
          <w:sz w:val="21"/>
          <w:szCs w:val="21"/>
        </w:rPr>
        <w:t xml:space="preserve">Die Angaben sind aus den acht ausgelieferten Berechtigungssätzen abgeleitet und geben deren Inhalt wieder – nicht eine Absicht, die davon abweicht.</w:t>
      </w:r>
    </w:p>
    <w:p>
      <w:pPr>
        <w:pStyle w:val="Heading1"/>
        <w:spacing w:after="160" w:before="320"/>
      </w:pPr>
      <w:r>
        <w:t xml:space="preserve">2  Aufbau</w:t>
      </w:r>
    </w:p>
    <w:p>
      <w:pPr>
        <w:spacing w:after="120" w:line="276"/>
      </w:pPr>
      <w:r>
        <w:rPr>
          <w:rFonts w:ascii="Calibri" w:cs="Calibri" w:eastAsia="Calibri" w:hAnsi="Calibri"/>
          <w:b w:val="false"/>
          <w:bCs w:val="false"/>
          <w:i w:val="false"/>
          <w:iCs w:val="false"/>
          <w:sz w:val="21"/>
          <w:szCs w:val="21"/>
        </w:rPr>
        <w:t xml:space="preserve">Jede der beiden Extensions liefert vier Berechtigungssätze nach demselben Schema. Damit lässt sich jede Rolle aus höchstens zwei Sätzen je Modul zusammenstellen, ohne dass für einzelne Benutzer eigene Sätze gepflegt werden müssen.</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5800"/>
      </w:tblGrid>
      <w:tr>
        <w:trPr>
          <w:tblHeader/>
        </w:trPr>
        <w:tc>
          <w:tcPr>
            <w:tcW w:type="dxa" w:w="11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Kürzel</w:t>
            </w:r>
          </w:p>
        </w:tc>
        <w:tc>
          <w:tcPr>
            <w:tcW w:type="dxa" w:w="21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Bedeutung</w:t>
            </w:r>
          </w:p>
        </w:tc>
        <w:tc>
          <w:tcPr>
            <w:tcW w:type="dxa" w:w="58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Zuschnitt</w:t>
            </w:r>
          </w:p>
        </w:tc>
      </w:tr>
      <w:tr>
        <w:tc>
          <w:tcPr>
            <w:tcW w:type="dxa" w:w="11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GL</w:t>
            </w:r>
          </w:p>
        </w:tc>
        <w:tc>
          <w:tcPr>
            <w:tcW w:type="dxa" w:w="21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Full Access</w:t>
            </w:r>
          </w:p>
        </w:tc>
        <w:tc>
          <w:tcPr>
            <w:tcW w:type="dxa" w:w="58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Alles lesen, anlegen, ändern, löschen – mit Ausnahme der Posten.</w:t>
            </w:r>
          </w:p>
        </w:tc>
      </w:tr>
      <w:tr>
        <w:tc>
          <w:tcPr>
            <w:tcW w:type="dxa" w:w="11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RO</w:t>
            </w:r>
          </w:p>
        </w:tc>
        <w:tc>
          <w:tcPr>
            <w:tcW w:type="dxa" w:w="21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Read Only</w:t>
            </w:r>
          </w:p>
        </w:tc>
        <w:tc>
          <w:tcPr>
            <w:tcW w:type="dxa" w:w="58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Ausschließlich lesen. Keine Ausführungsrechte auf Buchungsroutinen.</w:t>
            </w:r>
          </w:p>
        </w:tc>
      </w:tr>
      <w:tr>
        <w:tc>
          <w:tcPr>
            <w:tcW w:type="dxa" w:w="11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PO</w:t>
            </w:r>
          </w:p>
        </w:tc>
        <w:tc>
          <w:tcPr>
            <w:tcW w:type="dxa" w:w="21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Posting</w:t>
            </w:r>
          </w:p>
        </w:tc>
        <w:tc>
          <w:tcPr>
            <w:tcW w:type="dxa" w:w="58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Der Tagesbetrieb: erfassen und buchen, Stammdaten nur lesen.</w:t>
            </w:r>
          </w:p>
        </w:tc>
      </w:tr>
      <w:tr>
        <w:tc>
          <w:tcPr>
            <w:tcW w:type="dxa" w:w="11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SE</w:t>
            </w:r>
          </w:p>
        </w:tc>
        <w:tc>
          <w:tcPr>
            <w:tcW w:type="dxa" w:w="21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Setup</w:t>
            </w:r>
          </w:p>
        </w:tc>
        <w:tc>
          <w:tcPr>
            <w:tcW w:type="dxa" w:w="58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Einrichtung und Stammdaten, kein Zugriff auf Bewegungsdaten.</w:t>
            </w:r>
          </w:p>
        </w:tc>
      </w:tr>
    </w:tbl>
    <w:p>
      <w:pPr>
        <w:spacing w:after="120"/>
      </w:pPr>
    </w:p>
    <w:p>
      <w:pPr>
        <w:spacing w:after="120" w:line="276"/>
      </w:pPr>
      <w:r>
        <w:rPr>
          <w:rFonts w:ascii="Calibri" w:cs="Calibri" w:eastAsia="Calibri" w:hAnsi="Calibri"/>
          <w:b w:val="false"/>
          <w:bCs w:val="false"/>
          <w:i w:val="false"/>
          <w:iCs w:val="false"/>
          <w:sz w:val="21"/>
          <w:szCs w:val="21"/>
        </w:rPr>
        <w:t xml:space="preserve">Alle acht Sätze sind mit Assignable = true ausgeliefert und lassen sich damit direkt einem Benutzer oder einer Benutzergruppe zuweisen.</w:t>
      </w:r>
    </w:p>
    <w:p>
      <w:r>
        <w:br w:type="page"/>
      </w:r>
    </w:p>
    <w:p>
      <w:pPr>
        <w:pStyle w:val="Heading1"/>
        <w:spacing w:after="160" w:before="320"/>
      </w:pPr>
      <w:r>
        <w:t xml:space="preserve">3  Übersicht der Berechtigungssätze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1900"/>
        <w:gridCol w:w="2900"/>
        <w:gridCol w:w="1800"/>
      </w:tblGrid>
      <w:tr>
        <w:trPr>
          <w:tblHeader/>
        </w:trPr>
        <w:tc>
          <w:tcPr>
            <w:tcW w:type="dxa" w:w="17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Extension</w:t>
            </w:r>
          </w:p>
        </w:tc>
        <w:tc>
          <w:tcPr>
            <w:tcW w:type="dxa" w:w="7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ID</w:t>
            </w:r>
          </w:p>
        </w:tc>
        <w:tc>
          <w:tcPr>
            <w:tcW w:type="dxa" w:w="19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Name</w:t>
            </w:r>
          </w:p>
        </w:tc>
        <w:tc>
          <w:tcPr>
            <w:tcW w:type="dxa" w:w="29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Bezeichnung</w:t>
            </w:r>
          </w:p>
        </w:tc>
        <w:tc>
          <w:tcPr>
            <w:tcW w:type="dxa" w:w="18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Zielgruppe</w:t>
            </w:r>
          </w:p>
        </w:tc>
      </w:tr>
      <w:tr>
        <w:tc>
          <w:tcPr>
            <w:tcW w:type="dxa" w:w="17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Provisionsmanagement</w:t>
            </w:r>
          </w:p>
        </w:tc>
        <w:tc>
          <w:tcPr>
            <w:tcW w:type="dxa" w:w="7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63000</w:t>
            </w:r>
          </w:p>
        </w:tc>
        <w:tc>
          <w:tcPr>
            <w:tcW w:type="dxa" w:w="19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Permission GL</w:t>
            </w:r>
          </w:p>
        </w:tc>
        <w:tc>
          <w:tcPr>
            <w:tcW w:type="dxa" w:w="29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Vollzugriff auf Provisionsmanagement</w:t>
            </w:r>
          </w:p>
        </w:tc>
        <w:tc>
          <w:tcPr>
            <w:tcW w:type="dxa" w:w="18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Key User, Support</w:t>
            </w:r>
          </w:p>
        </w:tc>
      </w:tr>
      <w:tr>
        <w:tc>
          <w:tcPr>
            <w:tcW w:type="dxa" w:w="17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
            </w:r>
          </w:p>
        </w:tc>
        <w:tc>
          <w:tcPr>
            <w:tcW w:type="dxa" w:w="7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63001</w:t>
            </w:r>
          </w:p>
        </w:tc>
        <w:tc>
          <w:tcPr>
            <w:tcW w:type="dxa" w:w="19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Permission RO</w:t>
            </w:r>
          </w:p>
        </w:tc>
        <w:tc>
          <w:tcPr>
            <w:tcW w:type="dxa" w:w="29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Nur-Lese-Zugriff auf Provisionsmanagement</w:t>
            </w:r>
          </w:p>
        </w:tc>
        <w:tc>
          <w:tcPr>
            <w:tcW w:type="dxa" w:w="18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Auskunft, Controlling</w:t>
            </w:r>
          </w:p>
        </w:tc>
      </w:tr>
      <w:tr>
        <w:tc>
          <w:tcPr>
            <w:tcW w:type="dxa" w:w="17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
            </w:r>
          </w:p>
        </w:tc>
        <w:tc>
          <w:tcPr>
            <w:tcW w:type="dxa" w:w="7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63003</w:t>
            </w:r>
          </w:p>
        </w:tc>
        <w:tc>
          <w:tcPr>
            <w:tcW w:type="dxa" w:w="19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Permission PO</w:t>
            </w:r>
          </w:p>
        </w:tc>
        <w:tc>
          <w:tcPr>
            <w:tcW w:type="dxa" w:w="29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Zugriff auf Provisionsbuchung</w:t>
            </w:r>
          </w:p>
        </w:tc>
        <w:tc>
          <w:tcPr>
            <w:tcW w:type="dxa" w:w="18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Sachbearbeitung Abrechnung</w:t>
            </w:r>
          </w:p>
        </w:tc>
      </w:tr>
      <w:tr>
        <w:tc>
          <w:tcPr>
            <w:tcW w:type="dxa" w:w="17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
            </w:r>
          </w:p>
        </w:tc>
        <w:tc>
          <w:tcPr>
            <w:tcW w:type="dxa" w:w="7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63004</w:t>
            </w:r>
          </w:p>
        </w:tc>
        <w:tc>
          <w:tcPr>
            <w:tcW w:type="dxa" w:w="19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Permission SE</w:t>
            </w:r>
          </w:p>
        </w:tc>
        <w:tc>
          <w:tcPr>
            <w:tcW w:type="dxa" w:w="29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Zugriff auf Provisionssetup</w:t>
            </w:r>
          </w:p>
        </w:tc>
        <w:tc>
          <w:tcPr>
            <w:tcW w:type="dxa" w:w="18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Einrichtung, Administration</w:t>
            </w:r>
          </w:p>
        </w:tc>
      </w:tr>
      <w:tr>
        <w:tc>
          <w:tcPr>
            <w:tcW w:type="dxa" w:w="17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Software-Verkaufs-</w:t>
            </w:r>
          </w:p>
          <w:p>
            <w:pPr>
              <w:spacing w:after="40" w:before="40"/>
              <w:jc w:val="left"/>
            </w:pPr>
            <w:r>
              <w:rPr>
                <w:rFonts w:ascii="Calibri" w:cs="Calibri" w:eastAsia="Calibri" w:hAnsi="Calibri"/>
                <w:b w:val="false"/>
                <w:bCs w:val="false"/>
                <w:sz w:val="19"/>
                <w:szCs w:val="19"/>
              </w:rPr>
              <w:t xml:space="preserve">management</w:t>
            </w:r>
          </w:p>
        </w:tc>
        <w:tc>
          <w:tcPr>
            <w:tcW w:type="dxa" w:w="7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63600</w:t>
            </w:r>
          </w:p>
        </w:tc>
        <w:tc>
          <w:tcPr>
            <w:tcW w:type="dxa" w:w="19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Sw. Sales GL</w:t>
            </w:r>
          </w:p>
        </w:tc>
        <w:tc>
          <w:tcPr>
            <w:tcW w:type="dxa" w:w="29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Vollzugriff auf Software Verkaufsmanagement</w:t>
            </w:r>
          </w:p>
        </w:tc>
        <w:tc>
          <w:tcPr>
            <w:tcW w:type="dxa" w:w="18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Key User, Support</w:t>
            </w:r>
          </w:p>
        </w:tc>
      </w:tr>
      <w:tr>
        <w:tc>
          <w:tcPr>
            <w:tcW w:type="dxa" w:w="17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
            </w:r>
          </w:p>
        </w:tc>
        <w:tc>
          <w:tcPr>
            <w:tcW w:type="dxa" w:w="7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63601</w:t>
            </w:r>
          </w:p>
        </w:tc>
        <w:tc>
          <w:tcPr>
            <w:tcW w:type="dxa" w:w="19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Sw. Sales RO</w:t>
            </w:r>
          </w:p>
        </w:tc>
        <w:tc>
          <w:tcPr>
            <w:tcW w:type="dxa" w:w="29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Nur-Lese-Zugriff auf Software Verkaufsmanagement</w:t>
            </w:r>
          </w:p>
        </w:tc>
        <w:tc>
          <w:tcPr>
            <w:tcW w:type="dxa" w:w="18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Auskunft, Controlling</w:t>
            </w:r>
          </w:p>
        </w:tc>
      </w:tr>
      <w:tr>
        <w:tc>
          <w:tcPr>
            <w:tcW w:type="dxa" w:w="17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
            </w:r>
          </w:p>
        </w:tc>
        <w:tc>
          <w:tcPr>
            <w:tcW w:type="dxa" w:w="7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63602</w:t>
            </w:r>
          </w:p>
        </w:tc>
        <w:tc>
          <w:tcPr>
            <w:tcW w:type="dxa" w:w="19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Sw. Sales PO</w:t>
            </w:r>
          </w:p>
        </w:tc>
        <w:tc>
          <w:tcPr>
            <w:tcW w:type="dxa" w:w="29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Zugriff auf Softwareanpassung buchen</w:t>
            </w:r>
          </w:p>
        </w:tc>
        <w:tc>
          <w:tcPr>
            <w:tcW w:type="dxa" w:w="18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Sachbearbeitung</w:t>
            </w:r>
          </w:p>
        </w:tc>
      </w:tr>
      <w:tr>
        <w:tc>
          <w:tcPr>
            <w:tcW w:type="dxa" w:w="17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
            </w:r>
          </w:p>
        </w:tc>
        <w:tc>
          <w:tcPr>
            <w:tcW w:type="dxa" w:w="7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63603</w:t>
            </w:r>
          </w:p>
        </w:tc>
        <w:tc>
          <w:tcPr>
            <w:tcW w:type="dxa" w:w="19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Sw. Sales SE</w:t>
            </w:r>
          </w:p>
        </w:tc>
        <w:tc>
          <w:tcPr>
            <w:tcW w:type="dxa" w:w="29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Zugriff auf Einrichtung Software Verkaufsmanagement</w:t>
            </w:r>
          </w:p>
        </w:tc>
        <w:tc>
          <w:tcPr>
            <w:tcW w:type="dxa" w:w="18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Einrichtung, Administration</w:t>
            </w:r>
          </w:p>
        </w:tc>
      </w:tr>
    </w:tbl>
    <w:p>
      <w:pPr>
        <w:pStyle w:val="Heading1"/>
        <w:spacing w:after="160" w:before="320"/>
      </w:pPr>
      <w:r>
        <w:t xml:space="preserve">4  Datenrechte je Tabelle</w:t>
      </w:r>
    </w:p>
    <w:p>
      <w:pPr>
        <w:spacing w:after="120" w:line="276"/>
      </w:pPr>
      <w:r>
        <w:rPr>
          <w:rFonts w:ascii="Calibri" w:cs="Calibri" w:eastAsia="Calibri" w:hAnsi="Calibri"/>
          <w:b w:val="false"/>
          <w:bCs w:val="false"/>
          <w:i w:val="false"/>
          <w:iCs w:val="false"/>
          <w:sz w:val="21"/>
          <w:szCs w:val="21"/>
        </w:rPr>
        <w:t xml:space="preserve">R = Lesen, I = Anlegen, M = Ändern, D = Löschen. Ein Strich bedeutet, dass der Satz auf diese Tabelle keinerlei Recht vergibt.</w:t>
      </w:r>
    </w:p>
    <w:p>
      <w:pPr>
        <w:spacing w:after="120" w:line="276"/>
      </w:pPr>
      <w:r>
        <w:rPr>
          <w:rFonts w:ascii="Calibri" w:cs="Calibri" w:eastAsia="Calibri" w:hAnsi="Calibri"/>
          <w:b w:val="false"/>
          <w:bCs w:val="false"/>
          <w:i w:val="false"/>
          <w:iCs w:val="false"/>
          <w:sz w:val="21"/>
          <w:szCs w:val="21"/>
        </w:rPr>
        <w:t xml:space="preserve">Die Schreibweise ist bedeutungstragend: Großbuchstaben stehen für ein direktes Recht, Kleinbuchstaben für ein indirektes. Ein indirektes Recht greift nur, während eine Codeunit läuft, die das Recht über ihre Permissions-Eigenschaft mitbringt. Rimd bedeutet also: lesen darf der Benutzer selbst, schreiben nur die Buchungsroutine in seinem Namen.</w:t>
      </w:r>
    </w:p>
    <w:p>
      <w:pPr>
        <w:pStyle w:val="Heading2"/>
        <w:spacing w:after="120" w:before="260"/>
      </w:pPr>
      <w:r>
        <w:t xml:space="preserve">4.1  Provisionsmanagement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000"/>
        <w:gridCol w:w="1000"/>
        <w:gridCol w:w="1000"/>
        <w:gridCol w:w="1000"/>
      </w:tblGrid>
      <w:tr>
        <w:trPr>
          <w:tblHeader/>
        </w:trPr>
        <w:tc>
          <w:tcPr>
            <w:tcW w:type="dxa" w:w="30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Tabelle</w:t>
            </w:r>
          </w:p>
        </w:tc>
        <w:tc>
          <w:tcPr>
            <w:tcW w:type="dxa" w:w="20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Art</w:t>
            </w:r>
          </w:p>
        </w:tc>
        <w:tc>
          <w:tcPr>
            <w:tcW w:type="dxa" w:w="1000"/>
            <w:shd w:fill="D9E2F3" w:color="auto" w:val="clear"/>
            <w:tcMar>
              <w:top w:type="dxa" w:w="60"/>
              <w:left w:type="dxa" w:w="100"/>
              <w:bottom w:type="dxa" w:w="60"/>
              <w:right w:type="dxa" w:w="100"/>
            </w:tcMar>
          </w:tcPr>
          <w:p>
            <w:pPr>
              <w:spacing w:after="40" w:before="40"/>
              <w:jc w:val="center"/>
            </w:pPr>
            <w:r>
              <w:rPr>
                <w:rFonts w:ascii="Calibri" w:cs="Calibri" w:eastAsia="Calibri" w:hAnsi="Calibri"/>
                <w:b/>
                <w:bCs/>
                <w:sz w:val="19"/>
                <w:szCs w:val="19"/>
              </w:rPr>
              <w:t xml:space="preserve">GL</w:t>
            </w:r>
          </w:p>
        </w:tc>
        <w:tc>
          <w:tcPr>
            <w:tcW w:type="dxa" w:w="1000"/>
            <w:shd w:fill="D9E2F3" w:color="auto" w:val="clear"/>
            <w:tcMar>
              <w:top w:type="dxa" w:w="60"/>
              <w:left w:type="dxa" w:w="100"/>
              <w:bottom w:type="dxa" w:w="60"/>
              <w:right w:type="dxa" w:w="100"/>
            </w:tcMar>
          </w:tcPr>
          <w:p>
            <w:pPr>
              <w:spacing w:after="40" w:before="40"/>
              <w:jc w:val="center"/>
            </w:pPr>
            <w:r>
              <w:rPr>
                <w:rFonts w:ascii="Calibri" w:cs="Calibri" w:eastAsia="Calibri" w:hAnsi="Calibri"/>
                <w:b/>
                <w:bCs/>
                <w:sz w:val="19"/>
                <w:szCs w:val="19"/>
              </w:rPr>
              <w:t xml:space="preserve">RO</w:t>
            </w:r>
          </w:p>
        </w:tc>
        <w:tc>
          <w:tcPr>
            <w:tcW w:type="dxa" w:w="1000"/>
            <w:shd w:fill="D9E2F3" w:color="auto" w:val="clear"/>
            <w:tcMar>
              <w:top w:type="dxa" w:w="60"/>
              <w:left w:type="dxa" w:w="100"/>
              <w:bottom w:type="dxa" w:w="60"/>
              <w:right w:type="dxa" w:w="100"/>
            </w:tcMar>
          </w:tcPr>
          <w:p>
            <w:pPr>
              <w:spacing w:after="40" w:before="40"/>
              <w:jc w:val="center"/>
            </w:pPr>
            <w:r>
              <w:rPr>
                <w:rFonts w:ascii="Calibri" w:cs="Calibri" w:eastAsia="Calibri" w:hAnsi="Calibri"/>
                <w:b/>
                <w:bCs/>
                <w:sz w:val="19"/>
                <w:szCs w:val="19"/>
              </w:rPr>
              <w:t xml:space="preserve">PO</w:t>
            </w:r>
          </w:p>
        </w:tc>
        <w:tc>
          <w:tcPr>
            <w:tcW w:type="dxa" w:w="1000"/>
            <w:shd w:fill="D9E2F3" w:color="auto" w:val="clear"/>
            <w:tcMar>
              <w:top w:type="dxa" w:w="60"/>
              <w:left w:type="dxa" w:w="100"/>
              <w:bottom w:type="dxa" w:w="60"/>
              <w:right w:type="dxa" w:w="100"/>
            </w:tcMar>
          </w:tcPr>
          <w:p>
            <w:pPr>
              <w:spacing w:after="40" w:before="40"/>
              <w:jc w:val="center"/>
            </w:pPr>
            <w:r>
              <w:rPr>
                <w:rFonts w:ascii="Calibri" w:cs="Calibri" w:eastAsia="Calibri" w:hAnsi="Calibri"/>
                <w:b/>
                <w:bCs/>
                <w:sz w:val="19"/>
                <w:szCs w:val="19"/>
              </w:rPr>
              <w:t xml:space="preserve">SE</w:t>
            </w:r>
          </w:p>
        </w:tc>
      </w:tr>
      <w:tr>
        <w:tc>
          <w:tcPr>
            <w:tcW w:type="dxa" w:w="30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Commission Mgt. Setup</w:t>
            </w:r>
          </w:p>
        </w:tc>
        <w:tc>
          <w:tcPr>
            <w:tcW w:type="dxa" w:w="20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Einrichtung</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RIMD</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RIMD</w:t>
            </w:r>
          </w:p>
        </w:tc>
      </w:tr>
      <w:tr>
        <w:tc>
          <w:tcPr>
            <w:tcW w:type="dxa" w:w="30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Commission Type</w:t>
            </w:r>
          </w:p>
        </w:tc>
        <w:tc>
          <w:tcPr>
            <w:tcW w:type="dxa" w:w="20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Stammdaten</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RIMD</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RIMD</w:t>
            </w:r>
          </w:p>
        </w:tc>
      </w:tr>
      <w:tr>
        <w:tc>
          <w:tcPr>
            <w:tcW w:type="dxa" w:w="30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Commission Contract</w:t>
            </w:r>
          </w:p>
        </w:tc>
        <w:tc>
          <w:tcPr>
            <w:tcW w:type="dxa" w:w="20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Stammdaten</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RIMD</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w:t>
            </w:r>
          </w:p>
        </w:tc>
      </w:tr>
      <w:tr>
        <w:tc>
          <w:tcPr>
            <w:tcW w:type="dxa" w:w="30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Commission Comment Line</w:t>
            </w:r>
          </w:p>
        </w:tc>
        <w:tc>
          <w:tcPr>
            <w:tcW w:type="dxa" w:w="20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Bemerkungen</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RIMD</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w:t>
            </w:r>
          </w:p>
        </w:tc>
      </w:tr>
      <w:tr>
        <w:tc>
          <w:tcPr>
            <w:tcW w:type="dxa" w:w="30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Commission Journal Line</w:t>
            </w:r>
          </w:p>
        </w:tc>
        <w:tc>
          <w:tcPr>
            <w:tcW w:type="dxa" w:w="20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Buch.-Blattzeile</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Rimd</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Rimd</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w:t>
            </w:r>
          </w:p>
        </w:tc>
      </w:tr>
      <w:tr>
        <w:tc>
          <w:tcPr>
            <w:tcW w:type="dxa" w:w="30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Commission Ledger Entry</w:t>
            </w:r>
          </w:p>
        </w:tc>
        <w:tc>
          <w:tcPr>
            <w:tcW w:type="dxa" w:w="20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Posten</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w:t>
            </w:r>
          </w:p>
        </w:tc>
      </w:tr>
    </w:tbl>
    <w:p>
      <w:pPr>
        <w:pStyle w:val="Heading2"/>
        <w:spacing w:after="120" w:before="260"/>
      </w:pPr>
      <w:r>
        <w:t xml:space="preserve">4.2  Software-Verkaufsmanagement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000"/>
        <w:gridCol w:w="1000"/>
        <w:gridCol w:w="1000"/>
        <w:gridCol w:w="1000"/>
      </w:tblGrid>
      <w:tr>
        <w:trPr>
          <w:tblHeader/>
        </w:trPr>
        <w:tc>
          <w:tcPr>
            <w:tcW w:type="dxa" w:w="30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Tabelle</w:t>
            </w:r>
          </w:p>
        </w:tc>
        <w:tc>
          <w:tcPr>
            <w:tcW w:type="dxa" w:w="20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Art</w:t>
            </w:r>
          </w:p>
        </w:tc>
        <w:tc>
          <w:tcPr>
            <w:tcW w:type="dxa" w:w="1000"/>
            <w:shd w:fill="D9E2F3" w:color="auto" w:val="clear"/>
            <w:tcMar>
              <w:top w:type="dxa" w:w="60"/>
              <w:left w:type="dxa" w:w="100"/>
              <w:bottom w:type="dxa" w:w="60"/>
              <w:right w:type="dxa" w:w="100"/>
            </w:tcMar>
          </w:tcPr>
          <w:p>
            <w:pPr>
              <w:spacing w:after="40" w:before="40"/>
              <w:jc w:val="center"/>
            </w:pPr>
            <w:r>
              <w:rPr>
                <w:rFonts w:ascii="Calibri" w:cs="Calibri" w:eastAsia="Calibri" w:hAnsi="Calibri"/>
                <w:b/>
                <w:bCs/>
                <w:sz w:val="19"/>
                <w:szCs w:val="19"/>
              </w:rPr>
              <w:t xml:space="preserve">GL</w:t>
            </w:r>
          </w:p>
        </w:tc>
        <w:tc>
          <w:tcPr>
            <w:tcW w:type="dxa" w:w="1000"/>
            <w:shd w:fill="D9E2F3" w:color="auto" w:val="clear"/>
            <w:tcMar>
              <w:top w:type="dxa" w:w="60"/>
              <w:left w:type="dxa" w:w="100"/>
              <w:bottom w:type="dxa" w:w="60"/>
              <w:right w:type="dxa" w:w="100"/>
            </w:tcMar>
          </w:tcPr>
          <w:p>
            <w:pPr>
              <w:spacing w:after="40" w:before="40"/>
              <w:jc w:val="center"/>
            </w:pPr>
            <w:r>
              <w:rPr>
                <w:rFonts w:ascii="Calibri" w:cs="Calibri" w:eastAsia="Calibri" w:hAnsi="Calibri"/>
                <w:b/>
                <w:bCs/>
                <w:sz w:val="19"/>
                <w:szCs w:val="19"/>
              </w:rPr>
              <w:t xml:space="preserve">RO</w:t>
            </w:r>
          </w:p>
        </w:tc>
        <w:tc>
          <w:tcPr>
            <w:tcW w:type="dxa" w:w="1000"/>
            <w:shd w:fill="D9E2F3" w:color="auto" w:val="clear"/>
            <w:tcMar>
              <w:top w:type="dxa" w:w="60"/>
              <w:left w:type="dxa" w:w="100"/>
              <w:bottom w:type="dxa" w:w="60"/>
              <w:right w:type="dxa" w:w="100"/>
            </w:tcMar>
          </w:tcPr>
          <w:p>
            <w:pPr>
              <w:spacing w:after="40" w:before="40"/>
              <w:jc w:val="center"/>
            </w:pPr>
            <w:r>
              <w:rPr>
                <w:rFonts w:ascii="Calibri" w:cs="Calibri" w:eastAsia="Calibri" w:hAnsi="Calibri"/>
                <w:b/>
                <w:bCs/>
                <w:sz w:val="19"/>
                <w:szCs w:val="19"/>
              </w:rPr>
              <w:t xml:space="preserve">PO</w:t>
            </w:r>
          </w:p>
        </w:tc>
        <w:tc>
          <w:tcPr>
            <w:tcW w:type="dxa" w:w="1000"/>
            <w:shd w:fill="D9E2F3" w:color="auto" w:val="clear"/>
            <w:tcMar>
              <w:top w:type="dxa" w:w="60"/>
              <w:left w:type="dxa" w:w="100"/>
              <w:bottom w:type="dxa" w:w="60"/>
              <w:right w:type="dxa" w:w="100"/>
            </w:tcMar>
          </w:tcPr>
          <w:p>
            <w:pPr>
              <w:spacing w:after="40" w:before="40"/>
              <w:jc w:val="center"/>
            </w:pPr>
            <w:r>
              <w:rPr>
                <w:rFonts w:ascii="Calibri" w:cs="Calibri" w:eastAsia="Calibri" w:hAnsi="Calibri"/>
                <w:b/>
                <w:bCs/>
                <w:sz w:val="19"/>
                <w:szCs w:val="19"/>
              </w:rPr>
              <w:t xml:space="preserve">SE</w:t>
            </w:r>
          </w:p>
        </w:tc>
      </w:tr>
      <w:tr>
        <w:tc>
          <w:tcPr>
            <w:tcW w:type="dxa" w:w="30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Software Sales Mgt. Setup</w:t>
            </w:r>
          </w:p>
        </w:tc>
        <w:tc>
          <w:tcPr>
            <w:tcW w:type="dxa" w:w="20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Einrichtung</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RIMD</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RIMD</w:t>
            </w:r>
          </w:p>
        </w:tc>
      </w:tr>
      <w:tr>
        <w:tc>
          <w:tcPr>
            <w:tcW w:type="dxa" w:w="30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Software Change Template</w:t>
            </w:r>
          </w:p>
        </w:tc>
        <w:tc>
          <w:tcPr>
            <w:tcW w:type="dxa" w:w="20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Stammdaten</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RIMD</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RIMD</w:t>
            </w:r>
          </w:p>
        </w:tc>
      </w:tr>
      <w:tr>
        <w:tc>
          <w:tcPr>
            <w:tcW w:type="dxa" w:w="30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Software Change</w:t>
            </w:r>
          </w:p>
        </w:tc>
        <w:tc>
          <w:tcPr>
            <w:tcW w:type="dxa" w:w="20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Bewegungsdaten</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RIMD</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RIMD</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w:t>
            </w:r>
          </w:p>
        </w:tc>
      </w:tr>
      <w:tr>
        <w:tc>
          <w:tcPr>
            <w:tcW w:type="dxa" w:w="30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Posted Software Change</w:t>
            </w:r>
          </w:p>
        </w:tc>
        <w:tc>
          <w:tcPr>
            <w:tcW w:type="dxa" w:w="20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Historische Daten</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Ri</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val="false"/>
                <w:bCs w:val="false"/>
                <w:sz w:val="19"/>
                <w:szCs w:val="19"/>
              </w:rPr>
              <w:t xml:space="preserve">–</w:t>
            </w:r>
          </w:p>
        </w:tc>
      </w:tr>
    </w:tbl>
    <w:p>
      <w:pPr>
        <w:pStyle w:val="Heading1"/>
        <w:spacing w:after="160" w:before="320"/>
      </w:pPr>
      <w:r>
        <w:t xml:space="preserve">5  Ausführungsrechte</w:t>
      </w:r>
    </w:p>
    <w:p>
      <w:pPr>
        <w:spacing w:after="120" w:line="276"/>
      </w:pPr>
      <w:r>
        <w:rPr>
          <w:rFonts w:ascii="Calibri" w:cs="Calibri" w:eastAsia="Calibri" w:hAnsi="Calibri"/>
          <w:b w:val="false"/>
          <w:bCs w:val="false"/>
          <w:i w:val="false"/>
          <w:iCs w:val="false"/>
          <w:sz w:val="21"/>
          <w:szCs w:val="21"/>
        </w:rPr>
        <w:t xml:space="preserve">Ausführungsrechte (X) auf Codeunits und Reports. Pages sind in jedem Satz so vergeben, dass die zugehörigen Datenrechte auch bedienbar sind, und deshalb hier nicht einzeln aufgeführt.</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100"/>
        <w:gridCol w:w="2100"/>
      </w:tblGrid>
      <w:tr>
        <w:trPr>
          <w:tblHeader/>
        </w:trPr>
        <w:tc>
          <w:tcPr>
            <w:tcW w:type="dxa" w:w="15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Bereich</w:t>
            </w:r>
          </w:p>
        </w:tc>
        <w:tc>
          <w:tcPr>
            <w:tcW w:type="dxa" w:w="33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Objekt</w:t>
            </w:r>
          </w:p>
        </w:tc>
        <w:tc>
          <w:tcPr>
            <w:tcW w:type="dxa" w:w="21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Provisionsmanagement</w:t>
            </w:r>
          </w:p>
        </w:tc>
        <w:tc>
          <w:tcPr>
            <w:tcW w:type="dxa" w:w="21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Software-Verkaufsmgt.</w:t>
            </w:r>
          </w:p>
        </w:tc>
      </w:tr>
      <w:tr>
        <w:tc>
          <w:tcPr>
            <w:tcW w:type="dxa" w:w="15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Reports</w:t>
            </w:r>
          </w:p>
        </w:tc>
        <w:tc>
          <w:tcPr>
            <w:tcW w:type="dxa" w:w="33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Calc. Commissions</w:t>
            </w:r>
          </w:p>
        </w:tc>
        <w:tc>
          <w:tcPr>
            <w:tcW w:type="dxa" w:w="21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GL, PO</w:t>
            </w:r>
          </w:p>
        </w:tc>
        <w:tc>
          <w:tcPr>
            <w:tcW w:type="dxa" w:w="21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w:t>
            </w:r>
          </w:p>
        </w:tc>
      </w:tr>
      <w:tr>
        <w:tc>
          <w:tcPr>
            <w:tcW w:type="dxa" w:w="15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
            </w:r>
          </w:p>
        </w:tc>
        <w:tc>
          <w:tcPr>
            <w:tcW w:type="dxa" w:w="33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Copy Software Change</w:t>
            </w:r>
          </w:p>
        </w:tc>
        <w:tc>
          <w:tcPr>
            <w:tcW w:type="dxa" w:w="21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w:t>
            </w:r>
          </w:p>
        </w:tc>
        <w:tc>
          <w:tcPr>
            <w:tcW w:type="dxa" w:w="21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GL, PO</w:t>
            </w:r>
          </w:p>
        </w:tc>
      </w:tr>
      <w:tr>
        <w:tc>
          <w:tcPr>
            <w:tcW w:type="dxa" w:w="15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Buchungskette</w:t>
            </w:r>
          </w:p>
        </w:tc>
        <w:tc>
          <w:tcPr>
            <w:tcW w:type="dxa" w:w="33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Commis. Jnl.-Check Line</w:t>
            </w:r>
          </w:p>
          <w:p>
            <w:pPr>
              <w:spacing w:after="40" w:before="40"/>
              <w:jc w:val="left"/>
            </w:pPr>
            <w:r>
              <w:rPr>
                <w:rFonts w:ascii="Calibri" w:cs="Calibri" w:eastAsia="Calibri" w:hAnsi="Calibri"/>
                <w:b w:val="false"/>
                <w:bCs w:val="false"/>
                <w:sz w:val="19"/>
                <w:szCs w:val="19"/>
              </w:rPr>
              <w:t xml:space="preserve">PTE Commis. Jnl.-Post Line</w:t>
            </w:r>
          </w:p>
        </w:tc>
        <w:tc>
          <w:tcPr>
            <w:tcW w:type="dxa" w:w="21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GL, PO</w:t>
            </w:r>
          </w:p>
        </w:tc>
        <w:tc>
          <w:tcPr>
            <w:tcW w:type="dxa" w:w="21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w:t>
            </w:r>
          </w:p>
        </w:tc>
      </w:tr>
      <w:tr>
        <w:tc>
          <w:tcPr>
            <w:tcW w:type="dxa" w:w="15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
            </w:r>
          </w:p>
        </w:tc>
        <w:tc>
          <w:tcPr>
            <w:tcW w:type="dxa" w:w="33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Software Change-Post</w:t>
            </w:r>
          </w:p>
          <w:p>
            <w:pPr>
              <w:spacing w:after="40" w:before="40"/>
              <w:jc w:val="left"/>
            </w:pPr>
            <w:r>
              <w:rPr>
                <w:rFonts w:ascii="Calibri" w:cs="Calibri" w:eastAsia="Calibri" w:hAnsi="Calibri"/>
                <w:b w:val="false"/>
                <w:bCs w:val="false"/>
                <w:sz w:val="19"/>
                <w:szCs w:val="19"/>
              </w:rPr>
              <w:t xml:space="preserve">PTE Softw. Change-Post (Y/N)</w:t>
            </w:r>
          </w:p>
        </w:tc>
        <w:tc>
          <w:tcPr>
            <w:tcW w:type="dxa" w:w="21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w:t>
            </w:r>
          </w:p>
        </w:tc>
        <w:tc>
          <w:tcPr>
            <w:tcW w:type="dxa" w:w="21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GL, PO</w:t>
            </w:r>
          </w:p>
        </w:tc>
      </w:tr>
      <w:tr>
        <w:tc>
          <w:tcPr>
            <w:tcW w:type="dxa" w:w="15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Berechnung</w:t>
            </w:r>
          </w:p>
        </w:tc>
        <w:tc>
          <w:tcPr>
            <w:tcW w:type="dxa" w:w="33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Calculate Commission</w:t>
            </w:r>
          </w:p>
        </w:tc>
        <w:tc>
          <w:tcPr>
            <w:tcW w:type="dxa" w:w="21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GL, PO</w:t>
            </w:r>
          </w:p>
        </w:tc>
        <w:tc>
          <w:tcPr>
            <w:tcW w:type="dxa" w:w="21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w:t>
            </w:r>
          </w:p>
        </w:tc>
      </w:tr>
      <w:tr>
        <w:tc>
          <w:tcPr>
            <w:tcW w:type="dxa" w:w="15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
            </w:r>
          </w:p>
        </w:tc>
        <w:tc>
          <w:tcPr>
            <w:tcW w:type="dxa" w:w="33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Sw. Change Commission</w:t>
            </w:r>
          </w:p>
        </w:tc>
        <w:tc>
          <w:tcPr>
            <w:tcW w:type="dxa" w:w="21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w:t>
            </w:r>
          </w:p>
        </w:tc>
        <w:tc>
          <w:tcPr>
            <w:tcW w:type="dxa" w:w="21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GL, PO</w:t>
            </w:r>
          </w:p>
        </w:tc>
      </w:tr>
      <w:tr>
        <w:tc>
          <w:tcPr>
            <w:tcW w:type="dxa" w:w="15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Navigation</w:t>
            </w:r>
          </w:p>
        </w:tc>
        <w:tc>
          <w:tcPr>
            <w:tcW w:type="dxa" w:w="33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Commission Navigate</w:t>
            </w:r>
          </w:p>
        </w:tc>
        <w:tc>
          <w:tcPr>
            <w:tcW w:type="dxa" w:w="21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GL, PO</w:t>
            </w:r>
          </w:p>
        </w:tc>
        <w:tc>
          <w:tcPr>
            <w:tcW w:type="dxa" w:w="21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w:t>
            </w:r>
          </w:p>
        </w:tc>
      </w:tr>
      <w:tr>
        <w:tc>
          <w:tcPr>
            <w:tcW w:type="dxa" w:w="15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
            </w:r>
          </w:p>
        </w:tc>
        <w:tc>
          <w:tcPr>
            <w:tcW w:type="dxa" w:w="33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Software Change Navigate</w:t>
            </w:r>
          </w:p>
        </w:tc>
        <w:tc>
          <w:tcPr>
            <w:tcW w:type="dxa" w:w="21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w:t>
            </w:r>
          </w:p>
        </w:tc>
        <w:tc>
          <w:tcPr>
            <w:tcW w:type="dxa" w:w="21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GL, PO</w:t>
            </w:r>
          </w:p>
        </w:tc>
      </w:tr>
      <w:tr>
        <w:tc>
          <w:tcPr>
            <w:tcW w:type="dxa" w:w="15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Einrichtung</w:t>
            </w:r>
          </w:p>
        </w:tc>
        <w:tc>
          <w:tcPr>
            <w:tcW w:type="dxa" w:w="33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Com. Mgt. Inst. Lib</w:t>
            </w:r>
          </w:p>
          <w:p>
            <w:pPr>
              <w:spacing w:after="40" w:before="40"/>
              <w:jc w:val="left"/>
            </w:pPr>
            <w:r>
              <w:rPr>
                <w:rFonts w:ascii="Calibri" w:cs="Calibri" w:eastAsia="Calibri" w:hAnsi="Calibri"/>
                <w:b w:val="false"/>
                <w:bCs w:val="false"/>
                <w:sz w:val="19"/>
                <w:szCs w:val="19"/>
              </w:rPr>
              <w:t xml:space="preserve">PTE Com. Mgt. Validation</w:t>
            </w:r>
          </w:p>
        </w:tc>
        <w:tc>
          <w:tcPr>
            <w:tcW w:type="dxa" w:w="21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GL, SE (Inst. Lib)</w:t>
            </w:r>
          </w:p>
          <w:p>
            <w:pPr>
              <w:spacing w:after="40" w:before="40"/>
              <w:jc w:val="left"/>
            </w:pPr>
            <w:r>
              <w:rPr>
                <w:rFonts w:ascii="Calibri" w:cs="Calibri" w:eastAsia="Calibri" w:hAnsi="Calibri"/>
                <w:b w:val="false"/>
                <w:bCs w:val="false"/>
                <w:sz w:val="19"/>
                <w:szCs w:val="19"/>
              </w:rPr>
              <w:t xml:space="preserve">GL, PO (Validation)</w:t>
            </w:r>
          </w:p>
        </w:tc>
        <w:tc>
          <w:tcPr>
            <w:tcW w:type="dxa" w:w="21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w:t>
            </w:r>
          </w:p>
        </w:tc>
      </w:tr>
      <w:tr>
        <w:tc>
          <w:tcPr>
            <w:tcW w:type="dxa" w:w="15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
            </w:r>
          </w:p>
        </w:tc>
        <w:tc>
          <w:tcPr>
            <w:tcW w:type="dxa" w:w="33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Softw. Sales Inst. Lib</w:t>
            </w:r>
          </w:p>
        </w:tc>
        <w:tc>
          <w:tcPr>
            <w:tcW w:type="dxa" w:w="21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w:t>
            </w:r>
          </w:p>
        </w:tc>
        <w:tc>
          <w:tcPr>
            <w:tcW w:type="dxa" w:w="21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GL, SE</w:t>
            </w:r>
          </w:p>
        </w:tc>
      </w:tr>
    </w:tbl>
    <w:p>
      <w:r>
        <w:br w:type="page"/>
      </w:r>
    </w:p>
    <w:p>
      <w:pPr>
        <w:pStyle w:val="Heading1"/>
        <w:spacing w:after="160" w:before="320"/>
      </w:pPr>
      <w:r>
        <w:t xml:space="preserve">6  Rollen in der Praxis</w:t>
      </w:r>
    </w:p>
    <w:p>
      <w:pPr>
        <w:spacing w:after="120" w:line="276"/>
      </w:pPr>
      <w:r>
        <w:rPr>
          <w:rFonts w:ascii="Calibri" w:cs="Calibri" w:eastAsia="Calibri" w:hAnsi="Calibri"/>
          <w:b w:val="false"/>
          <w:bCs w:val="false"/>
          <w:i w:val="false"/>
          <w:iCs w:val="false"/>
          <w:sz w:val="21"/>
          <w:szCs w:val="21"/>
        </w:rPr>
        <w:t xml:space="preserve">Die Sätze der beiden Extensions ergänzen einander. Wer Softwareanpassungen bucht, benötigt beide Module, weil die Abrechnung einer Anpassung im Provisionsmanagement einen Posten erzeugt.</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Rolle</w:t>
            </w:r>
          </w:p>
        </w:tc>
        <w:tc>
          <w:tcPr>
            <w:tcW w:type="dxa" w:w="26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Berechtigungssätze</w:t>
            </w:r>
          </w:p>
        </w:tc>
        <w:tc>
          <w:tcPr>
            <w:tcW w:type="dxa" w:w="42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sz w:val="19"/>
                <w:szCs w:val="19"/>
              </w:rPr>
              <w:t xml:space="preserve">Umfang</w:t>
            </w:r>
          </w:p>
        </w:tc>
      </w:tr>
      <w:tr>
        <w:tc>
          <w:tcPr>
            <w:tcW w:type="dxa" w:w="22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Sachbearbeiter Softwareanpassung</w:t>
            </w:r>
          </w:p>
        </w:tc>
        <w:tc>
          <w:tcPr>
            <w:tcW w:type="dxa" w:w="26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Sw. Sales PO  +  PTE Permission PO</w:t>
            </w:r>
          </w:p>
        </w:tc>
        <w:tc>
          <w:tcPr>
            <w:tcW w:type="dxa" w:w="42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Erfasst, kopiert und bucht Softwareanpassungen. Die Buchung schreibt in die Buch.-Blattzeile und die Provisionsposten der Basis-App, deshalb ist der zweite Satz zwingend.</w:t>
            </w:r>
          </w:p>
        </w:tc>
      </w:tr>
      <w:tr>
        <w:tc>
          <w:tcPr>
            <w:tcW w:type="dxa" w:w="22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Sachbearbeiter Provision</w:t>
            </w:r>
          </w:p>
        </w:tc>
        <w:tc>
          <w:tcPr>
            <w:tcW w:type="dxa" w:w="26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Permission PO</w:t>
            </w:r>
          </w:p>
        </w:tc>
        <w:tc>
          <w:tcPr>
            <w:tcW w:type="dxa" w:w="42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Führt den Stapellauf „Provisionen berechnen" aus und sieht die entstandenen Posten.</w:t>
            </w:r>
          </w:p>
        </w:tc>
      </w:tr>
      <w:tr>
        <w:tc>
          <w:tcPr>
            <w:tcW w:type="dxa" w:w="22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Auskunft, Controlling</w:t>
            </w:r>
          </w:p>
        </w:tc>
        <w:tc>
          <w:tcPr>
            <w:tcW w:type="dxa" w:w="26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Sw. Sales RO  +  PTE Permission RO</w:t>
            </w:r>
          </w:p>
        </w:tc>
        <w:tc>
          <w:tcPr>
            <w:tcW w:type="dxa" w:w="42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Liest Anpassungen, historische Belege, Verträge und Posten, ohne etwas zu verändern.</w:t>
            </w:r>
          </w:p>
        </w:tc>
      </w:tr>
      <w:tr>
        <w:tc>
          <w:tcPr>
            <w:tcW w:type="dxa" w:w="22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Einrichtung, Administration</w:t>
            </w:r>
          </w:p>
        </w:tc>
        <w:tc>
          <w:tcPr>
            <w:tcW w:type="dxa" w:w="26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Sw. Sales SE  +  PTE Permission SE</w:t>
            </w:r>
          </w:p>
        </w:tc>
        <w:tc>
          <w:tcPr>
            <w:tcW w:type="dxa" w:w="42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Pflegt Einrichtung, Nummernkreise, Provisionsarten und Vorlagen. Kein Zugriff auf Bewegungsdaten.</w:t>
            </w:r>
          </w:p>
        </w:tc>
      </w:tr>
      <w:tr>
        <w:tc>
          <w:tcPr>
            <w:tcW w:type="dxa" w:w="22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Key User, Support</w:t>
            </w:r>
          </w:p>
        </w:tc>
        <w:tc>
          <w:tcPr>
            <w:tcW w:type="dxa" w:w="26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PTE Sw. Sales GL  +  PTE Permission GL</w:t>
            </w:r>
          </w:p>
        </w:tc>
        <w:tc>
          <w:tcPr>
            <w:tcW w:type="dxa" w:w="4200"/>
            <w:tcMar>
              <w:top w:type="dxa" w:w="60"/>
              <w:left w:type="dxa" w:w="100"/>
              <w:bottom w:type="dxa" w:w="60"/>
              <w:right w:type="dxa" w:w="100"/>
            </w:tcMar>
          </w:tcPr>
          <w:p>
            <w:pPr>
              <w:spacing w:after="40" w:before="40"/>
              <w:jc w:val="left"/>
            </w:pPr>
            <w:r>
              <w:rPr>
                <w:rFonts w:ascii="Calibri" w:cs="Calibri" w:eastAsia="Calibri" w:hAnsi="Calibri"/>
                <w:b w:val="false"/>
                <w:bCs w:val="false"/>
                <w:sz w:val="19"/>
                <w:szCs w:val="19"/>
              </w:rPr>
              <w:t xml:space="preserve">Vollzugriff auf beide Module. Für den Tagesbetrieb nicht vorgesehen.</w:t>
            </w:r>
          </w:p>
        </w:tc>
      </w:tr>
    </w:tbl>
    <w:p>
      <w:pPr>
        <w:pStyle w:val="Heading1"/>
        <w:spacing w:after="160" w:before="320"/>
      </w:pPr>
      <w:r>
        <w:t xml:space="preserve">7  Bewusste Einschränkungen</w:t>
      </w:r>
    </w:p>
    <w:p>
      <w:pPr>
        <w:spacing w:after="120" w:line="276"/>
      </w:pPr>
      <w:r>
        <w:rPr>
          <w:rFonts w:ascii="Calibri" w:cs="Calibri" w:eastAsia="Calibri" w:hAnsi="Calibri"/>
          <w:b w:val="false"/>
          <w:bCs w:val="false"/>
          <w:i w:val="false"/>
          <w:iCs w:val="false"/>
          <w:sz w:val="21"/>
          <w:szCs w:val="21"/>
        </w:rPr>
        <w:t xml:space="preserve">Die folgenden Grenzen sind gewollt und sollten beim Anpassen der Sätze erhalten bleiben.</w:t>
      </w:r>
    </w:p>
    <w:p>
      <w:pPr>
        <w:pStyle w:val="ListParagraph"/>
        <w:numPr>
          <w:ilvl w:val="0"/>
          <w:numId w:val="1"/>
        </w:numPr>
        <w:spacing w:after="80" w:line="276"/>
      </w:pPr>
      <w:r>
        <w:rPr>
          <w:rFonts w:ascii="Calibri" w:cs="Calibri" w:eastAsia="Calibri" w:hAnsi="Calibri"/>
          <w:sz w:val="21"/>
          <w:szCs w:val="21"/>
        </w:rPr>
        <w:t xml:space="preserve">Provisionsposten, Buch.-Blattzeilen und gebuchte Softwareanpassungen sind ausschließlich indirekt beschreibbar. Kein Benutzer kann sie über eine Page, einen Report oder eine Konfigurationspaket-Migration anlegen oder ändern – nur die Buchungsroutinen tun das, und zwar über ihre Permissions-Eigenschaft.</w:t>
      </w:r>
    </w:p>
    <w:p>
      <w:pPr>
        <w:pStyle w:val="ListParagraph"/>
        <w:numPr>
          <w:ilvl w:val="0"/>
          <w:numId w:val="1"/>
        </w:numPr>
        <w:spacing w:after="80" w:line="276"/>
      </w:pPr>
      <w:r>
        <w:rPr>
          <w:rFonts w:ascii="Calibri" w:cs="Calibri" w:eastAsia="Calibri" w:hAnsi="Calibri"/>
          <w:sz w:val="21"/>
          <w:szCs w:val="21"/>
        </w:rPr>
        <w:t xml:space="preserve">Ändern und Löschen ist auf diesen drei Tabellen in keinem Satz vergeben, auch nicht indirekt und auch nicht im Vollzugriff. Provisionsposten und historische Belege bleiben damit dauerhaft erhalten, wie es die Spezifikation verlangt.</w:t>
      </w:r>
    </w:p>
    <w:p>
      <w:pPr>
        <w:pStyle w:val="ListParagraph"/>
        <w:numPr>
          <w:ilvl w:val="0"/>
          <w:numId w:val="1"/>
        </w:numPr>
        <w:spacing w:after="80" w:line="276"/>
      </w:pPr>
      <w:r>
        <w:rPr>
          <w:rFonts w:ascii="Calibri" w:cs="Calibri" w:eastAsia="Calibri" w:hAnsi="Calibri"/>
          <w:sz w:val="21"/>
          <w:szCs w:val="21"/>
        </w:rPr>
        <w:t xml:space="preserve">Der Satz SE gibt keinen Zugriff auf Bewegungsdaten. Wer einrichtet, sieht keine Verträge, Anpassungen oder Posten.</w:t>
      </w:r>
    </w:p>
    <w:p>
      <w:pPr>
        <w:pStyle w:val="ListParagraph"/>
        <w:numPr>
          <w:ilvl w:val="0"/>
          <w:numId w:val="1"/>
        </w:numPr>
        <w:spacing w:after="80" w:line="276"/>
      </w:pPr>
      <w:r>
        <w:rPr>
          <w:rFonts w:ascii="Calibri" w:cs="Calibri" w:eastAsia="Calibri" w:hAnsi="Calibri"/>
          <w:sz w:val="21"/>
          <w:szCs w:val="21"/>
        </w:rPr>
        <w:t xml:space="preserve">Der Satz RO enthält keine Ausführungsrechte. Ein Auskunftsbenutzer kann weder den Stapellauf starten noch eine Anpassung buchen oder kopieren.</w:t>
      </w:r>
    </w:p>
    <w:p>
      <w:pPr>
        <w:pStyle w:val="ListParagraph"/>
        <w:numPr>
          <w:ilvl w:val="0"/>
          <w:numId w:val="1"/>
        </w:numPr>
        <w:spacing w:after="80" w:line="276"/>
      </w:pPr>
      <w:r>
        <w:rPr>
          <w:rFonts w:ascii="Calibri" w:cs="Calibri" w:eastAsia="Calibri" w:hAnsi="Calibri"/>
          <w:sz w:val="21"/>
          <w:szCs w:val="21"/>
        </w:rPr>
        <w:t xml:space="preserve">Der Satz PO darf Stammdaten und Einrichtung nur lesen. Vorlagen und Provisionsarten pflegt ausschließlich SE oder GL.</w:t>
      </w:r>
    </w:p>
    <w:p>
      <w:pPr>
        <w:pStyle w:val="Heading1"/>
        <w:spacing w:after="160" w:before="320"/>
      </w:pPr>
      <w:r>
        <w:t xml:space="preserve">8  Feststellungen und Empfehlungen</w:t>
      </w:r>
    </w:p>
    <w:p>
      <w:pPr>
        <w:spacing w:after="120" w:line="276"/>
      </w:pPr>
      <w:r>
        <w:rPr>
          <w:rFonts w:ascii="Calibri" w:cs="Calibri" w:eastAsia="Calibri" w:hAnsi="Calibri"/>
          <w:b w:val="false"/>
          <w:bCs w:val="false"/>
          <w:i w:val="false"/>
          <w:iCs w:val="false"/>
          <w:sz w:val="21"/>
          <w:szCs w:val="21"/>
        </w:rPr>
        <w:t xml:space="preserve">Beim Abgleich der Sätze gegen den Quellcode sind drei Punkte aufgefallen, die vor der Übergabe zu entscheiden sind.</w:t>
      </w:r>
    </w:p>
    <w:p>
      <w:pPr>
        <w:pStyle w:val="Heading2"/>
        <w:spacing w:after="120" w:before="260"/>
      </w:pPr>
      <w:r>
        <w:t xml:space="preserve">8.1  Zusammenspiel von Berechtigungssatz und Codeunit</w:t>
      </w:r>
    </w:p>
    <w:p>
      <w:pPr>
        <w:spacing w:after="120" w:line="276"/>
      </w:pPr>
      <w:r>
        <w:rPr>
          <w:rFonts w:ascii="Calibri" w:cs="Calibri" w:eastAsia="Calibri" w:hAnsi="Calibri"/>
          <w:b w:val="false"/>
          <w:bCs w:val="false"/>
          <w:i w:val="false"/>
          <w:iCs w:val="false"/>
          <w:sz w:val="21"/>
          <w:szCs w:val="21"/>
        </w:rPr>
        <w:t xml:space="preserve">Drei Tabellen dürfen nur von den Buchungsroutinen beschrieben werden. Umgesetzt ist das über das Zusammenspiel zweier Stellen:</w:t>
      </w:r>
    </w:p>
    <w:p>
      <w:pPr>
        <w:pStyle w:val="ListParagraph"/>
        <w:numPr>
          <w:ilvl w:val="0"/>
          <w:numId w:val="1"/>
        </w:numPr>
        <w:spacing w:after="80" w:line="276"/>
      </w:pPr>
      <w:r>
        <w:rPr>
          <w:rFonts w:ascii="Calibri" w:cs="Calibri" w:eastAsia="Calibri" w:hAnsi="Calibri"/>
          <w:sz w:val="21"/>
          <w:szCs w:val="21"/>
        </w:rPr>
        <w:t xml:space="preserve">Der Berechtigungssatz vergibt dem Benutzer nur ein indirektes Recht, erkennbar an der Kleinschreibung – etwa tabledata "PTE Posted Software Change" = Ri.</w:t>
      </w:r>
    </w:p>
    <w:p>
      <w:pPr>
        <w:pStyle w:val="ListParagraph"/>
        <w:numPr>
          <w:ilvl w:val="0"/>
          <w:numId w:val="1"/>
        </w:numPr>
        <w:spacing w:after="80" w:line="276"/>
      </w:pPr>
      <w:r>
        <w:rPr>
          <w:rFonts w:ascii="Calibri" w:cs="Calibri" w:eastAsia="Calibri" w:hAnsi="Calibri"/>
          <w:sz w:val="21"/>
          <w:szCs w:val="21"/>
        </w:rPr>
        <w:t xml:space="preserve">Die schreibende Codeunit bringt das direkte Recht über ihre Permissions-Eigenschaft mit, etwa Permissions = tabledata "PTE Posted Software Change" = RIMD in PTE Software Change-Post.</w:t>
      </w:r>
    </w:p>
    <w:p>
      <w:pPr>
        <w:spacing w:after="120" w:line="276"/>
      </w:pPr>
      <w:r>
        <w:rPr>
          <w:rFonts w:ascii="Calibri" w:cs="Calibri" w:eastAsia="Calibri" w:hAnsi="Calibri"/>
          <w:b w:val="false"/>
          <w:bCs w:val="false"/>
          <w:i w:val="false"/>
          <w:iCs w:val="false"/>
          <w:sz w:val="21"/>
          <w:szCs w:val="21"/>
        </w:rPr>
        <w:t xml:space="preserve">Damit kann ein Benutzer den historischen Beleg erzeugen, solange er die Buchung anstößt – aber nicht auf anderem Weg. Wird die Codeunit umbenannt oder ihre Permissions-Eigenschaft entfernt, bricht die Buchung mit einem Berechtigungsfehler ab; beide Stellen gehören deshalb zusammen gepflegt.</w:t>
      </w:r>
    </w:p>
    <w:p>
      <w:pPr>
        <w:pStyle w:val="Heading2"/>
        <w:spacing w:after="120" w:before="260"/>
      </w:pPr>
      <w:r>
        <w:t xml:space="preserve">8.2  Test-Codeunits sind in keinem Satz enthalten</w:t>
      </w:r>
    </w:p>
    <w:p>
      <w:pPr>
        <w:spacing w:after="120" w:line="276"/>
      </w:pPr>
      <w:r>
        <w:rPr>
          <w:rFonts w:ascii="Calibri" w:cs="Calibri" w:eastAsia="Calibri" w:hAnsi="Calibri"/>
          <w:b w:val="false"/>
          <w:bCs w:val="false"/>
          <w:i w:val="false"/>
          <w:iCs w:val="false"/>
          <w:sz w:val="21"/>
          <w:szCs w:val="21"/>
        </w:rPr>
        <w:t xml:space="preserve">Die Codeunits PTE Softw. Change Test Lib (63698) und PTE Softw. Sales Mgt. Test (63699) liegen seit dem Umzug der Tests in der Produktiv-Extension, sind aber in keinem Berechtigungssatz aufgeführt. Zum Ausführen über das Test Tool benötigt der Benutzer ein Ausführungsrecht.</w:t>
      </w:r>
    </w:p>
    <w:p>
      <w:pPr>
        <w:spacing w:after="120" w:line="276"/>
      </w:pPr>
      <w:r>
        <w:rPr>
          <w:rFonts w:ascii="Calibri" w:cs="Calibri" w:eastAsia="Calibri" w:hAnsi="Calibri"/>
          <w:b/>
          <w:bCs/>
          <w:i w:val="false"/>
          <w:iCs w:val="false"/>
          <w:sz w:val="21"/>
          <w:szCs w:val="21"/>
        </w:rPr>
        <w:t xml:space="preserve">Empfehlung: bewusst entscheiden – entweder in PTE Sw. Sales GL aufnehmen oder als nicht für Endanwender bestimmt dokumentiert lassen.</w:t>
      </w:r>
    </w:p>
    <w:p>
      <w:pPr>
        <w:pStyle w:val="Heading2"/>
        <w:spacing w:after="120" w:before="260"/>
      </w:pPr>
      <w:r>
        <w:t xml:space="preserve">8.3  Buchen erfordert zwei Berechtigungssätze</w:t>
      </w:r>
    </w:p>
    <w:p>
      <w:pPr>
        <w:spacing w:after="120" w:line="276"/>
      </w:pPr>
      <w:r>
        <w:rPr>
          <w:rFonts w:ascii="Calibri" w:cs="Calibri" w:eastAsia="Calibri" w:hAnsi="Calibri"/>
          <w:b w:val="false"/>
          <w:bCs w:val="false"/>
          <w:i w:val="false"/>
          <w:iCs w:val="false"/>
          <w:sz w:val="21"/>
          <w:szCs w:val="21"/>
        </w:rPr>
        <w:t xml:space="preserve">PTE Sw. Sales PO allein genügt nicht, um eine Softwareanpassung zu buchen. Die Routine schreibt eine Buch.-Blattzeile und einen Provisionsposten im Provisionsmanagement; ohne PTE Permission PO bricht die Buchung mit einem Berechtigungsfehler ab.</w:t>
      </w:r>
    </w:p>
    <w:p>
      <w:pPr>
        <w:spacing w:after="120" w:line="276"/>
      </w:pPr>
      <w:r>
        <w:rPr>
          <w:rFonts w:ascii="Calibri" w:cs="Calibri" w:eastAsia="Calibri" w:hAnsi="Calibri"/>
          <w:b/>
          <w:bCs/>
          <w:i w:val="false"/>
          <w:iCs w:val="false"/>
          <w:sz w:val="21"/>
          <w:szCs w:val="21"/>
        </w:rPr>
        <w:t xml:space="preserve">Empfehlung: die Kombination bei der Rollenvergabe fest hinterlegen, damit sie nicht im Einzelfall vergessen wird.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49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Berechtigungskonzept Provisions- und Software-Verkaufsmanagement</dc:title>
  <dc:creator>GOB Software und Systeme GmbH &amp; Co. KG</dc:creator>
  <cp:lastModifiedBy>Un-named</cp:lastModifiedBy>
  <cp:revision>1</cp:revision>
  <dcterms:created xsi:type="dcterms:W3CDTF">2026-08-03T09:45:25.133Z</dcterms:created>
  <dcterms:modified xsi:type="dcterms:W3CDTF">2026-08-03T09:45:25.148Z</dcterms:modified>
</cp:coreProperties>
</file>

<file path=docProps/custom.xml><?xml version="1.0" encoding="utf-8"?>
<Properties xmlns="http://schemas.openxmlformats.org/officeDocument/2006/custom-properties" xmlns:vt="http://schemas.openxmlformats.org/officeDocument/2006/docPropsVTypes"/>
</file>