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63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7038"/>
      </w:tblGrid>
      <w:tr w14:paraId="006BADAC">
        <w:trPr>
          <w:jc w:val="center"/>
        </w:trPr>
        <w:tc>
          <w:tcPr>
            <w:tcW w:w="26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0680D1">
            <w:bookmarkStart w:id="20" w:name="_GoBack"/>
            <w:bookmarkEnd w:id="20"/>
            <w:r>
              <w:rPr>
                <w:rFonts w:ascii="Arial" w:hAnsi="Arial" w:eastAsia="微软雅黑"/>
                <w:b/>
                <w:color w:val="FFFFFF"/>
                <w:sz w:val="24"/>
              </w:rPr>
              <w:t>导师决策材料</w:t>
            </w:r>
          </w:p>
        </w:tc>
        <w:tc>
          <w:tcPr>
            <w:tcW w:w="703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8A169B">
            <w:pPr>
              <w:jc w:val="right"/>
            </w:pPr>
            <w:r>
              <w:rPr>
                <w:rFonts w:ascii="Arial" w:hAnsi="Arial" w:eastAsia="微软雅黑"/>
                <w:b/>
                <w:color w:val="1F4E78"/>
                <w:sz w:val="19"/>
              </w:rPr>
              <w:t>确认性五随机种子 | KITTI Moderate AP_R40</w:t>
            </w:r>
          </w:p>
        </w:tc>
      </w:tr>
    </w:tbl>
    <w:p w14:paraId="4F669070">
      <w:pPr>
        <w:spacing w:before="1100" w:after="200"/>
        <w:jc w:val="center"/>
      </w:pPr>
      <w:r>
        <w:rPr>
          <w:rFonts w:ascii="Arial" w:hAnsi="Arial" w:eastAsia="微软雅黑"/>
          <w:b/>
          <w:color w:val="1F4E78"/>
          <w:sz w:val="50"/>
        </w:rPr>
        <w:t>IFDR-YOLO 五种子确认性实验</w:t>
      </w:r>
      <w:r>
        <w:rPr>
          <w:rFonts w:ascii="Arial" w:hAnsi="Arial" w:eastAsia="微软雅黑"/>
          <w:b/>
          <w:color w:val="1F4E78"/>
          <w:sz w:val="50"/>
        </w:rPr>
        <w:br w:type="textWrapping"/>
      </w:r>
      <w:r>
        <w:rPr>
          <w:rFonts w:ascii="Arial" w:hAnsi="Arial" w:eastAsia="微软雅黑"/>
          <w:b/>
          <w:color w:val="1F4E78"/>
          <w:sz w:val="50"/>
        </w:rPr>
        <w:t>最终教师决策报告</w:t>
      </w:r>
    </w:p>
    <w:p w14:paraId="75F9B16A">
      <w:pPr>
        <w:spacing w:after="600"/>
        <w:jc w:val="center"/>
      </w:pPr>
      <w:r>
        <w:rPr>
          <w:rFonts w:ascii="Arial" w:hAnsi="Arial" w:eastAsia="微软雅黑"/>
          <w:b w:val="0"/>
          <w:color w:val="666666"/>
          <w:sz w:val="23"/>
        </w:rPr>
        <w:t>PLAIN_P2 vs DCLI · 3341/371 固定划分 · 30 epoch · seeds 0–4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70FF9F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CE4D6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363F7D90">
            <w:pPr>
              <w:spacing w:after="60"/>
            </w:pPr>
            <w:r>
              <w:rPr>
                <w:rFonts w:ascii="Arial" w:hAnsi="Arial" w:eastAsia="微软雅黑"/>
                <w:b/>
                <w:color w:val="A61B1B"/>
                <w:sz w:val="22"/>
              </w:rPr>
              <w:t>一句话结论</w:t>
            </w:r>
          </w:p>
          <w:p w14:paraId="3CE1135B">
            <w:pPr>
              <w:spacing w:after="0"/>
            </w:pPr>
            <w:r>
              <w:rPr>
                <w:rFonts w:ascii="Arial" w:hAnsi="Arial" w:eastAsia="宋体"/>
                <w:b w:val="0"/>
                <w:color w:val="222222"/>
                <w:sz w:val="20"/>
              </w:rPr>
              <w:t>工程正确性与实验可信性均已通过；DCLI 方法有效性未通过。五种子固定方向 PLAIN_P2−DCLI 为 +1.0183999250 AP，95%CI [−0.4054911520, 2.4422910020]，DCLI 仅赢 1/5，不能声称“稳定提升至少 +1.1 AP”。</w:t>
            </w:r>
          </w:p>
        </w:tc>
      </w:tr>
    </w:tbl>
    <w:p w14:paraId="20F2D990">
      <w:pPr>
        <w:spacing w:after="0"/>
      </w:pPr>
    </w:p>
    <w:tbl>
      <w:tblPr>
        <w:tblStyle w:val="38"/>
        <w:tblW w:w="96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438"/>
      </w:tblGrid>
      <w:tr w14:paraId="5F446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967AA6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7438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BFB1BD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冻结信息</w:t>
            </w:r>
          </w:p>
        </w:tc>
      </w:tr>
      <w:tr w14:paraId="3F60B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288219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8"/>
              </w:rPr>
              <w:t>报告日期</w:t>
            </w:r>
          </w:p>
        </w:tc>
        <w:tc>
          <w:tcPr>
            <w:tcW w:w="7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6320DA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8"/>
              </w:rPr>
              <w:t>2026-08-25</w:t>
            </w:r>
          </w:p>
        </w:tc>
      </w:tr>
      <w:tr w14:paraId="5DAFF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42A89D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8"/>
              </w:rPr>
              <w:t>正式协议</w:t>
            </w:r>
          </w:p>
        </w:tc>
        <w:tc>
          <w:tcPr>
            <w:tcW w:w="74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C9614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8"/>
              </w:rPr>
              <w:t>KITTI_FIT3341_DEV371；Moderate；Pedestrian/Cyclist macro AP_R40</w:t>
            </w:r>
          </w:p>
        </w:tc>
      </w:tr>
      <w:tr w14:paraId="50B8E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E44556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8"/>
              </w:rPr>
              <w:t>确认性队列</w:t>
            </w:r>
          </w:p>
        </w:tc>
        <w:tc>
          <w:tcPr>
            <w:tcW w:w="7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42457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8"/>
              </w:rPr>
              <w:t>10/10 canonical PASS；seed0–4 × PLAIN_P2/DCLI</w:t>
            </w:r>
          </w:p>
        </w:tc>
      </w:tr>
      <w:tr w14:paraId="2C815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CF900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8"/>
              </w:rPr>
              <w:t>差值方向</w:t>
            </w:r>
          </w:p>
        </w:tc>
        <w:tc>
          <w:tcPr>
            <w:tcW w:w="74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74C265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8"/>
              </w:rPr>
              <w:t>预冻结：PLAIN_P2 − DCLI（不得事后换向）</w:t>
            </w:r>
          </w:p>
        </w:tc>
      </w:tr>
      <w:tr w14:paraId="39473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1E5F1F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8"/>
              </w:rPr>
              <w:t>报告用途</w:t>
            </w:r>
          </w:p>
        </w:tc>
        <w:tc>
          <w:tcPr>
            <w:tcW w:w="7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ADFDEA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8"/>
              </w:rPr>
              <w:t>供导师选择封存现方案或批准独立新 development 代次</w:t>
            </w:r>
          </w:p>
        </w:tc>
      </w:tr>
    </w:tbl>
    <w:p w14:paraId="65958816">
      <w:pPr>
        <w:spacing w:before="480"/>
        <w:jc w:val="center"/>
      </w:pPr>
      <w:r>
        <w:rPr>
          <w:rFonts w:ascii="Arial" w:hAnsi="Arial" w:eastAsia="微软雅黑"/>
          <w:b/>
          <w:color w:val="A61B1B"/>
          <w:sz w:val="21"/>
        </w:rPr>
        <w:t>本报告不把负结果改写为成功，也不把新假设冒充本次确认性结论。</w:t>
      </w:r>
    </w:p>
    <w:p w14:paraId="34454C2D">
      <w:r>
        <w:br w:type="page"/>
      </w:r>
    </w:p>
    <w:p w14:paraId="0C52D7B2">
      <w:pPr>
        <w:spacing w:after="200"/>
        <w:jc w:val="center"/>
      </w:pPr>
      <w:r>
        <w:rPr>
          <w:rFonts w:ascii="Arial" w:hAnsi="Arial" w:eastAsia="微软雅黑"/>
          <w:b/>
          <w:color w:val="1F4E78"/>
          <w:sz w:val="40"/>
        </w:rPr>
        <w:t>目录</w:t>
      </w:r>
    </w:p>
    <w:p w14:paraId="7DB4B04A">
      <w:pPr>
        <w:pStyle w:val="26"/>
        <w:tabs>
          <w:tab w:val="right" w:leader="dot" w:pos="9638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_Toc4524 </w:instrText>
      </w:r>
      <w:r>
        <w:fldChar w:fldCharType="separate"/>
      </w:r>
      <w:r>
        <w:rPr>
          <w:rFonts w:ascii="Arial" w:hAnsi="Arial" w:eastAsia="微软雅黑"/>
        </w:rPr>
        <w:t>1. 执行摘要与导师决策</w:t>
      </w:r>
      <w:r>
        <w:tab/>
      </w:r>
      <w:r>
        <w:fldChar w:fldCharType="begin"/>
      </w:r>
      <w:r>
        <w:instrText xml:space="preserve"> PAGEREF _Toc4524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145FF9A">
      <w:pPr>
        <w:pStyle w:val="26"/>
        <w:tabs>
          <w:tab w:val="right" w:leader="dot" w:pos="9638"/>
        </w:tabs>
      </w:pPr>
      <w:r>
        <w:fldChar w:fldCharType="begin"/>
      </w:r>
      <w:r>
        <w:instrText xml:space="preserve"> HYPERLINK \l _Toc22782 </w:instrText>
      </w:r>
      <w:r>
        <w:fldChar w:fldCharType="separate"/>
      </w:r>
      <w:r>
        <w:rPr>
          <w:rFonts w:ascii="Arial" w:hAnsi="Arial" w:eastAsia="微软雅黑"/>
        </w:rPr>
        <w:t>2. 项目目标、研究问题与冻结协议</w:t>
      </w:r>
      <w:r>
        <w:tab/>
      </w:r>
      <w:r>
        <w:fldChar w:fldCharType="begin"/>
      </w:r>
      <w:r>
        <w:instrText xml:space="preserve"> PAGEREF _Toc22782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8D65C82">
      <w:pPr>
        <w:pStyle w:val="26"/>
        <w:tabs>
          <w:tab w:val="right" w:leader="dot" w:pos="9638"/>
        </w:tabs>
      </w:pPr>
      <w:r>
        <w:fldChar w:fldCharType="begin"/>
      </w:r>
      <w:r>
        <w:instrText xml:space="preserve"> HYPERLINK \l _Toc343 </w:instrText>
      </w:r>
      <w:r>
        <w:fldChar w:fldCharType="separate"/>
      </w:r>
      <w:r>
        <w:rPr>
          <w:rFonts w:ascii="Arial" w:hAnsi="Arial" w:eastAsia="微软雅黑"/>
        </w:rPr>
        <w:t>3. 第一版与当前版：自有代码、配置与划分</w:t>
      </w:r>
      <w:r>
        <w:tab/>
      </w:r>
      <w:r>
        <w:fldChar w:fldCharType="begin"/>
      </w:r>
      <w:r>
        <w:instrText xml:space="preserve"> PAGEREF _Toc343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DF12198">
      <w:pPr>
        <w:pStyle w:val="26"/>
        <w:tabs>
          <w:tab w:val="right" w:leader="dot" w:pos="9638"/>
        </w:tabs>
      </w:pPr>
      <w:r>
        <w:fldChar w:fldCharType="begin"/>
      </w:r>
      <w:r>
        <w:instrText xml:space="preserve"> HYPERLINK \l _Toc23121 </w:instrText>
      </w:r>
      <w:r>
        <w:fldChar w:fldCharType="separate"/>
      </w:r>
      <w:r>
        <w:rPr>
          <w:rFonts w:ascii="Arial" w:hAnsi="Arial" w:eastAsia="微软雅黑"/>
        </w:rPr>
        <w:t>4. 方法机制：PLAIN_P2 与 DCLI</w:t>
      </w:r>
      <w:r>
        <w:tab/>
      </w:r>
      <w:r>
        <w:fldChar w:fldCharType="begin"/>
      </w:r>
      <w:r>
        <w:instrText xml:space="preserve"> PAGEREF _Toc23121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2800C38">
      <w:pPr>
        <w:pStyle w:val="19"/>
        <w:tabs>
          <w:tab w:val="right" w:leader="dot" w:pos="9638"/>
        </w:tabs>
      </w:pPr>
      <w:r>
        <w:fldChar w:fldCharType="begin"/>
      </w:r>
      <w:r>
        <w:instrText xml:space="preserve"> HYPERLINK \l _Toc12932 </w:instrText>
      </w:r>
      <w:r>
        <w:fldChar w:fldCharType="separate"/>
      </w:r>
      <w:r>
        <w:rPr>
          <w:rFonts w:ascii="Arial" w:hAnsi="Arial" w:eastAsia="微软雅黑"/>
        </w:rPr>
        <w:t>4.1 PLAIN_P2 对照</w:t>
      </w:r>
      <w:r>
        <w:tab/>
      </w:r>
      <w:r>
        <w:fldChar w:fldCharType="begin"/>
      </w:r>
      <w:r>
        <w:instrText xml:space="preserve"> PAGEREF _Toc12932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3E26604">
      <w:pPr>
        <w:pStyle w:val="19"/>
        <w:tabs>
          <w:tab w:val="right" w:leader="dot" w:pos="9638"/>
        </w:tabs>
      </w:pPr>
      <w:r>
        <w:fldChar w:fldCharType="begin"/>
      </w:r>
      <w:r>
        <w:instrText xml:space="preserve"> HYPERLINK \l _Toc13555 </w:instrText>
      </w:r>
      <w:r>
        <w:fldChar w:fldCharType="separate"/>
      </w:r>
      <w:r>
        <w:rPr>
          <w:rFonts w:ascii="Arial" w:hAnsi="Arial" w:eastAsia="微软雅黑"/>
        </w:rPr>
        <w:t>4.2 DCLI 机制</w:t>
      </w:r>
      <w:r>
        <w:tab/>
      </w:r>
      <w:r>
        <w:fldChar w:fldCharType="begin"/>
      </w:r>
      <w:r>
        <w:instrText xml:space="preserve"> PAGEREF _Toc13555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5BE8F43">
      <w:pPr>
        <w:pStyle w:val="26"/>
        <w:tabs>
          <w:tab w:val="right" w:leader="dot" w:pos="9638"/>
        </w:tabs>
      </w:pPr>
      <w:r>
        <w:fldChar w:fldCharType="begin"/>
      </w:r>
      <w:r>
        <w:instrText xml:space="preserve"> HYPERLINK \l _Toc12093 </w:instrText>
      </w:r>
      <w:r>
        <w:fldChar w:fldCharType="separate"/>
      </w:r>
      <w:r>
        <w:rPr>
          <w:rFonts w:ascii="Arial" w:hAnsi="Arial" w:eastAsia="微软雅黑"/>
        </w:rPr>
        <w:t>5. 旧故障链、根因修复与科学边界</w:t>
      </w:r>
      <w:r>
        <w:tab/>
      </w:r>
      <w:r>
        <w:fldChar w:fldCharType="begin"/>
      </w:r>
      <w:r>
        <w:instrText xml:space="preserve"> PAGEREF _Toc12093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3073CD8">
      <w:pPr>
        <w:pStyle w:val="26"/>
        <w:tabs>
          <w:tab w:val="right" w:leader="dot" w:pos="9638"/>
        </w:tabs>
      </w:pPr>
      <w:r>
        <w:fldChar w:fldCharType="begin"/>
      </w:r>
      <w:r>
        <w:instrText xml:space="preserve"> HYPERLINK \l _Toc5008 </w:instrText>
      </w:r>
      <w:r>
        <w:fldChar w:fldCharType="separate"/>
      </w:r>
      <w:r>
        <w:rPr>
          <w:rFonts w:ascii="Arial" w:hAnsi="Arial" w:eastAsia="微软雅黑"/>
        </w:rPr>
        <w:t>6. 十个正式任务的工程证据</w:t>
      </w:r>
      <w:r>
        <w:tab/>
      </w:r>
      <w:r>
        <w:fldChar w:fldCharType="begin"/>
      </w:r>
      <w:r>
        <w:instrText xml:space="preserve"> PAGEREF _Toc5008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442FC02">
      <w:pPr>
        <w:pStyle w:val="26"/>
        <w:tabs>
          <w:tab w:val="right" w:leader="dot" w:pos="9638"/>
        </w:tabs>
      </w:pPr>
      <w:r>
        <w:fldChar w:fldCharType="begin"/>
      </w:r>
      <w:r>
        <w:instrText xml:space="preserve"> HYPERLINK \l _Toc9525 </w:instrText>
      </w:r>
      <w:r>
        <w:fldChar w:fldCharType="separate"/>
      </w:r>
      <w:r>
        <w:rPr>
          <w:rFonts w:ascii="Arial" w:hAnsi="Arial" w:eastAsia="微软雅黑"/>
        </w:rPr>
        <w:t>7. 五随机种子全部原始 Moderate AP_R40</w:t>
      </w:r>
      <w:r>
        <w:tab/>
      </w:r>
      <w:r>
        <w:fldChar w:fldCharType="begin"/>
      </w:r>
      <w:r>
        <w:instrText xml:space="preserve"> PAGEREF _Toc9525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4E7ECA6">
      <w:pPr>
        <w:pStyle w:val="26"/>
        <w:tabs>
          <w:tab w:val="right" w:leader="dot" w:pos="9638"/>
        </w:tabs>
      </w:pPr>
      <w:r>
        <w:fldChar w:fldCharType="begin"/>
      </w:r>
      <w:r>
        <w:instrText xml:space="preserve"> HYPERLINK \l _Toc19418 </w:instrText>
      </w:r>
      <w:r>
        <w:fldChar w:fldCharType="separate"/>
      </w:r>
      <w:r>
        <w:rPr>
          <w:rFonts w:ascii="Arial" w:hAnsi="Arial" w:eastAsia="微软雅黑"/>
        </w:rPr>
        <w:t>8. 配对统计与稳定性结论</w:t>
      </w:r>
      <w:r>
        <w:tab/>
      </w:r>
      <w:r>
        <w:fldChar w:fldCharType="begin"/>
      </w:r>
      <w:r>
        <w:instrText xml:space="preserve"> PAGEREF _Toc19418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A82E91C">
      <w:pPr>
        <w:pStyle w:val="26"/>
        <w:tabs>
          <w:tab w:val="right" w:leader="dot" w:pos="9638"/>
        </w:tabs>
      </w:pPr>
      <w:r>
        <w:fldChar w:fldCharType="begin"/>
      </w:r>
      <w:r>
        <w:instrText xml:space="preserve"> HYPERLINK \l _Toc16099 </w:instrText>
      </w:r>
      <w:r>
        <w:fldChar w:fldCharType="separate"/>
      </w:r>
      <w:r>
        <w:rPr>
          <w:rFonts w:ascii="Arial" w:hAnsi="Arial" w:eastAsia="微软雅黑"/>
        </w:rPr>
        <w:t>9. 老师要求的四曲线与分叉诊断</w:t>
      </w:r>
      <w:r>
        <w:tab/>
      </w:r>
      <w:r>
        <w:fldChar w:fldCharType="begin"/>
      </w:r>
      <w:r>
        <w:instrText xml:space="preserve"> PAGEREF _Toc16099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658B38D">
      <w:pPr>
        <w:pStyle w:val="26"/>
        <w:tabs>
          <w:tab w:val="right" w:leader="dot" w:pos="9638"/>
        </w:tabs>
      </w:pPr>
      <w:r>
        <w:fldChar w:fldCharType="begin"/>
      </w:r>
      <w:r>
        <w:instrText xml:space="preserve"> HYPERLINK \l _Toc976 </w:instrText>
      </w:r>
      <w:r>
        <w:fldChar w:fldCharType="separate"/>
      </w:r>
      <w:r>
        <w:rPr>
          <w:rFonts w:ascii="Arial" w:hAnsi="Arial" w:eastAsia="微软雅黑"/>
        </w:rPr>
        <w:t>10. Small/Far 主分层与 No-harm Controls</w:t>
      </w:r>
      <w:r>
        <w:tab/>
      </w:r>
      <w:r>
        <w:fldChar w:fldCharType="begin"/>
      </w:r>
      <w:r>
        <w:instrText xml:space="preserve"> PAGEREF _Toc976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7102A73">
      <w:pPr>
        <w:pStyle w:val="26"/>
        <w:tabs>
          <w:tab w:val="right" w:leader="dot" w:pos="9638"/>
        </w:tabs>
      </w:pPr>
      <w:r>
        <w:fldChar w:fldCharType="begin"/>
      </w:r>
      <w:r>
        <w:instrText xml:space="preserve"> HYPERLINK \l _Toc8736 </w:instrText>
      </w:r>
      <w:r>
        <w:fldChar w:fldCharType="separate"/>
      </w:r>
      <w:r>
        <w:rPr>
          <w:rFonts w:ascii="Arial" w:hAnsi="Arial" w:eastAsia="微软雅黑"/>
        </w:rPr>
        <w:t>11. 匹配成本（seed0 描述性证据）</w:t>
      </w:r>
      <w:r>
        <w:tab/>
      </w:r>
      <w:r>
        <w:fldChar w:fldCharType="begin"/>
      </w:r>
      <w:r>
        <w:instrText xml:space="preserve"> PAGEREF _Toc8736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8B0C18C">
      <w:pPr>
        <w:pStyle w:val="26"/>
        <w:tabs>
          <w:tab w:val="right" w:leader="dot" w:pos="9638"/>
        </w:tabs>
      </w:pPr>
      <w:r>
        <w:fldChar w:fldCharType="begin"/>
      </w:r>
      <w:r>
        <w:instrText xml:space="preserve"> HYPERLINK \l _Toc27224 </w:instrText>
      </w:r>
      <w:r>
        <w:fldChar w:fldCharType="separate"/>
      </w:r>
      <w:r>
        <w:rPr>
          <w:rFonts w:ascii="Arial" w:hAnsi="Arial" w:eastAsia="微软雅黑"/>
        </w:rPr>
        <w:t>12. 三层结论：哪些通过，哪些没有通过</w:t>
      </w:r>
      <w:r>
        <w:tab/>
      </w:r>
      <w:r>
        <w:fldChar w:fldCharType="begin"/>
      </w:r>
      <w:r>
        <w:instrText xml:space="preserve"> PAGEREF _Toc27224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4269EC4">
      <w:pPr>
        <w:pStyle w:val="26"/>
        <w:tabs>
          <w:tab w:val="right" w:leader="dot" w:pos="9638"/>
        </w:tabs>
      </w:pPr>
      <w:r>
        <w:fldChar w:fldCharType="begin"/>
      </w:r>
      <w:r>
        <w:instrText xml:space="preserve"> HYPERLINK \l _Toc10470 </w:instrText>
      </w:r>
      <w:r>
        <w:fldChar w:fldCharType="separate"/>
      </w:r>
      <w:r>
        <w:rPr>
          <w:rFonts w:ascii="Arial" w:hAnsi="Arial" w:eastAsia="微软雅黑"/>
        </w:rPr>
        <w:t>13. 导师选择页</w:t>
      </w:r>
      <w:r>
        <w:tab/>
      </w:r>
      <w:r>
        <w:fldChar w:fldCharType="begin"/>
      </w:r>
      <w:r>
        <w:instrText xml:space="preserve"> PAGEREF _Toc10470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CCB6B76">
      <w:pPr>
        <w:pStyle w:val="26"/>
        <w:tabs>
          <w:tab w:val="right" w:leader="dot" w:pos="9638"/>
        </w:tabs>
      </w:pPr>
      <w:r>
        <w:fldChar w:fldCharType="begin"/>
      </w:r>
      <w:r>
        <w:instrText xml:space="preserve"> HYPERLINK \l _Toc25994 </w:instrText>
      </w:r>
      <w:r>
        <w:fldChar w:fldCharType="separate"/>
      </w:r>
      <w:r>
        <w:rPr>
          <w:rFonts w:ascii="Arial" w:hAnsi="Arial" w:eastAsia="微软雅黑"/>
        </w:rPr>
        <w:t>14. 论文可用表述与限制</w:t>
      </w:r>
      <w:r>
        <w:tab/>
      </w:r>
      <w:r>
        <w:fldChar w:fldCharType="begin"/>
      </w:r>
      <w:r>
        <w:instrText xml:space="preserve"> PAGEREF _Toc25994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5B0CAF5">
      <w:pPr>
        <w:pStyle w:val="19"/>
        <w:tabs>
          <w:tab w:val="right" w:leader="dot" w:pos="9638"/>
        </w:tabs>
      </w:pPr>
      <w:r>
        <w:fldChar w:fldCharType="begin"/>
      </w:r>
      <w:r>
        <w:instrText xml:space="preserve"> HYPERLINK \l _Toc19690 </w:instrText>
      </w:r>
      <w:r>
        <w:fldChar w:fldCharType="separate"/>
      </w:r>
      <w:r>
        <w:rPr>
          <w:rFonts w:ascii="Arial" w:hAnsi="Arial" w:eastAsia="微软雅黑"/>
        </w:rPr>
        <w:t>14.1 可直接写入</w:t>
      </w:r>
      <w:r>
        <w:tab/>
      </w:r>
      <w:r>
        <w:fldChar w:fldCharType="begin"/>
      </w:r>
      <w:r>
        <w:instrText xml:space="preserve"> PAGEREF _Toc19690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3818D66">
      <w:pPr>
        <w:pStyle w:val="19"/>
        <w:tabs>
          <w:tab w:val="right" w:leader="dot" w:pos="9638"/>
        </w:tabs>
      </w:pPr>
      <w:r>
        <w:fldChar w:fldCharType="begin"/>
      </w:r>
      <w:r>
        <w:instrText xml:space="preserve"> HYPERLINK \l _Toc27733 </w:instrText>
      </w:r>
      <w:r>
        <w:fldChar w:fldCharType="separate"/>
      </w:r>
      <w:r>
        <w:rPr>
          <w:rFonts w:ascii="Arial" w:hAnsi="Arial" w:eastAsia="微软雅黑"/>
        </w:rPr>
        <w:t>14.2 禁止写入</w:t>
      </w:r>
      <w:r>
        <w:tab/>
      </w:r>
      <w:r>
        <w:fldChar w:fldCharType="begin"/>
      </w:r>
      <w:r>
        <w:instrText xml:space="preserve"> PAGEREF _Toc27733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63EC359">
      <w:pPr>
        <w:pStyle w:val="26"/>
        <w:tabs>
          <w:tab w:val="right" w:leader="dot" w:pos="9638"/>
        </w:tabs>
      </w:pPr>
      <w:r>
        <w:fldChar w:fldCharType="begin"/>
      </w:r>
      <w:r>
        <w:instrText xml:space="preserve"> HYPERLINK \l _Toc17701 </w:instrText>
      </w:r>
      <w:r>
        <w:fldChar w:fldCharType="separate"/>
      </w:r>
      <w:r>
        <w:rPr>
          <w:rFonts w:ascii="Arial" w:hAnsi="Arial" w:eastAsia="微软雅黑"/>
        </w:rPr>
        <w:t>15. 可追溯材料与源码附件</w:t>
      </w:r>
      <w:r>
        <w:tab/>
      </w:r>
      <w:r>
        <w:fldChar w:fldCharType="begin"/>
      </w:r>
      <w:r>
        <w:instrText xml:space="preserve"> PAGEREF _Toc17701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3C034E0E">
      <w:pPr>
        <w:pStyle w:val="26"/>
        <w:tabs>
          <w:tab w:val="right" w:leader="dot" w:pos="9638"/>
        </w:tabs>
      </w:pPr>
      <w:r>
        <w:fldChar w:fldCharType="begin"/>
      </w:r>
      <w:r>
        <w:instrText xml:space="preserve"> HYPERLINK \l _Toc11889 </w:instrText>
      </w:r>
      <w:r>
        <w:fldChar w:fldCharType="separate"/>
      </w:r>
      <w:r>
        <w:rPr>
          <w:rFonts w:ascii="Arial" w:hAnsi="Arial" w:eastAsia="微软雅黑"/>
        </w:rPr>
        <w:t>16. 关键项目自有代码摘录</w:t>
      </w:r>
      <w:r>
        <w:tab/>
      </w:r>
      <w:r>
        <w:fldChar w:fldCharType="begin"/>
      </w:r>
      <w:r>
        <w:instrText xml:space="preserve"> PAGEREF _Toc11889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760F83EC">
      <w:r>
        <w:fldChar w:fldCharType="end"/>
      </w:r>
    </w:p>
    <w:p w14:paraId="4AF1E1E6">
      <w:r>
        <w:br w:type="page"/>
      </w:r>
    </w:p>
    <w:p w14:paraId="60F6F272">
      <w:pPr>
        <w:pStyle w:val="2"/>
        <w:keepNext/>
      </w:pPr>
      <w:bookmarkStart w:id="0" w:name="_Toc4524"/>
      <w:r>
        <w:rPr>
          <w:rFonts w:ascii="Arial" w:hAnsi="Arial" w:eastAsia="微软雅黑"/>
          <w:b/>
          <w:color w:val="1F4E78"/>
          <w:sz w:val="31"/>
        </w:rPr>
        <w:t>1. 执行摘要与导师决策</w:t>
      </w:r>
      <w:bookmarkEnd w:id="0"/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61C0D4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E2F0D9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36C1BAC8">
            <w:pPr>
              <w:spacing w:after="60"/>
            </w:pPr>
            <w:r>
              <w:rPr>
                <w:rFonts w:ascii="Arial" w:hAnsi="Arial" w:eastAsia="微软雅黑"/>
                <w:b/>
                <w:color w:val="2E7D32"/>
                <w:sz w:val="22"/>
              </w:rPr>
              <w:t>工程正确性：PASS</w:t>
            </w:r>
          </w:p>
          <w:p w14:paraId="22285673">
            <w:pPr>
              <w:spacing w:after="0"/>
            </w:pPr>
            <w:r>
              <w:rPr>
                <w:rFonts w:ascii="Arial" w:hAnsi="Arial" w:eastAsia="宋体"/>
                <w:b w:val="0"/>
                <w:color w:val="222222"/>
                <w:sz w:val="20"/>
              </w:rPr>
              <w:t>修复后的 10 个正式任务均达到 30/30 连续 durable boundaries、双 terminal PASS、checkpoint/recovery 约束与 &lt;=300 秒边界；旧故障代次未被删除、重解释或混入。</w:t>
            </w:r>
          </w:p>
        </w:tc>
      </w:tr>
    </w:tbl>
    <w:p w14:paraId="1A9AE178">
      <w:pPr>
        <w:spacing w:after="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458372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E2F0D9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08532378">
            <w:pPr>
              <w:spacing w:after="60"/>
            </w:pPr>
            <w:r>
              <w:rPr>
                <w:rFonts w:ascii="Arial" w:hAnsi="Arial" w:eastAsia="微软雅黑"/>
                <w:b/>
                <w:color w:val="2E7D32"/>
                <w:sz w:val="22"/>
              </w:rPr>
              <w:t>实验可信性：PASS</w:t>
            </w:r>
          </w:p>
          <w:p w14:paraId="70222AC5">
            <w:pPr>
              <w:spacing w:after="0"/>
            </w:pPr>
            <w:r>
              <w:rPr>
                <w:rFonts w:ascii="Arial" w:hAnsi="Arial" w:eastAsia="宋体"/>
                <w:b w:val="0"/>
                <w:color w:val="222222"/>
                <w:sz w:val="20"/>
              </w:rPr>
              <w:t>同一 3341/371 划分、同一主机/GPU、固定 seeds[0,1,2,3,4]、每种方法各五次；方法内 seed 配置差异仅为预注册 seed 及派生身份；不包含历史 17/29/41。</w:t>
            </w:r>
          </w:p>
        </w:tc>
      </w:tr>
    </w:tbl>
    <w:p w14:paraId="155E0E80">
      <w:pPr>
        <w:spacing w:after="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5C19DE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CE4D6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4B0D3FA4">
            <w:pPr>
              <w:spacing w:after="60"/>
            </w:pPr>
            <w:r>
              <w:rPr>
                <w:rFonts w:ascii="Arial" w:hAnsi="Arial" w:eastAsia="微软雅黑"/>
                <w:b/>
                <w:color w:val="A61B1B"/>
                <w:sz w:val="22"/>
              </w:rPr>
              <w:t>DCLI 方法有效性：未通过</w:t>
            </w:r>
          </w:p>
          <w:p w14:paraId="461D0039">
            <w:pPr>
              <w:spacing w:after="0"/>
            </w:pPr>
            <w:r>
              <w:rPr>
                <w:rFonts w:ascii="Arial" w:hAnsi="Arial" w:eastAsia="宋体"/>
                <w:b w:val="0"/>
                <w:color w:val="222222"/>
                <w:sz w:val="20"/>
              </w:rPr>
              <w:t>PLAIN_P2 均值 95.3886399233，DCLI 均值 94.3702399983。固定差值 PLAIN_P2−DCLI 均值 +1.0183999250，95%CI [−0.4054911520, 2.4422910020]；DCLI 仅赢 1/5。</w:t>
            </w:r>
          </w:p>
        </w:tc>
      </w:tr>
    </w:tbl>
    <w:p w14:paraId="1CDA513B">
      <w:pPr>
        <w:spacing w:after="0"/>
      </w:pPr>
    </w:p>
    <w:p w14:paraId="49E25807">
      <w:pPr>
        <w:spacing w:after="100" w:line="360" w:lineRule="auto"/>
        <w:ind w:firstLine="420"/>
      </w:pPr>
      <w:r>
        <w:rPr>
          <w:rFonts w:ascii="Arial" w:hAnsi="Arial" w:eastAsia="宋体"/>
          <w:b/>
          <w:color w:val="222222"/>
          <w:sz w:val="21"/>
        </w:rPr>
        <w:t>建议导师首先决定：A）封存本代 DCLI，并以 PLAIN_P2 作为当前确认性主线；或 B）允许在与本次确认性队列完全隔离的新 development 代次中验证新的机制假设。无论选择哪一项，本次 DCLI 都不能写成稳定提升。</w:t>
      </w:r>
    </w:p>
    <w:p w14:paraId="782FE958">
      <w:pPr>
        <w:pStyle w:val="2"/>
        <w:keepNext/>
      </w:pPr>
      <w:bookmarkStart w:id="1" w:name="_Toc22782"/>
      <w:r>
        <w:rPr>
          <w:rFonts w:ascii="Arial" w:hAnsi="Arial" w:eastAsia="微软雅黑"/>
          <w:b/>
          <w:color w:val="1F4E78"/>
          <w:sz w:val="31"/>
        </w:rPr>
        <w:t>2. 项目目标、研究问题与冻结协议</w:t>
      </w:r>
      <w:bookmarkEnd w:id="1"/>
    </w:p>
    <w:p w14:paraId="39F1D0AF">
      <w:pPr>
        <w:spacing w:after="100" w:line="360" w:lineRule="auto"/>
        <w:ind w:firstLine="420"/>
      </w:pPr>
      <w:r>
        <w:rPr>
          <w:rFonts w:ascii="Arial" w:hAnsi="Arial" w:eastAsia="宋体"/>
          <w:b w:val="0"/>
          <w:color w:val="222222"/>
          <w:sz w:val="21"/>
        </w:rPr>
        <w:t>项目目标是提升 KITTI 自动驾驶场景中远距离、小尺度 Pedestrian/Cyclist 的检测表现，同时控制 large/near 目标不受明显伤害。研究问题不是“能否堆叠更多模块”，而是 DCLI 的退化条件定位机制在严格匹配的 PLAIN_P2 基线上是否产生可重复的确认性收益。</w:t>
      </w:r>
    </w:p>
    <w:p w14:paraId="52849874">
      <w:pPr>
        <w:pStyle w:val="27"/>
        <w:spacing w:after="60" w:line="276" w:lineRule="auto"/>
      </w:pPr>
      <w:r>
        <w:rPr>
          <w:rFonts w:ascii="Arial" w:hAnsi="Arial" w:eastAsia="宋体"/>
          <w:b w:val="0"/>
          <w:color w:val="222222"/>
          <w:sz w:val="20"/>
        </w:rPr>
        <w:t>数据协议：KITTI 固定 fit 3341 / development 371；fit IDs SHA256 50a1f8d7…3362，development IDs SHA256 b1b6b6ee…cda8。</w:t>
      </w:r>
    </w:p>
    <w:p w14:paraId="6ABF89F0">
      <w:pPr>
        <w:pStyle w:val="27"/>
        <w:spacing w:after="60" w:line="276" w:lineRule="auto"/>
      </w:pPr>
      <w:r>
        <w:rPr>
          <w:rFonts w:ascii="Arial" w:hAnsi="Arial" w:eastAsia="宋体"/>
          <w:b w:val="0"/>
          <w:color w:val="222222"/>
          <w:sz w:val="20"/>
        </w:rPr>
        <w:t>主 estimand：Pedestrian 与 Cyclist 的 Moderate AP_R40 非加权 macro；固定差值方向 PLAIN_P2−DCLI。</w:t>
      </w:r>
    </w:p>
    <w:p w14:paraId="0A4BF30D">
      <w:pPr>
        <w:pStyle w:val="27"/>
        <w:spacing w:after="60" w:line="276" w:lineRule="auto"/>
      </w:pPr>
      <w:r>
        <w:rPr>
          <w:rFonts w:ascii="Arial" w:hAnsi="Arial" w:eastAsia="宋体"/>
          <w:b w:val="0"/>
          <w:color w:val="222222"/>
          <w:sz w:val="20"/>
        </w:rPr>
        <w:t>分层主门：small = 25 &lt; height &lt;= 40 px；far = depth &gt; 40 m。</w:t>
      </w:r>
    </w:p>
    <w:p w14:paraId="6AE4120E">
      <w:pPr>
        <w:pStyle w:val="27"/>
        <w:spacing w:after="60" w:line="276" w:lineRule="auto"/>
      </w:pPr>
      <w:r>
        <w:rPr>
          <w:rFonts w:ascii="Arial" w:hAnsi="Arial" w:eastAsia="宋体"/>
          <w:b w:val="0"/>
          <w:color w:val="222222"/>
          <w:sz w:val="20"/>
        </w:rPr>
        <w:t>no-harm controls：large = height &gt; 80 px；near = 0 &lt; depth &lt;= 20 m。</w:t>
      </w:r>
    </w:p>
    <w:p w14:paraId="44D01198">
      <w:pPr>
        <w:pStyle w:val="27"/>
        <w:spacing w:after="60" w:line="276" w:lineRule="auto"/>
      </w:pPr>
      <w:r>
        <w:rPr>
          <w:rFonts w:ascii="Arial" w:hAnsi="Arial" w:eastAsia="宋体"/>
          <w:b w:val="0"/>
          <w:color w:val="222222"/>
          <w:sz w:val="20"/>
        </w:rPr>
        <w:t>训练协议：seeds 0–4；30 epoch；batch 16；image size 640；SGD；lr0 0.01；deterministic；epoch20 只读诊断，epoch30 唯一正式终点。</w:t>
      </w:r>
    </w:p>
    <w:p w14:paraId="48671945">
      <w:pPr>
        <w:pStyle w:val="27"/>
        <w:spacing w:after="60" w:line="276" w:lineRule="auto"/>
      </w:pPr>
      <w:r>
        <w:rPr>
          <w:rFonts w:ascii="Arial" w:hAnsi="Arial" w:eastAsia="宋体"/>
          <w:b w:val="0"/>
          <w:color w:val="222222"/>
          <w:sz w:val="20"/>
        </w:rPr>
        <w:t>历史 17/29/41 以及旧 Stage11 故障队列全部排除，不得补 seed、删 seed 或按结果换方向。</w:t>
      </w:r>
    </w:p>
    <w:tbl>
      <w:tblPr>
        <w:tblStyle w:val="38"/>
        <w:tblW w:w="96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800"/>
        <w:gridCol w:w="3500"/>
        <w:gridCol w:w="2838"/>
      </w:tblGrid>
      <w:tr w14:paraId="78AAD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E3B067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对象</w:t>
            </w:r>
          </w:p>
        </w:tc>
        <w:tc>
          <w:tcPr>
            <w:tcW w:w="18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40D2A5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规模/取值</w:t>
            </w:r>
          </w:p>
        </w:tc>
        <w:tc>
          <w:tcPr>
            <w:tcW w:w="35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3C882F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身份</w:t>
            </w:r>
          </w:p>
        </w:tc>
        <w:tc>
          <w:tcPr>
            <w:tcW w:w="2838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01E45C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角色</w:t>
            </w:r>
          </w:p>
        </w:tc>
      </w:tr>
      <w:tr w14:paraId="47B33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9D0EFF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训练集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D613C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3341</w:t>
            </w:r>
          </w:p>
        </w:tc>
        <w:tc>
          <w:tcPr>
            <w:tcW w:w="3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BB2A7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fit_ids SHA 50a1f8d72b74…3362</w:t>
            </w:r>
          </w:p>
        </w:tc>
        <w:tc>
          <w:tcPr>
            <w:tcW w:w="2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9956A6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只用于参数拟合</w:t>
            </w:r>
          </w:p>
        </w:tc>
      </w:tr>
      <w:tr w14:paraId="7E196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B26B09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开发集</w:t>
            </w:r>
          </w:p>
        </w:tc>
        <w:tc>
          <w:tcPr>
            <w:tcW w:w="18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BBBC8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371</w:t>
            </w:r>
          </w:p>
        </w:tc>
        <w:tc>
          <w:tcPr>
            <w:tcW w:w="35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E364DF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development_ids SHA b1b6b6ee7e53…cda8</w:t>
            </w:r>
          </w:p>
        </w:tc>
        <w:tc>
          <w:tcPr>
            <w:tcW w:w="28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6E527F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正式 Moderate AP_R40 评估</w:t>
            </w:r>
          </w:p>
        </w:tc>
      </w:tr>
      <w:tr w14:paraId="231CA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402959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随机种子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915175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0,1,2,3,4</w:t>
            </w:r>
          </w:p>
        </w:tc>
        <w:tc>
          <w:tcPr>
            <w:tcW w:w="3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472D3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五个预注册配对 seed</w:t>
            </w:r>
          </w:p>
        </w:tc>
        <w:tc>
          <w:tcPr>
            <w:tcW w:w="2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F350D6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不含 17/29/41</w:t>
            </w:r>
          </w:p>
        </w:tc>
      </w:tr>
      <w:tr w14:paraId="14FFB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F42F42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终点</w:t>
            </w:r>
          </w:p>
        </w:tc>
        <w:tc>
          <w:tcPr>
            <w:tcW w:w="18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8009B0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30 epoch</w:t>
            </w:r>
          </w:p>
        </w:tc>
        <w:tc>
          <w:tcPr>
            <w:tcW w:w="35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F1DC7F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epoch20 仅只读快照</w:t>
            </w:r>
          </w:p>
        </w:tc>
        <w:tc>
          <w:tcPr>
            <w:tcW w:w="28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48603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禁止提前停止</w:t>
            </w:r>
          </w:p>
        </w:tc>
      </w:tr>
    </w:tbl>
    <w:p w14:paraId="193CD106">
      <w:pPr>
        <w:spacing w:before="60" w:after="140"/>
        <w:jc w:val="center"/>
      </w:pPr>
      <w:r>
        <w:rPr>
          <w:rFonts w:ascii="Arial" w:hAnsi="Arial" w:eastAsia="宋体"/>
          <w:b w:val="0"/>
          <w:color w:val="666666"/>
          <w:sz w:val="18"/>
        </w:rPr>
        <w:t>表 1  冻结数据、种子与训练终点</w:t>
      </w:r>
    </w:p>
    <w:p w14:paraId="1C7DE08A">
      <w:pPr>
        <w:pStyle w:val="2"/>
        <w:keepNext/>
      </w:pPr>
      <w:bookmarkStart w:id="2" w:name="_Toc343"/>
      <w:r>
        <w:rPr>
          <w:rFonts w:ascii="Arial" w:hAnsi="Arial" w:eastAsia="微软雅黑"/>
          <w:b/>
          <w:color w:val="1F4E78"/>
          <w:sz w:val="31"/>
        </w:rPr>
        <w:t>3. 第一版与当前版：自有代码、配置与划分</w:t>
      </w:r>
      <w:bookmarkEnd w:id="2"/>
    </w:p>
    <w:p w14:paraId="7258B411">
      <w:pPr>
        <w:spacing w:after="100" w:line="360" w:lineRule="auto"/>
        <w:ind w:firstLine="420"/>
      </w:pPr>
      <w:r>
        <w:rPr>
          <w:rFonts w:ascii="Arial" w:hAnsi="Arial" w:eastAsia="宋体"/>
          <w:b w:val="0"/>
          <w:color w:val="222222"/>
          <w:sz w:val="21"/>
        </w:rPr>
        <w:t>第一版（2026-08-05）报告采用 3712/3769 的旧数据整理与旧实验口径；当前确认性版本采用 3341/371 固定划分、冻结源码/配置/评测器与逐 epoch 恢复发布合同。两版不能直接相减。源码附件只收录项目自有代码与配置；Ultralytics、PyTorch 等第三方源码不复制，仅登记版本、SHA、许可证和调用关系。</w:t>
      </w:r>
    </w:p>
    <w:tbl>
      <w:tblPr>
        <w:tblStyle w:val="38"/>
        <w:tblW w:w="96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900"/>
        <w:gridCol w:w="2700"/>
        <w:gridCol w:w="3138"/>
      </w:tblGrid>
      <w:tr w14:paraId="23DD0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71F7F2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版本</w:t>
            </w:r>
          </w:p>
        </w:tc>
        <w:tc>
          <w:tcPr>
            <w:tcW w:w="19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A27C83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自有源码规模</w:t>
            </w:r>
          </w:p>
        </w:tc>
        <w:tc>
          <w:tcPr>
            <w:tcW w:w="27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94C1C0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数据/实验口径</w:t>
            </w:r>
          </w:p>
        </w:tc>
        <w:tc>
          <w:tcPr>
            <w:tcW w:w="3138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F8BB46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源码 ZIP SHA256</w:t>
            </w:r>
          </w:p>
        </w:tc>
      </w:tr>
      <w:tr w14:paraId="2D6D1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6287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第一版 2026-08-05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3F692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191 文件 / 40027 行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7284B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旧报告 3712/3769；旧基线/消融口径</w:t>
            </w:r>
          </w:p>
        </w:tc>
        <w:tc>
          <w:tcPr>
            <w:tcW w:w="31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BD551F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b6210dbde5f25ab78f8e197da0953d732b437d57aaf70ed6c86534cf14815159</w:t>
            </w:r>
          </w:p>
        </w:tc>
      </w:tr>
      <w:tr w14:paraId="77212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874E53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当前 v177+v200</w:t>
            </w:r>
          </w:p>
        </w:tc>
        <w:tc>
          <w:tcPr>
            <w:tcW w:w="19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FEDF72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295 文件 / 96475 行</w:t>
            </w:r>
          </w:p>
        </w:tc>
        <w:tc>
          <w:tcPr>
            <w:tcW w:w="27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ACD3F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固定 3341/371；五 seed 确认性</w:t>
            </w:r>
          </w:p>
        </w:tc>
        <w:tc>
          <w:tcPr>
            <w:tcW w:w="31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2E2292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f42757d0c3f31add795020c7591911fcdd5991070a97acd992b706523ac69652</w:t>
            </w:r>
          </w:p>
        </w:tc>
      </w:tr>
    </w:tbl>
    <w:p w14:paraId="5AA768F7">
      <w:pPr>
        <w:spacing w:before="60" w:after="140"/>
        <w:jc w:val="center"/>
      </w:pPr>
      <w:r>
        <w:rPr>
          <w:rFonts w:ascii="Arial" w:hAnsi="Arial" w:eastAsia="宋体"/>
          <w:b w:val="0"/>
          <w:color w:val="666666"/>
          <w:sz w:val="18"/>
        </w:rPr>
        <w:t>表 2  第一版与当前版源码附件身份</w:t>
      </w:r>
    </w:p>
    <w:p w14:paraId="2494E587">
      <w:pPr>
        <w:spacing w:after="100" w:line="360" w:lineRule="auto"/>
        <w:ind w:firstLine="420"/>
      </w:pPr>
      <w:r>
        <w:rPr>
          <w:rFonts w:ascii="Arial" w:hAnsi="Arial" w:eastAsia="宋体"/>
          <w:b w:val="0"/>
          <w:color w:val="222222"/>
          <w:sz w:val="21"/>
        </w:rPr>
        <w:t>第一版阶段报告曾记录 YOLOv8m 基线 Moderate AP40 约 57.57、P2 约 65.34、融合约 65.54，另有语义保护三 seed macro 约 66.24。项目历史上还保留过约 19.12 AP 的下降，这属于旧协议/旧故障链的负证据，必须完整保留，但不能与当前 Moderate Pedestrian/Cyclist AP_R40 合并、相减或作为当前方法效应。</w:t>
      </w:r>
    </w:p>
    <w:p w14:paraId="0EC7AEC8">
      <w:pPr>
        <w:pStyle w:val="2"/>
        <w:keepNext/>
      </w:pPr>
      <w:bookmarkStart w:id="3" w:name="_Toc23121"/>
      <w:r>
        <w:rPr>
          <w:rFonts w:ascii="Arial" w:hAnsi="Arial" w:eastAsia="微软雅黑"/>
          <w:b/>
          <w:color w:val="1F4E78"/>
          <w:sz w:val="31"/>
        </w:rPr>
        <w:t>4. 方法机制：PLAIN_P2 与 DCLI</w:t>
      </w:r>
      <w:bookmarkEnd w:id="3"/>
    </w:p>
    <w:p w14:paraId="3E61DF5A">
      <w:pPr>
        <w:pStyle w:val="3"/>
        <w:keepNext/>
      </w:pPr>
      <w:bookmarkStart w:id="4" w:name="_Toc12932"/>
      <w:r>
        <w:rPr>
          <w:rFonts w:ascii="Arial" w:hAnsi="Arial" w:eastAsia="微软雅黑"/>
          <w:b/>
          <w:color w:val="2F75B5"/>
          <w:sz w:val="25"/>
        </w:rPr>
        <w:t>4.1 PLAIN_P2 对照</w:t>
      </w:r>
      <w:bookmarkEnd w:id="4"/>
    </w:p>
    <w:p w14:paraId="6454740E">
      <w:pPr>
        <w:spacing w:after="100" w:line="360" w:lineRule="auto"/>
        <w:ind w:firstLine="420"/>
      </w:pPr>
      <w:r>
        <w:rPr>
          <w:rFonts w:ascii="Arial" w:hAnsi="Arial" w:eastAsia="宋体"/>
          <w:b w:val="0"/>
          <w:color w:val="222222"/>
          <w:sz w:val="21"/>
        </w:rPr>
        <w:t>PLAIN_P2 使用同一 kitti-p2-m.yaml 模型、同一 yolov8m.pt 语义前缀初始化、同一数据/划分、同一训练与预测协议，但不启用 DCLI、因素监督或干预。它是当前确认性比较的强匹配基线，而不是原始 YOLO 的混合口径基线。</w:t>
      </w:r>
    </w:p>
    <w:p w14:paraId="26DB3115">
      <w:pPr>
        <w:pStyle w:val="3"/>
        <w:keepNext/>
      </w:pPr>
      <w:bookmarkStart w:id="5" w:name="_Toc13555"/>
      <w:r>
        <w:rPr>
          <w:rFonts w:ascii="Arial" w:hAnsi="Arial" w:eastAsia="微软雅黑"/>
          <w:b/>
          <w:color w:val="2F75B5"/>
          <w:sz w:val="25"/>
        </w:rPr>
        <w:t>4.2 DCLI 机制</w:t>
      </w:r>
      <w:bookmarkEnd w:id="5"/>
    </w:p>
    <w:p w14:paraId="13E2AB26">
      <w:pPr>
        <w:spacing w:after="100" w:line="360" w:lineRule="auto"/>
        <w:ind w:firstLine="420"/>
      </w:pPr>
      <w:r>
        <w:rPr>
          <w:rFonts w:ascii="Arial" w:hAnsi="Arial" w:eastAsia="宋体"/>
          <w:b w:val="0"/>
          <w:color w:val="222222"/>
          <w:sz w:val="21"/>
        </w:rPr>
        <w:t>DCLI 将采样、可见性与 DFL 分布熵组合为定位不确定性 u，并使用 s=1+β·stopgrad(u) 对定位残差进行 L/s+log(s) 缩放，同时以 SmoothL1 对不确定性进行校准。当前冻结配置启用 dcli、factor_supervision 与 interventions；fusion_gate=false，避免把融合门控混入本次估计量。</w:t>
      </w:r>
    </w:p>
    <w:tbl>
      <w:tblPr>
        <w:tblStyle w:val="38"/>
        <w:tblW w:w="96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5700"/>
        <w:gridCol w:w="2238"/>
      </w:tblGrid>
      <w:tr w14:paraId="2F325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6D7970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w="57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73429C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冻结取值</w:t>
            </w:r>
          </w:p>
        </w:tc>
        <w:tc>
          <w:tcPr>
            <w:tcW w:w="2238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F25996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差异角色</w:t>
            </w:r>
          </w:p>
        </w:tc>
      </w:tr>
      <w:tr w14:paraId="430A9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E81DC5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模型与初始化</w:t>
            </w:r>
          </w:p>
        </w:tc>
        <w:tc>
          <w:tcPr>
            <w:tcW w:w="5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DE1758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均为 kitti-p2-m.yaml；yolov8m.pt；semantic_prefix；max_layer 15；expected_items 306</w:t>
            </w:r>
          </w:p>
        </w:tc>
        <w:tc>
          <w:tcPr>
            <w:tcW w:w="22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19A388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完全一致</w:t>
            </w:r>
          </w:p>
        </w:tc>
      </w:tr>
      <w:tr w14:paraId="4478D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2C45BE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训练</w:t>
            </w:r>
          </w:p>
        </w:tc>
        <w:tc>
          <w:tcPr>
            <w:tcW w:w="57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92E7F0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30 epoch；640；batch16；SGD；lr0=0.01；AMP；deterministic</w:t>
            </w:r>
          </w:p>
        </w:tc>
        <w:tc>
          <w:tcPr>
            <w:tcW w:w="22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C6483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完全一致</w:t>
            </w:r>
          </w:p>
        </w:tc>
      </w:tr>
      <w:tr w14:paraId="656F7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1F30D3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预测</w:t>
            </w:r>
          </w:p>
        </w:tc>
        <w:tc>
          <w:tcPr>
            <w:tcW w:w="5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90C2D0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conf=0.001；IoU=0.7；max_det=300；FP32</w:t>
            </w:r>
          </w:p>
        </w:tc>
        <w:tc>
          <w:tcPr>
            <w:tcW w:w="22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26FE0E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完全一致</w:t>
            </w:r>
          </w:p>
        </w:tc>
      </w:tr>
      <w:tr w14:paraId="23AC5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32C1AA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DCLI</w:t>
            </w:r>
          </w:p>
        </w:tc>
        <w:tc>
          <w:tcPr>
            <w:tcW w:w="57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410920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PLAIN: 关闭；DCLI: beta=0.5，calibration=0.1，factor supervision=0.2</w:t>
            </w:r>
          </w:p>
        </w:tc>
        <w:tc>
          <w:tcPr>
            <w:tcW w:w="22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5BCB7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预冻结方法差异</w:t>
            </w:r>
          </w:p>
        </w:tc>
      </w:tr>
      <w:tr w14:paraId="59EF9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C820E7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干预</w:t>
            </w:r>
          </w:p>
        </w:tc>
        <w:tc>
          <w:tcPr>
            <w:tcW w:w="5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6FD61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PLAIN: 关闭；DCLI: identity/sampling/visibility=0.2/0.4/0.4</w:t>
            </w:r>
          </w:p>
        </w:tc>
        <w:tc>
          <w:tcPr>
            <w:tcW w:w="22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A1E6FE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预冻结方法差异</w:t>
            </w:r>
          </w:p>
        </w:tc>
      </w:tr>
    </w:tbl>
    <w:p w14:paraId="2CB723E7">
      <w:pPr>
        <w:spacing w:before="60" w:after="140"/>
        <w:jc w:val="center"/>
      </w:pPr>
      <w:r>
        <w:rPr>
          <w:rFonts w:ascii="Arial" w:hAnsi="Arial" w:eastAsia="宋体"/>
          <w:b w:val="0"/>
          <w:color w:val="666666"/>
          <w:sz w:val="18"/>
        </w:rPr>
        <w:t>表 3  两方法匹配字段与唯一允许差异</w:t>
      </w:r>
    </w:p>
    <w:p w14:paraId="30517472">
      <w:pPr>
        <w:pStyle w:val="2"/>
        <w:keepNext/>
      </w:pPr>
      <w:bookmarkStart w:id="6" w:name="_Toc12093"/>
      <w:r>
        <w:rPr>
          <w:rFonts w:ascii="Arial" w:hAnsi="Arial" w:eastAsia="微软雅黑"/>
          <w:b/>
          <w:color w:val="1F4E78"/>
          <w:sz w:val="31"/>
        </w:rPr>
        <w:t>5. 旧故障链、根因修复与科学边界</w:t>
      </w:r>
      <w:bookmarkEnd w:id="6"/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1249B7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FF2C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0098136">
            <w:pPr>
              <w:spacing w:after="60"/>
            </w:pPr>
            <w:r>
              <w:rPr>
                <w:rFonts w:ascii="Arial" w:hAnsi="Arial" w:eastAsia="微软雅黑"/>
                <w:b/>
                <w:color w:val="9C6500"/>
                <w:sz w:val="22"/>
              </w:rPr>
              <w:t>旧队列状态：SCIENTIFICALLY_INVALID</w:t>
            </w:r>
          </w:p>
          <w:p w14:paraId="6A1B618A">
            <w:pPr>
              <w:spacing w:after="0"/>
            </w:pPr>
            <w:r>
              <w:rPr>
                <w:rFonts w:ascii="Arial" w:hAnsi="Arial" w:eastAsia="宋体"/>
                <w:b w:val="0"/>
                <w:color w:val="222222"/>
                <w:sz w:val="20"/>
              </w:rPr>
              <w:t>旧 ordinals1–5 的进程仍在运行、checkpoint 仍变化，但验证曲线按块重复，EMA 更新出现 157、244、305 后长平台。它们只能解释工程故障，不能作为 seed 稳定性或方法有效性结果。</w:t>
            </w:r>
          </w:p>
        </w:tc>
      </w:tr>
    </w:tbl>
    <w:p w14:paraId="518E426A">
      <w:pPr>
        <w:spacing w:after="0"/>
      </w:pPr>
    </w:p>
    <w:p w14:paraId="7F137443">
      <w:pPr>
        <w:spacing w:after="100" w:line="360" w:lineRule="auto"/>
        <w:ind w:firstLine="420"/>
      </w:pPr>
      <w:r>
        <w:rPr>
          <w:rFonts w:ascii="Arial" w:hAnsi="Arial" w:eastAsia="宋体"/>
          <w:b w:val="0"/>
          <w:color w:val="222222"/>
          <w:sz w:val="21"/>
        </w:rPr>
        <w:t>根因链：BenchmarkEpochResumeHook 在 warmup 末尾临时放大 args.nbs；Ultralytics 随后据此重算 trainer.accumulate；旧 on_train_batch_end 只恢复 args.nbs，没有恢复派生的 trainer.accumulate，导致 accumulate 约 630，optimizer/EMA 约每三 epoch 才更新一次。</w:t>
      </w:r>
    </w:p>
    <w:p w14:paraId="0AE63849">
      <w:pPr>
        <w:spacing w:after="100" w:line="360" w:lineRule="auto"/>
        <w:ind w:firstLine="420"/>
      </w:pPr>
      <w:r>
        <w:rPr>
          <w:rFonts w:ascii="Arial" w:hAnsi="Arial" w:eastAsia="宋体"/>
          <w:b w:val="0"/>
          <w:color w:val="222222"/>
          <w:sz w:val="21"/>
        </w:rPr>
        <w:t>最小修复：callback 在 batch start 同时保存 nbs 与 trainer.accumulate，在 batch end 同时恢复二者。v177 Linux CPU 精确验证 47/47 PASS；新十任务曲线中 optimizer/EMA 更新连续，nominal accumulate=4。旧输出保持不可变，修复后从 ordinal1 以全新代次重跑。</w:t>
      </w:r>
    </w:p>
    <w:tbl>
      <w:tblPr>
        <w:tblStyle w:val="38"/>
        <w:tblW w:w="96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2800"/>
        <w:gridCol w:w="2700"/>
        <w:gridCol w:w="2238"/>
      </w:tblGrid>
      <w:tr w14:paraId="7E332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EBAFBD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代次</w:t>
            </w:r>
          </w:p>
        </w:tc>
        <w:tc>
          <w:tcPr>
            <w:tcW w:w="28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1E2CEC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关键行为</w:t>
            </w:r>
          </w:p>
        </w:tc>
        <w:tc>
          <w:tcPr>
            <w:tcW w:w="27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627B27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证据</w:t>
            </w:r>
          </w:p>
        </w:tc>
        <w:tc>
          <w:tcPr>
            <w:tcW w:w="2238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2AFF87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科学角色</w:t>
            </w:r>
          </w:p>
        </w:tc>
      </w:tr>
      <w:tr w14:paraId="329FA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5AE4A3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旧故障代次</w:t>
            </w:r>
          </w:p>
        </w:tc>
        <w:tc>
          <w:tcPr>
            <w:tcW w:w="2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0BE7C2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args.nbs 恢复；trainer.accumulate 未恢复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7FE4C5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EMA/optimizer 更新平台；曲线块重复</w:t>
            </w:r>
          </w:p>
        </w:tc>
        <w:tc>
          <w:tcPr>
            <w:tcW w:w="22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2D7315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科学无效，仅法证</w:t>
            </w:r>
          </w:p>
        </w:tc>
      </w:tr>
      <w:tr w14:paraId="18571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39CE8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v177 修复</w:t>
            </w:r>
          </w:p>
        </w:tc>
        <w:tc>
          <w:tcPr>
            <w:tcW w:w="28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6B4C7A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同时恢复 nbs 与派生 accumulate</w:t>
            </w:r>
          </w:p>
        </w:tc>
        <w:tc>
          <w:tcPr>
            <w:tcW w:w="27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98AAE6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Linux 47/47；恢复等价与边界通过</w:t>
            </w:r>
          </w:p>
        </w:tc>
        <w:tc>
          <w:tcPr>
            <w:tcW w:w="22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E229F2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允许 fresh 重跑</w:t>
            </w:r>
          </w:p>
        </w:tc>
      </w:tr>
      <w:tr w14:paraId="10A36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C55C86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当前 ordinals1–10</w:t>
            </w:r>
          </w:p>
        </w:tc>
        <w:tc>
          <w:tcPr>
            <w:tcW w:w="2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B1C0E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新代次、同协议、连续更新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0E9E29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10/10 canonical PASS</w:t>
            </w:r>
          </w:p>
        </w:tc>
        <w:tc>
          <w:tcPr>
            <w:tcW w:w="22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AA79E2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可信确认性结果</w:t>
            </w:r>
          </w:p>
        </w:tc>
      </w:tr>
    </w:tbl>
    <w:p w14:paraId="599CB9FA">
      <w:pPr>
        <w:spacing w:before="60" w:after="140"/>
        <w:jc w:val="center"/>
      </w:pPr>
      <w:r>
        <w:rPr>
          <w:rFonts w:ascii="Arial" w:hAnsi="Arial" w:eastAsia="宋体"/>
          <w:b w:val="0"/>
          <w:color w:val="666666"/>
          <w:sz w:val="18"/>
        </w:rPr>
        <w:t>表 4  故障链、修复与可用性边界</w:t>
      </w:r>
    </w:p>
    <w:p w14:paraId="1570B964">
      <w:pPr>
        <w:pStyle w:val="2"/>
        <w:keepNext/>
      </w:pPr>
      <w:bookmarkStart w:id="7" w:name="_Toc5008"/>
      <w:r>
        <w:rPr>
          <w:rFonts w:ascii="Arial" w:hAnsi="Arial" w:eastAsia="微软雅黑"/>
          <w:b/>
          <w:color w:val="1F4E78"/>
          <w:sz w:val="31"/>
        </w:rPr>
        <w:t>6. 十个正式任务的工程证据</w:t>
      </w:r>
      <w:bookmarkEnd w:id="7"/>
    </w:p>
    <w:tbl>
      <w:tblPr>
        <w:tblStyle w:val="38"/>
        <w:tblW w:w="96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900"/>
        <w:gridCol w:w="1300"/>
        <w:gridCol w:w="4800"/>
        <w:gridCol w:w="1738"/>
      </w:tblGrid>
      <w:tr w14:paraId="67CCE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AAC2AE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Ordinal</w:t>
            </w:r>
          </w:p>
        </w:tc>
        <w:tc>
          <w:tcPr>
            <w:tcW w:w="9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24C1C0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Seed</w:t>
            </w:r>
          </w:p>
        </w:tc>
        <w:tc>
          <w:tcPr>
            <w:tcW w:w="13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38EC9D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方法</w:t>
            </w:r>
          </w:p>
        </w:tc>
        <w:tc>
          <w:tcPr>
            <w:tcW w:w="48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AAEBDD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Terminal SHA256</w:t>
            </w:r>
          </w:p>
        </w:tc>
        <w:tc>
          <w:tcPr>
            <w:tcW w:w="1738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0E103B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边界</w:t>
            </w:r>
          </w:p>
        </w:tc>
      </w:tr>
      <w:tr w14:paraId="19E0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4949D4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1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33A9A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0</w:t>
            </w:r>
          </w:p>
        </w:tc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C52A4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PLAIN_P2</w:t>
            </w:r>
          </w:p>
        </w:tc>
        <w:tc>
          <w:tcPr>
            <w:tcW w:w="4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609AD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da7871766f84d0d4753e50bf246f643e4dd7c4fa6e71988af6ba66c11b9fbfcd</w:t>
            </w:r>
          </w:p>
        </w:tc>
        <w:tc>
          <w:tcPr>
            <w:tcW w:w="17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5DDB95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30；max 16.834s</w:t>
            </w:r>
          </w:p>
        </w:tc>
      </w:tr>
      <w:tr w14:paraId="05199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12488F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2</w:t>
            </w:r>
          </w:p>
        </w:tc>
        <w:tc>
          <w:tcPr>
            <w:tcW w:w="9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F9B7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0</w:t>
            </w:r>
          </w:p>
        </w:tc>
        <w:tc>
          <w:tcPr>
            <w:tcW w:w="13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65BAE0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DCLI</w:t>
            </w:r>
          </w:p>
        </w:tc>
        <w:tc>
          <w:tcPr>
            <w:tcW w:w="48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8B51C8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38e4160bcef65c4e28e16cb0508f075074287d80305845dc1fe6fcec03852346</w:t>
            </w:r>
          </w:p>
        </w:tc>
        <w:tc>
          <w:tcPr>
            <w:tcW w:w="17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AB1E42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30；max 19.501s</w:t>
            </w:r>
          </w:p>
        </w:tc>
      </w:tr>
      <w:tr w14:paraId="59772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C11DB5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3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AC597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1</w:t>
            </w:r>
          </w:p>
        </w:tc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BEAC96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DCLI</w:t>
            </w:r>
          </w:p>
        </w:tc>
        <w:tc>
          <w:tcPr>
            <w:tcW w:w="4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586B7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d0472ca96824586d690326bcabca926a5ed32ad11cbd094ec659803084b28db0</w:t>
            </w:r>
          </w:p>
        </w:tc>
        <w:tc>
          <w:tcPr>
            <w:tcW w:w="17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60D2CE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30；max 16.159s</w:t>
            </w:r>
          </w:p>
        </w:tc>
      </w:tr>
      <w:tr w14:paraId="5634E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8F0BD2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4</w:t>
            </w:r>
          </w:p>
        </w:tc>
        <w:tc>
          <w:tcPr>
            <w:tcW w:w="9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44216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1</w:t>
            </w:r>
          </w:p>
        </w:tc>
        <w:tc>
          <w:tcPr>
            <w:tcW w:w="13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80E89A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PLAIN_P2</w:t>
            </w:r>
          </w:p>
        </w:tc>
        <w:tc>
          <w:tcPr>
            <w:tcW w:w="48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1D4076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ece2745d74e75632bb7a3bbe28cea8e3d3823d3c298148b164cb40110ae2aa16</w:t>
            </w:r>
          </w:p>
        </w:tc>
        <w:tc>
          <w:tcPr>
            <w:tcW w:w="17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F7B71E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30；max 7.237s</w:t>
            </w:r>
          </w:p>
        </w:tc>
      </w:tr>
      <w:tr w14:paraId="1DC69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570F03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5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69C2B2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2</w:t>
            </w:r>
          </w:p>
        </w:tc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F1AED4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PLAIN_P2</w:t>
            </w:r>
          </w:p>
        </w:tc>
        <w:tc>
          <w:tcPr>
            <w:tcW w:w="4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D316C3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66ac987c60355c0a907d3c2be17f4193bad040453aeceb975525a937b1222064</w:t>
            </w:r>
          </w:p>
        </w:tc>
        <w:tc>
          <w:tcPr>
            <w:tcW w:w="17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2370F2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30；max 7.270s</w:t>
            </w:r>
          </w:p>
        </w:tc>
      </w:tr>
      <w:tr w14:paraId="0AAFA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7D5350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6</w:t>
            </w:r>
          </w:p>
        </w:tc>
        <w:tc>
          <w:tcPr>
            <w:tcW w:w="9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36FB7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2</w:t>
            </w:r>
          </w:p>
        </w:tc>
        <w:tc>
          <w:tcPr>
            <w:tcW w:w="13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4FD27E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DCLI</w:t>
            </w:r>
          </w:p>
        </w:tc>
        <w:tc>
          <w:tcPr>
            <w:tcW w:w="48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F35E5F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1d4f531a332ffc3fd7ecd6ad404f3d9b1cbf4ee036cfb3d779d65b152e5cd06d</w:t>
            </w:r>
          </w:p>
        </w:tc>
        <w:tc>
          <w:tcPr>
            <w:tcW w:w="17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03E1E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30；max 7.539s</w:t>
            </w:r>
          </w:p>
        </w:tc>
      </w:tr>
      <w:tr w14:paraId="2F1B2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081FF9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7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E57C8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3</w:t>
            </w:r>
          </w:p>
        </w:tc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1097B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DCLI</w:t>
            </w:r>
          </w:p>
        </w:tc>
        <w:tc>
          <w:tcPr>
            <w:tcW w:w="4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DE92E4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4bc504c4cbe531c3239b227668f1020e8bb20af6f408ad83617840e4dc375b31</w:t>
            </w:r>
          </w:p>
        </w:tc>
        <w:tc>
          <w:tcPr>
            <w:tcW w:w="17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01DD34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30；max 14.117s</w:t>
            </w:r>
          </w:p>
        </w:tc>
      </w:tr>
      <w:tr w14:paraId="0F94B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6BD29D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8</w:t>
            </w:r>
          </w:p>
        </w:tc>
        <w:tc>
          <w:tcPr>
            <w:tcW w:w="9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3337FD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3</w:t>
            </w:r>
          </w:p>
        </w:tc>
        <w:tc>
          <w:tcPr>
            <w:tcW w:w="13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B8DDBE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PLAIN_P2</w:t>
            </w:r>
          </w:p>
        </w:tc>
        <w:tc>
          <w:tcPr>
            <w:tcW w:w="48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AE59B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7d59b0d075966dcd9fe4e64cfb7f702b9834f71845d9b0570d80e639d5e441ed</w:t>
            </w:r>
          </w:p>
        </w:tc>
        <w:tc>
          <w:tcPr>
            <w:tcW w:w="17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9354E9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30；max 7.946s</w:t>
            </w:r>
          </w:p>
        </w:tc>
      </w:tr>
      <w:tr w14:paraId="3CDE6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35D137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9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44DB7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4</w:t>
            </w:r>
          </w:p>
        </w:tc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523396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PLAIN_P2</w:t>
            </w:r>
          </w:p>
        </w:tc>
        <w:tc>
          <w:tcPr>
            <w:tcW w:w="4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0A420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97f25a2b894a31b5a0d8b4cb2589088c91f342d370987ac7f39a0ec5e4bb0009</w:t>
            </w:r>
          </w:p>
        </w:tc>
        <w:tc>
          <w:tcPr>
            <w:tcW w:w="17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FA2E5E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30；max 7.697s</w:t>
            </w:r>
          </w:p>
        </w:tc>
      </w:tr>
      <w:tr w14:paraId="77B62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23074F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10</w:t>
            </w:r>
          </w:p>
        </w:tc>
        <w:tc>
          <w:tcPr>
            <w:tcW w:w="9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AF431D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4</w:t>
            </w:r>
          </w:p>
        </w:tc>
        <w:tc>
          <w:tcPr>
            <w:tcW w:w="13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0DE9CA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DCLI</w:t>
            </w:r>
          </w:p>
        </w:tc>
        <w:tc>
          <w:tcPr>
            <w:tcW w:w="48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E4E8CE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a25d6542bec6b619f8689254c94ceb8938483c1a800eeed043ddb0b454789d5e</w:t>
            </w:r>
          </w:p>
        </w:tc>
        <w:tc>
          <w:tcPr>
            <w:tcW w:w="17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1EAC6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30；max 15.104s</w:t>
            </w:r>
          </w:p>
        </w:tc>
      </w:tr>
    </w:tbl>
    <w:p w14:paraId="0B68278E">
      <w:pPr>
        <w:spacing w:before="60" w:after="140"/>
        <w:jc w:val="center"/>
      </w:pPr>
      <w:r>
        <w:rPr>
          <w:rFonts w:ascii="Arial" w:hAnsi="Arial" w:eastAsia="宋体"/>
          <w:b w:val="0"/>
          <w:color w:val="666666"/>
          <w:sz w:val="18"/>
        </w:rPr>
        <w:t>表 5  修复后十任务 canonical PASS 与 terminal 身份</w:t>
      </w:r>
    </w:p>
    <w:p w14:paraId="13861A42">
      <w:pPr>
        <w:spacing w:after="100" w:line="360" w:lineRule="auto"/>
        <w:ind w:firstLine="420"/>
      </w:pPr>
      <w:r>
        <w:rPr>
          <w:rFonts w:ascii="Arial" w:hAnsi="Arial" w:eastAsia="宋体"/>
          <w:b/>
          <w:color w:val="A61B1B"/>
          <w:sz w:val="21"/>
        </w:rPr>
        <w:t>工程 PASS 的含义仅是：实际训练、恢复、发布、身份、时限和终态完整；它不自动等于方法有效。当前报告另行通过预注册差值和配对统计判断 DCLI 是否有效。</w:t>
      </w:r>
    </w:p>
    <w:p w14:paraId="26244A5A">
      <w:pPr>
        <w:pStyle w:val="2"/>
        <w:keepNext/>
      </w:pPr>
      <w:bookmarkStart w:id="8" w:name="_Toc9525"/>
      <w:r>
        <w:rPr>
          <w:rFonts w:ascii="Arial" w:hAnsi="Arial" w:eastAsia="微软雅黑"/>
          <w:b/>
          <w:color w:val="1F4E78"/>
          <w:sz w:val="31"/>
        </w:rPr>
        <w:t>7. 五随机种子全部原始 Moderate AP_R40</w:t>
      </w:r>
      <w:bookmarkEnd w:id="8"/>
    </w:p>
    <w:tbl>
      <w:tblPr>
        <w:tblStyle w:val="38"/>
        <w:tblW w:w="96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"/>
        <w:gridCol w:w="1000"/>
        <w:gridCol w:w="1000"/>
        <w:gridCol w:w="900"/>
        <w:gridCol w:w="1000"/>
        <w:gridCol w:w="1000"/>
        <w:gridCol w:w="900"/>
        <w:gridCol w:w="1080"/>
        <w:gridCol w:w="1080"/>
        <w:gridCol w:w="1028"/>
      </w:tblGrid>
      <w:tr w14:paraId="55F08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5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1B0A63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3"/>
              </w:rPr>
              <w:t>Seed</w:t>
            </w:r>
          </w:p>
        </w:tc>
        <w:tc>
          <w:tcPr>
            <w:tcW w:w="10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394A74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3"/>
              </w:rPr>
              <w:t>P-Ped</w:t>
            </w:r>
          </w:p>
        </w:tc>
        <w:tc>
          <w:tcPr>
            <w:tcW w:w="10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997DCD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3"/>
              </w:rPr>
              <w:t>D-Ped</w:t>
            </w:r>
          </w:p>
        </w:tc>
        <w:tc>
          <w:tcPr>
            <w:tcW w:w="9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7B3117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3"/>
              </w:rPr>
              <w:t>ΔPed</w:t>
            </w:r>
          </w:p>
        </w:tc>
        <w:tc>
          <w:tcPr>
            <w:tcW w:w="10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157992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3"/>
              </w:rPr>
              <w:t>P-Cyc</w:t>
            </w:r>
          </w:p>
        </w:tc>
        <w:tc>
          <w:tcPr>
            <w:tcW w:w="10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D28BA3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3"/>
              </w:rPr>
              <w:t>D-Cyc</w:t>
            </w:r>
          </w:p>
        </w:tc>
        <w:tc>
          <w:tcPr>
            <w:tcW w:w="9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BB9CBE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3"/>
              </w:rPr>
              <w:t>ΔCyc</w:t>
            </w:r>
          </w:p>
        </w:tc>
        <w:tc>
          <w:tcPr>
            <w:tcW w:w="108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7FD9C0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3"/>
              </w:rPr>
              <w:t>P-Macro</w:t>
            </w:r>
          </w:p>
        </w:tc>
        <w:tc>
          <w:tcPr>
            <w:tcW w:w="108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D52A6D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3"/>
              </w:rPr>
              <w:t>D-Macro</w:t>
            </w:r>
          </w:p>
        </w:tc>
        <w:tc>
          <w:tcPr>
            <w:tcW w:w="1028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7AEDB2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3"/>
              </w:rPr>
              <w:t>ΔMacro</w:t>
            </w:r>
          </w:p>
        </w:tc>
      </w:tr>
      <w:tr w14:paraId="2D72F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ECE89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0</w:t>
            </w:r>
          </w:p>
        </w:tc>
        <w:tc>
          <w:tcPr>
            <w:tcW w:w="1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DFD6CF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91.790564</w:t>
            </w:r>
          </w:p>
        </w:tc>
        <w:tc>
          <w:tcPr>
            <w:tcW w:w="1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297940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92.348653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445498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-0.558089</w:t>
            </w:r>
          </w:p>
        </w:tc>
        <w:tc>
          <w:tcPr>
            <w:tcW w:w="1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194CC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98.710572</w:t>
            </w:r>
          </w:p>
        </w:tc>
        <w:tc>
          <w:tcPr>
            <w:tcW w:w="1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96D253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98.837046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F7CCC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-0.126475</w:t>
            </w: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27E8E9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95.250568</w:t>
            </w: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A04AE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95.592850</w:t>
            </w:r>
          </w:p>
        </w:tc>
        <w:tc>
          <w:tcPr>
            <w:tcW w:w="10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51AF05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-0.342282</w:t>
            </w:r>
          </w:p>
        </w:tc>
      </w:tr>
      <w:tr w14:paraId="3B184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66ABD3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1</w:t>
            </w:r>
          </w:p>
        </w:tc>
        <w:tc>
          <w:tcPr>
            <w:tcW w:w="10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6AB455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93.650537</w:t>
            </w:r>
          </w:p>
        </w:tc>
        <w:tc>
          <w:tcPr>
            <w:tcW w:w="10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511CFD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89.918690</w:t>
            </w:r>
          </w:p>
        </w:tc>
        <w:tc>
          <w:tcPr>
            <w:tcW w:w="9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76BB02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3.731846</w:t>
            </w:r>
          </w:p>
        </w:tc>
        <w:tc>
          <w:tcPr>
            <w:tcW w:w="10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66A14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97.923774</w:t>
            </w:r>
          </w:p>
        </w:tc>
        <w:tc>
          <w:tcPr>
            <w:tcW w:w="10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9918B6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97.239358</w:t>
            </w:r>
          </w:p>
        </w:tc>
        <w:tc>
          <w:tcPr>
            <w:tcW w:w="9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C062A6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0.684416</w:t>
            </w:r>
          </w:p>
        </w:tc>
        <w:tc>
          <w:tcPr>
            <w:tcW w:w="108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9DAE4D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95.787155</w:t>
            </w:r>
          </w:p>
        </w:tc>
        <w:tc>
          <w:tcPr>
            <w:tcW w:w="108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9519D6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93.579024</w:t>
            </w:r>
          </w:p>
        </w:tc>
        <w:tc>
          <w:tcPr>
            <w:tcW w:w="102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BC2AB0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2.208131</w:t>
            </w:r>
          </w:p>
        </w:tc>
      </w:tr>
      <w:tr w14:paraId="1CC87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1AB635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2</w:t>
            </w:r>
          </w:p>
        </w:tc>
        <w:tc>
          <w:tcPr>
            <w:tcW w:w="1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B5916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92.575741</w:t>
            </w:r>
          </w:p>
        </w:tc>
        <w:tc>
          <w:tcPr>
            <w:tcW w:w="1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C8A12F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90.203416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2F4994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2.372325</w:t>
            </w:r>
          </w:p>
        </w:tc>
        <w:tc>
          <w:tcPr>
            <w:tcW w:w="1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2DAE8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98.673295</w:t>
            </w:r>
          </w:p>
        </w:tc>
        <w:tc>
          <w:tcPr>
            <w:tcW w:w="1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6B343E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96.950527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9F3CAF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1.722768</w:t>
            </w: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567D9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95.624518</w:t>
            </w: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3D126A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93.576972</w:t>
            </w:r>
          </w:p>
        </w:tc>
        <w:tc>
          <w:tcPr>
            <w:tcW w:w="10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B413DF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2.047547</w:t>
            </w:r>
          </w:p>
        </w:tc>
      </w:tr>
      <w:tr w14:paraId="67A67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8DDEC6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3</w:t>
            </w:r>
          </w:p>
        </w:tc>
        <w:tc>
          <w:tcPr>
            <w:tcW w:w="10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688358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93.308001</w:t>
            </w:r>
          </w:p>
        </w:tc>
        <w:tc>
          <w:tcPr>
            <w:tcW w:w="10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780764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92.112656</w:t>
            </w:r>
          </w:p>
        </w:tc>
        <w:tc>
          <w:tcPr>
            <w:tcW w:w="9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D4181A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1.195345</w:t>
            </w:r>
          </w:p>
        </w:tc>
        <w:tc>
          <w:tcPr>
            <w:tcW w:w="10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EA286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98.372253</w:t>
            </w:r>
          </w:p>
        </w:tc>
        <w:tc>
          <w:tcPr>
            <w:tcW w:w="10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BCD8D5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97.325105</w:t>
            </w:r>
          </w:p>
        </w:tc>
        <w:tc>
          <w:tcPr>
            <w:tcW w:w="9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73E55D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1.047147</w:t>
            </w:r>
          </w:p>
        </w:tc>
        <w:tc>
          <w:tcPr>
            <w:tcW w:w="108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2CE157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95.840127</w:t>
            </w:r>
          </w:p>
        </w:tc>
        <w:tc>
          <w:tcPr>
            <w:tcW w:w="108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E1BCA8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94.718881</w:t>
            </w:r>
          </w:p>
        </w:tc>
        <w:tc>
          <w:tcPr>
            <w:tcW w:w="102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2B71E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1.121246</w:t>
            </w:r>
          </w:p>
        </w:tc>
      </w:tr>
      <w:tr w14:paraId="79F7B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B6554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4</w:t>
            </w:r>
          </w:p>
        </w:tc>
        <w:tc>
          <w:tcPr>
            <w:tcW w:w="1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FE090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91.589649</w:t>
            </w:r>
          </w:p>
        </w:tc>
        <w:tc>
          <w:tcPr>
            <w:tcW w:w="1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BAB5A8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90.337715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48AB84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1.251934</w:t>
            </w:r>
          </w:p>
        </w:tc>
        <w:tc>
          <w:tcPr>
            <w:tcW w:w="1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987C9A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97.292014</w:t>
            </w:r>
          </w:p>
        </w:tc>
        <w:tc>
          <w:tcPr>
            <w:tcW w:w="1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36B69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98.429233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94F510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-1.137219</w:t>
            </w: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53F614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94.440832</w:t>
            </w: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A0B6E8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94.383474</w:t>
            </w:r>
          </w:p>
        </w:tc>
        <w:tc>
          <w:tcPr>
            <w:tcW w:w="10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8CE6B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0.057357</w:t>
            </w:r>
          </w:p>
        </w:tc>
      </w:tr>
    </w:tbl>
    <w:p w14:paraId="52B87194">
      <w:pPr>
        <w:spacing w:before="60" w:after="140"/>
        <w:jc w:val="center"/>
      </w:pPr>
      <w:r>
        <w:rPr>
          <w:rFonts w:ascii="Arial" w:hAnsi="Arial" w:eastAsia="宋体"/>
          <w:b w:val="0"/>
          <w:color w:val="666666"/>
          <w:sz w:val="18"/>
        </w:rPr>
        <w:t>表 6  seed0–4 全部原始结果；Δ 固定为 PLAIN_P2−DCLI</w:t>
      </w:r>
    </w:p>
    <w:p w14:paraId="68509A42">
      <w:pPr>
        <w:jc w:val="center"/>
      </w:pPr>
      <w:r>
        <w:drawing>
          <wp:inline distT="0" distB="0" distL="114300" distR="114300">
            <wp:extent cx="5903595" cy="3320415"/>
            <wp:effectExtent l="0" t="0" r="190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33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B9F40">
      <w:pPr>
        <w:spacing w:before="60" w:after="140"/>
        <w:jc w:val="center"/>
      </w:pPr>
      <w:r>
        <w:rPr>
          <w:rFonts w:ascii="Arial" w:hAnsi="Arial" w:eastAsia="宋体"/>
          <w:b w:val="0"/>
          <w:color w:val="666666"/>
          <w:sz w:val="18"/>
        </w:rPr>
        <w:t>图 1  五随机种子 Moderate macro AP_R40；不隐藏负 seed</w:t>
      </w:r>
    </w:p>
    <w:p w14:paraId="113D9556">
      <w:pPr>
        <w:pStyle w:val="2"/>
        <w:keepNext/>
      </w:pPr>
      <w:bookmarkStart w:id="9" w:name="_Toc19418"/>
      <w:r>
        <w:rPr>
          <w:rFonts w:ascii="Arial" w:hAnsi="Arial" w:eastAsia="微软雅黑"/>
          <w:b/>
          <w:color w:val="1F4E78"/>
          <w:sz w:val="31"/>
        </w:rPr>
        <w:t>8. 配对统计与稳定性结论</w:t>
      </w:r>
      <w:bookmarkEnd w:id="9"/>
    </w:p>
    <w:tbl>
      <w:tblPr>
        <w:tblStyle w:val="38"/>
        <w:tblW w:w="96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1300"/>
        <w:gridCol w:w="1300"/>
        <w:gridCol w:w="1150"/>
        <w:gridCol w:w="1100"/>
        <w:gridCol w:w="2500"/>
        <w:gridCol w:w="988"/>
      </w:tblGrid>
      <w:tr w14:paraId="5F5C7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99A62C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估计量</w:t>
            </w:r>
          </w:p>
        </w:tc>
        <w:tc>
          <w:tcPr>
            <w:tcW w:w="13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990246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均值</w:t>
            </w:r>
          </w:p>
        </w:tc>
        <w:tc>
          <w:tcPr>
            <w:tcW w:w="13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218181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中位数</w:t>
            </w:r>
          </w:p>
        </w:tc>
        <w:tc>
          <w:tcPr>
            <w:tcW w:w="115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E67097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样本SD</w:t>
            </w:r>
          </w:p>
        </w:tc>
        <w:tc>
          <w:tcPr>
            <w:tcW w:w="11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CA870F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SE</w:t>
            </w:r>
          </w:p>
        </w:tc>
        <w:tc>
          <w:tcPr>
            <w:tcW w:w="25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F2805A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95%CI</w:t>
            </w:r>
          </w:p>
        </w:tc>
        <w:tc>
          <w:tcPr>
            <w:tcW w:w="988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F08005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PLAIN/DCLI胜seed</w:t>
            </w:r>
          </w:p>
        </w:tc>
      </w:tr>
      <w:tr w14:paraId="11418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A79D7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Pedestrian</w:t>
            </w:r>
          </w:p>
        </w:tc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C66B0E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1.5986721896</w:t>
            </w:r>
          </w:p>
        </w:tc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EFC48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1.2519336712</w:t>
            </w:r>
          </w:p>
        </w:tc>
        <w:tc>
          <w:tcPr>
            <w:tcW w:w="11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B730C9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1.5877255438</w:t>
            </w:r>
          </w:p>
        </w:tc>
        <w:tc>
          <w:tcPr>
            <w:tcW w:w="1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1E0473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0.7100524491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0F3B09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[-0.3727493825, 3.5700937617]</w:t>
            </w:r>
          </w:p>
        </w:tc>
        <w:tc>
          <w:tcPr>
            <w:tcW w:w="9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346B3F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4 / 1</w:t>
            </w:r>
          </w:p>
        </w:tc>
      </w:tr>
      <w:tr w14:paraId="5F2E1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2D0B96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Cyclist</w:t>
            </w:r>
          </w:p>
        </w:tc>
        <w:tc>
          <w:tcPr>
            <w:tcW w:w="13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63E850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0.4381276604</w:t>
            </w:r>
          </w:p>
        </w:tc>
        <w:tc>
          <w:tcPr>
            <w:tcW w:w="13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F06040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0.6844161228</w:t>
            </w:r>
          </w:p>
        </w:tc>
        <w:tc>
          <w:tcPr>
            <w:tcW w:w="115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9F5C20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1.1048026586</w:t>
            </w:r>
          </w:p>
        </w:tc>
        <w:tc>
          <w:tcPr>
            <w:tcW w:w="11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8BA53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0.4940827693</w:t>
            </w:r>
          </w:p>
        </w:tc>
        <w:tc>
          <w:tcPr>
            <w:tcW w:w="25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F5E73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[-0.9336659738, 1.8099212947]</w:t>
            </w:r>
          </w:p>
        </w:tc>
        <w:tc>
          <w:tcPr>
            <w:tcW w:w="98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E66A9E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3 / 2</w:t>
            </w:r>
          </w:p>
        </w:tc>
      </w:tr>
      <w:tr w14:paraId="2D6EB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2C26C5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Macro</w:t>
            </w:r>
          </w:p>
        </w:tc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B7B0F3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1.0183999250</w:t>
            </w:r>
          </w:p>
        </w:tc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E2F156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1.1212460579</w:t>
            </w:r>
          </w:p>
        </w:tc>
        <w:tc>
          <w:tcPr>
            <w:tcW w:w="11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A9A1C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1.1467604223</w:t>
            </w:r>
          </w:p>
        </w:tc>
        <w:tc>
          <w:tcPr>
            <w:tcW w:w="1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662AD5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0.5128468516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0C703D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[-0.4054911520, 2.4422910020]</w:t>
            </w:r>
          </w:p>
        </w:tc>
        <w:tc>
          <w:tcPr>
            <w:tcW w:w="9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892244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4 / 1</w:t>
            </w:r>
          </w:p>
        </w:tc>
      </w:tr>
    </w:tbl>
    <w:p w14:paraId="0A6B7FC7">
      <w:pPr>
        <w:spacing w:before="60" w:after="140"/>
        <w:jc w:val="center"/>
      </w:pPr>
      <w:r>
        <w:rPr>
          <w:rFonts w:ascii="Arial" w:hAnsi="Arial" w:eastAsia="宋体"/>
          <w:b w:val="0"/>
          <w:color w:val="666666"/>
          <w:sz w:val="18"/>
        </w:rPr>
        <w:t>表 7  五 seed 配对统计（df=4，t=2.776445）</w:t>
      </w:r>
    </w:p>
    <w:p w14:paraId="6C0BF93F">
      <w:pPr>
        <w:spacing w:after="100" w:line="360" w:lineRule="auto"/>
        <w:ind w:firstLine="420"/>
      </w:pPr>
      <w:r>
        <w:rPr>
          <w:rFonts w:ascii="Arial" w:hAnsi="Arial" w:eastAsia="宋体"/>
          <w:b/>
          <w:color w:val="222222"/>
          <w:sz w:val="21"/>
        </w:rPr>
        <w:t>关键数值：PLAIN 均值 95.3886399233，DCLI 均值 94.3702399983；PLAIN−DCLI 均值 +1.0183999250，中位数 +1.1212460579，样本 SD 1.1467604223，SE 0.5128468516，95%CI [−0.4054911520, 2.4422910020]。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2E05CC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CE4D6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0C267D83">
            <w:pPr>
              <w:spacing w:after="60"/>
            </w:pPr>
            <w:r>
              <w:rPr>
                <w:rFonts w:ascii="Arial" w:hAnsi="Arial" w:eastAsia="微软雅黑"/>
                <w:b/>
                <w:color w:val="A61B1B"/>
                <w:sz w:val="22"/>
              </w:rPr>
              <w:t>稳定性结论</w:t>
            </w:r>
          </w:p>
          <w:p w14:paraId="3B96C39D">
            <w:pPr>
              <w:spacing w:after="0"/>
            </w:pPr>
            <w:r>
              <w:rPr>
                <w:rFonts w:ascii="Arial" w:hAnsi="Arial" w:eastAsia="宋体"/>
                <w:b w:val="0"/>
                <w:color w:val="222222"/>
                <w:sz w:val="20"/>
              </w:rPr>
              <w:t>DCLI 仅在 seed0 胜出，其余 4 个 seed 由 PLAIN_P2 胜出；宏平均配对 95%CI 包含 0。因此不支持“DCLI 稳定提升”，更不支持“稳定提升至少 +1.1 AP”。</w:t>
            </w:r>
          </w:p>
        </w:tc>
      </w:tr>
    </w:tbl>
    <w:p w14:paraId="0F797D7F">
      <w:pPr>
        <w:spacing w:after="0"/>
      </w:pPr>
    </w:p>
    <w:p w14:paraId="67AD0D89">
      <w:pPr>
        <w:pStyle w:val="2"/>
        <w:keepNext/>
      </w:pPr>
      <w:bookmarkStart w:id="10" w:name="_Toc16099"/>
      <w:r>
        <w:rPr>
          <w:rFonts w:ascii="Arial" w:hAnsi="Arial" w:eastAsia="微软雅黑"/>
          <w:b/>
          <w:color w:val="1F4E78"/>
          <w:sz w:val="31"/>
        </w:rPr>
        <w:t>9. 老师要求的四曲线与分叉诊断</w:t>
      </w:r>
      <w:bookmarkEnd w:id="10"/>
    </w:p>
    <w:p w14:paraId="13FB09BF">
      <w:pPr>
        <w:spacing w:after="100" w:line="360" w:lineRule="auto"/>
        <w:ind w:firstLine="420"/>
      </w:pPr>
      <w:r>
        <w:rPr>
          <w:rFonts w:ascii="Arial" w:hAnsi="Arial" w:eastAsia="宋体"/>
          <w:b w:val="0"/>
          <w:color w:val="222222"/>
          <w:sz w:val="21"/>
        </w:rPr>
        <w:t>修复后 fresh seed0/seed1 × PLAIN_P2/DCLI 四条曲线均来自同口径 30-epoch canonical PASS。方法内 seed0/seed1 的字段级审计证明，允许差异仅为 seed 与派生随机/输出身份；共同数据、划分、代码、entrypoint、恢复模块、Python 路径和主机/GPU 均一致。</w:t>
      </w:r>
    </w:p>
    <w:p w14:paraId="4759D16C">
      <w:pPr>
        <w:jc w:val="center"/>
      </w:pPr>
      <w:r>
        <w:drawing>
          <wp:inline distT="0" distB="0" distL="114300" distR="114300">
            <wp:extent cx="5939790" cy="3712210"/>
            <wp:effectExtent l="0" t="0" r="381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4AE6">
      <w:pPr>
        <w:spacing w:before="60" w:after="140"/>
        <w:jc w:val="center"/>
      </w:pPr>
      <w:r>
        <w:rPr>
          <w:rFonts w:ascii="Arial" w:hAnsi="Arial" w:eastAsia="宋体"/>
          <w:b w:val="0"/>
          <w:color w:val="666666"/>
          <w:sz w:val="18"/>
        </w:rPr>
        <w:t>图 2  修复后四曲线：seed0/seed1 × PLAIN_P2/DCLI 的 mAP50-95</w:t>
      </w:r>
    </w:p>
    <w:tbl>
      <w:tblPr>
        <w:tblStyle w:val="38"/>
        <w:tblW w:w="96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100"/>
        <w:gridCol w:w="3200"/>
        <w:gridCol w:w="2638"/>
      </w:tblGrid>
      <w:tr w14:paraId="69E65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B5A0FF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方法</w:t>
            </w:r>
          </w:p>
        </w:tc>
        <w:tc>
          <w:tcPr>
            <w:tcW w:w="21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B24A77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首次连续同向分叉</w:t>
            </w:r>
          </w:p>
        </w:tc>
        <w:tc>
          <w:tcPr>
            <w:tcW w:w="32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89D59C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观察</w:t>
            </w:r>
          </w:p>
        </w:tc>
        <w:tc>
          <w:tcPr>
            <w:tcW w:w="2638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41E866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解释边界</w:t>
            </w:r>
          </w:p>
        </w:tc>
      </w:tr>
      <w:tr w14:paraId="3C44E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2462EE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PLAIN_P2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DB9F09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epoch 12–14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8B6B7E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seed1−seed0 连续 3 epoch 为负</w:t>
            </w:r>
          </w:p>
        </w:tc>
        <w:tc>
          <w:tcPr>
            <w:tcW w:w="26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F8A7C7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原始差值；无临时阈值</w:t>
            </w:r>
          </w:p>
        </w:tc>
      </w:tr>
      <w:tr w14:paraId="46CAA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F3B344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DCLI</w:t>
            </w:r>
          </w:p>
        </w:tc>
        <w:tc>
          <w:tcPr>
            <w:tcW w:w="21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C3D53A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epoch 1–3</w:t>
            </w:r>
          </w:p>
        </w:tc>
        <w:tc>
          <w:tcPr>
            <w:tcW w:w="32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CF9B1F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seed1−seed0 连续 3 epoch 为负</w:t>
            </w:r>
          </w:p>
        </w:tc>
        <w:tc>
          <w:tcPr>
            <w:tcW w:w="26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883D52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更早出现，但不等价于因果证明</w:t>
            </w:r>
          </w:p>
        </w:tc>
      </w:tr>
      <w:tr w14:paraId="421C9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16FF2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两方法共同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2CE69E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按逐 epoch 交集/并集记录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77668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完整 CSV/JSON 随证据包</w:t>
            </w:r>
          </w:p>
        </w:tc>
        <w:tc>
          <w:tcPr>
            <w:tcW w:w="26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C3CC6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epoch20 只读，epoch30 正式</w:t>
            </w:r>
          </w:p>
        </w:tc>
      </w:tr>
    </w:tbl>
    <w:p w14:paraId="48F89796">
      <w:pPr>
        <w:spacing w:before="60" w:after="140"/>
        <w:jc w:val="center"/>
      </w:pPr>
      <w:r>
        <w:rPr>
          <w:rFonts w:ascii="Arial" w:hAnsi="Arial" w:eastAsia="宋体"/>
          <w:b w:val="0"/>
          <w:color w:val="666666"/>
          <w:sz w:val="18"/>
        </w:rPr>
        <w:t>表 8  四曲线的最早连续同向分叉</w:t>
      </w:r>
    </w:p>
    <w:p w14:paraId="1E85A2F4">
      <w:pPr>
        <w:spacing w:after="100" w:line="360" w:lineRule="auto"/>
        <w:ind w:firstLine="420"/>
      </w:pPr>
      <w:r>
        <w:rPr>
          <w:rFonts w:ascii="Arial" w:hAnsi="Arial" w:eastAsia="宋体"/>
          <w:b w:val="0"/>
          <w:color w:val="222222"/>
          <w:sz w:val="21"/>
        </w:rPr>
        <w:t>每 epoch 曲线记录 train/val box、cls、dfl loss、P/R、mAP50、mAP50-95、累计 optimizer step/EMA update、LR、accumulate 与 checkpoint/recovery SHA。KITTI Pedestrian/Cyclist Moderate AP_R40 并非每 epoch 正式计算，因此明确记为“无原始值”，不补造。</w:t>
      </w:r>
    </w:p>
    <w:p w14:paraId="776DACB0">
      <w:pPr>
        <w:pStyle w:val="2"/>
        <w:keepNext/>
      </w:pPr>
      <w:bookmarkStart w:id="11" w:name="_Toc976"/>
      <w:r>
        <w:rPr>
          <w:rFonts w:ascii="Arial" w:hAnsi="Arial" w:eastAsia="微软雅黑"/>
          <w:b/>
          <w:color w:val="1F4E78"/>
          <w:sz w:val="31"/>
        </w:rPr>
        <w:t>10. Small/Far 主分层与 No-harm Controls</w:t>
      </w:r>
      <w:bookmarkEnd w:id="11"/>
    </w:p>
    <w:tbl>
      <w:tblPr>
        <w:tblStyle w:val="38"/>
        <w:tblW w:w="96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600"/>
        <w:gridCol w:w="1350"/>
        <w:gridCol w:w="1350"/>
        <w:gridCol w:w="1250"/>
        <w:gridCol w:w="2000"/>
        <w:gridCol w:w="588"/>
      </w:tblGrid>
      <w:tr w14:paraId="1042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3B2DC7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切片</w:t>
            </w:r>
          </w:p>
        </w:tc>
        <w:tc>
          <w:tcPr>
            <w:tcW w:w="16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8FE646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角色</w:t>
            </w:r>
          </w:p>
        </w:tc>
        <w:tc>
          <w:tcPr>
            <w:tcW w:w="135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94D31C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PLAIN均值</w:t>
            </w:r>
          </w:p>
        </w:tc>
        <w:tc>
          <w:tcPr>
            <w:tcW w:w="135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750A4A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DCLI均值</w:t>
            </w:r>
          </w:p>
        </w:tc>
        <w:tc>
          <w:tcPr>
            <w:tcW w:w="125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F3CAFB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Δ均值</w:t>
            </w:r>
          </w:p>
        </w:tc>
        <w:tc>
          <w:tcPr>
            <w:tcW w:w="20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1327F8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95%CI</w:t>
            </w:r>
          </w:p>
        </w:tc>
        <w:tc>
          <w:tcPr>
            <w:tcW w:w="588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6359C7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+/− seed</w:t>
            </w:r>
          </w:p>
        </w:tc>
      </w:tr>
      <w:tr w14:paraId="1461A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D0EDCE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small 25–40px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8C101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主分层</w:t>
            </w:r>
          </w:p>
        </w:tc>
        <w:tc>
          <w:tcPr>
            <w:tcW w:w="1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A012F4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67.534420</w:t>
            </w:r>
          </w:p>
        </w:tc>
        <w:tc>
          <w:tcPr>
            <w:tcW w:w="1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2F5EDA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56.316963</w:t>
            </w:r>
          </w:p>
        </w:tc>
        <w:tc>
          <w:tcPr>
            <w:tcW w:w="12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F29AEA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11.217457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943D1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[-1.394206, 23.829119]</w:t>
            </w:r>
          </w:p>
        </w:tc>
        <w:tc>
          <w:tcPr>
            <w:tcW w:w="5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87FE78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4/1</w:t>
            </w:r>
          </w:p>
        </w:tc>
      </w:tr>
      <w:tr w14:paraId="223D5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B77CE9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far &gt;40m</w:t>
            </w:r>
          </w:p>
        </w:tc>
        <w:tc>
          <w:tcPr>
            <w:tcW w:w="16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4503E6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主分层</w:t>
            </w:r>
          </w:p>
        </w:tc>
        <w:tc>
          <w:tcPr>
            <w:tcW w:w="135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D3BDC5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57.716746</w:t>
            </w:r>
          </w:p>
        </w:tc>
        <w:tc>
          <w:tcPr>
            <w:tcW w:w="135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D0BFB2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47.663742</w:t>
            </w:r>
          </w:p>
        </w:tc>
        <w:tc>
          <w:tcPr>
            <w:tcW w:w="125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E889CF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10.053004</w:t>
            </w:r>
          </w:p>
        </w:tc>
        <w:tc>
          <w:tcPr>
            <w:tcW w:w="20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7050A9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[-9.089700, 29.195708]</w:t>
            </w:r>
          </w:p>
        </w:tc>
        <w:tc>
          <w:tcPr>
            <w:tcW w:w="58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C73089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4/1</w:t>
            </w:r>
          </w:p>
        </w:tc>
      </w:tr>
      <w:tr w14:paraId="5C676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D5D8FE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large &gt;80px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670A02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no-harm control</w:t>
            </w:r>
          </w:p>
        </w:tc>
        <w:tc>
          <w:tcPr>
            <w:tcW w:w="1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B8C6A5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97.120750</w:t>
            </w:r>
          </w:p>
        </w:tc>
        <w:tc>
          <w:tcPr>
            <w:tcW w:w="1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47780F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96.672410</w:t>
            </w:r>
          </w:p>
        </w:tc>
        <w:tc>
          <w:tcPr>
            <w:tcW w:w="12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CD615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0.448339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D73500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[-0.698945, 1.595624]</w:t>
            </w:r>
          </w:p>
        </w:tc>
        <w:tc>
          <w:tcPr>
            <w:tcW w:w="5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A8986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2/3</w:t>
            </w:r>
          </w:p>
        </w:tc>
      </w:tr>
      <w:tr w14:paraId="579EF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A2C6D9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near 0–20m</w:t>
            </w:r>
          </w:p>
        </w:tc>
        <w:tc>
          <w:tcPr>
            <w:tcW w:w="16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665DDF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no-harm control</w:t>
            </w:r>
          </w:p>
        </w:tc>
        <w:tc>
          <w:tcPr>
            <w:tcW w:w="135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A27303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96.793808</w:t>
            </w:r>
          </w:p>
        </w:tc>
        <w:tc>
          <w:tcPr>
            <w:tcW w:w="135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64513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95.956285</w:t>
            </w:r>
          </w:p>
        </w:tc>
        <w:tc>
          <w:tcPr>
            <w:tcW w:w="125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84457D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0.837523</w:t>
            </w:r>
          </w:p>
        </w:tc>
        <w:tc>
          <w:tcPr>
            <w:tcW w:w="20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255D95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[0.141436, 1.533610]</w:t>
            </w:r>
          </w:p>
        </w:tc>
        <w:tc>
          <w:tcPr>
            <w:tcW w:w="58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160E69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5/0</w:t>
            </w:r>
          </w:p>
        </w:tc>
      </w:tr>
    </w:tbl>
    <w:p w14:paraId="70407885">
      <w:pPr>
        <w:spacing w:before="60" w:after="140"/>
        <w:jc w:val="center"/>
      </w:pPr>
      <w:r>
        <w:rPr>
          <w:rFonts w:ascii="Arial" w:hAnsi="Arial" w:eastAsia="宋体"/>
          <w:b w:val="0"/>
          <w:color w:val="666666"/>
          <w:sz w:val="18"/>
        </w:rPr>
        <w:t>表 9  分层 macro AP_R40；Δ=PLAIN_P2−DCLI</w:t>
      </w:r>
    </w:p>
    <w:p w14:paraId="39CFF94E">
      <w:pPr>
        <w:jc w:val="center"/>
      </w:pPr>
      <w:r>
        <w:drawing>
          <wp:inline distT="0" distB="0" distL="114300" distR="114300">
            <wp:extent cx="5903595" cy="3320415"/>
            <wp:effectExtent l="0" t="0" r="190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33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C4B01">
      <w:pPr>
        <w:spacing w:before="60" w:after="140"/>
        <w:jc w:val="center"/>
      </w:pPr>
      <w:r>
        <w:rPr>
          <w:rFonts w:ascii="Arial" w:hAnsi="Arial" w:eastAsia="宋体"/>
          <w:b w:val="0"/>
          <w:color w:val="666666"/>
          <w:sz w:val="18"/>
        </w:rPr>
        <w:t>图 3  small/far 与 large/near 的配对差值和95%CI</w:t>
      </w:r>
    </w:p>
    <w:p w14:paraId="15EB1B2E">
      <w:pPr>
        <w:spacing w:after="100" w:line="360" w:lineRule="auto"/>
        <w:ind w:firstLine="420"/>
      </w:pPr>
      <w:r>
        <w:rPr>
          <w:rFonts w:ascii="Arial" w:hAnsi="Arial" w:eastAsia="宋体"/>
          <w:b/>
          <w:color w:val="A61B1B"/>
          <w:sz w:val="21"/>
        </w:rPr>
        <w:t>no-harm 结论：large/near 是控制项，但当前协议没有预冻结的实质无伤害容忍界限，所以不能事后发明 margin 并宣布 PASS。报告仅给出原始配对差值与 95%CI；任何正式 no-harm GO/NO-GO 必须在下一代实验前冻结阈值。</w:t>
      </w:r>
    </w:p>
    <w:p w14:paraId="108DE0C0">
      <w:pPr>
        <w:pStyle w:val="2"/>
        <w:keepNext/>
      </w:pPr>
      <w:bookmarkStart w:id="12" w:name="_Toc8736"/>
      <w:r>
        <w:rPr>
          <w:rFonts w:ascii="Arial" w:hAnsi="Arial" w:eastAsia="微软雅黑"/>
          <w:b/>
          <w:color w:val="1F4E78"/>
          <w:sz w:val="31"/>
        </w:rPr>
        <w:t>11. 匹配成本（seed0 描述性证据）</w:t>
      </w:r>
      <w:bookmarkEnd w:id="12"/>
    </w:p>
    <w:tbl>
      <w:tblPr>
        <w:tblStyle w:val="38"/>
        <w:tblW w:w="96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300"/>
        <w:gridCol w:w="2300"/>
        <w:gridCol w:w="1700"/>
        <w:gridCol w:w="1638"/>
      </w:tblGrid>
      <w:tr w14:paraId="6F7FA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6BE869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指标</w:t>
            </w:r>
          </w:p>
        </w:tc>
        <w:tc>
          <w:tcPr>
            <w:tcW w:w="23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3C50AD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PLAIN_P2</w:t>
            </w:r>
          </w:p>
        </w:tc>
        <w:tc>
          <w:tcPr>
            <w:tcW w:w="23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8816D1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DCLI</w:t>
            </w:r>
          </w:p>
        </w:tc>
        <w:tc>
          <w:tcPr>
            <w:tcW w:w="17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E8455A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DCLI−PLAIN</w:t>
            </w:r>
          </w:p>
        </w:tc>
        <w:tc>
          <w:tcPr>
            <w:tcW w:w="1638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D712E8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相对变化</w:t>
            </w:r>
          </w:p>
        </w:tc>
      </w:tr>
      <w:tr w14:paraId="50BDB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CB89B7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参数量</w:t>
            </w:r>
          </w:p>
        </w:tc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5D314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25052620.000000</w:t>
            </w:r>
          </w:p>
        </w:tc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2199E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25173432.000000</w:t>
            </w:r>
          </w:p>
        </w:tc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6BEC95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+120812.000000</w:t>
            </w:r>
          </w:p>
        </w:tc>
        <w:tc>
          <w:tcPr>
            <w:tcW w:w="16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424DE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+0.482%</w:t>
            </w:r>
          </w:p>
        </w:tc>
      </w:tr>
      <w:tr w14:paraId="1AC28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B5C9F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FLOPs</w:t>
            </w:r>
          </w:p>
        </w:tc>
        <w:tc>
          <w:tcPr>
            <w:tcW w:w="23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29A023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97932355800.000000</w:t>
            </w:r>
          </w:p>
        </w:tc>
        <w:tc>
          <w:tcPr>
            <w:tcW w:w="23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9B2F26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99187303818.000000</w:t>
            </w:r>
          </w:p>
        </w:tc>
        <w:tc>
          <w:tcPr>
            <w:tcW w:w="17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84D1C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+1254948018.000000</w:t>
            </w:r>
          </w:p>
        </w:tc>
        <w:tc>
          <w:tcPr>
            <w:tcW w:w="16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831FE4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+1.281%</w:t>
            </w:r>
          </w:p>
        </w:tc>
      </w:tr>
      <w:tr w14:paraId="3578C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ECABCD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中位延迟</w:t>
            </w:r>
          </w:p>
        </w:tc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D79007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20.595440 ms</w:t>
            </w:r>
          </w:p>
        </w:tc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CD40F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24.365495 ms</w:t>
            </w:r>
          </w:p>
        </w:tc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45900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+3.770055</w:t>
            </w:r>
          </w:p>
        </w:tc>
        <w:tc>
          <w:tcPr>
            <w:tcW w:w="16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91BC13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+18.305%</w:t>
            </w:r>
          </w:p>
        </w:tc>
      </w:tr>
      <w:tr w14:paraId="0023D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E3BAA8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吞吐</w:t>
            </w:r>
          </w:p>
        </w:tc>
        <w:tc>
          <w:tcPr>
            <w:tcW w:w="23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195F3D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48.504971 FPS</w:t>
            </w:r>
          </w:p>
        </w:tc>
        <w:tc>
          <w:tcPr>
            <w:tcW w:w="23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5913E6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41.021615 FPS</w:t>
            </w:r>
          </w:p>
        </w:tc>
        <w:tc>
          <w:tcPr>
            <w:tcW w:w="17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DEC9CD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-7.483356</w:t>
            </w:r>
          </w:p>
        </w:tc>
        <w:tc>
          <w:tcPr>
            <w:tcW w:w="16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4538D9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-15.428%</w:t>
            </w:r>
          </w:p>
        </w:tc>
      </w:tr>
      <w:tr w14:paraId="741ED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16B712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峰值显存</w:t>
            </w:r>
          </w:p>
        </w:tc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8BFFAF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900183552.000000 bytes</w:t>
            </w:r>
          </w:p>
        </w:tc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56158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989358592.000000 bytes</w:t>
            </w:r>
          </w:p>
        </w:tc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5A8D9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+89175040.000000</w:t>
            </w:r>
          </w:p>
        </w:tc>
        <w:tc>
          <w:tcPr>
            <w:tcW w:w="16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D0880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+9.906%</w:t>
            </w:r>
          </w:p>
        </w:tc>
      </w:tr>
      <w:tr w14:paraId="665EA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A5D08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训练时长</w:t>
            </w:r>
          </w:p>
        </w:tc>
        <w:tc>
          <w:tcPr>
            <w:tcW w:w="23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9BF772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1048.030000 s</w:t>
            </w:r>
          </w:p>
        </w:tc>
        <w:tc>
          <w:tcPr>
            <w:tcW w:w="23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B67466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1330.790000 s</w:t>
            </w:r>
          </w:p>
        </w:tc>
        <w:tc>
          <w:tcPr>
            <w:tcW w:w="17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CBD7B6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+282.760000</w:t>
            </w:r>
          </w:p>
        </w:tc>
        <w:tc>
          <w:tcPr>
            <w:tcW w:w="16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D843AE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+26.980%</w:t>
            </w:r>
          </w:p>
        </w:tc>
      </w:tr>
    </w:tbl>
    <w:p w14:paraId="21B5022E">
      <w:pPr>
        <w:spacing w:before="60" w:after="140"/>
        <w:jc w:val="center"/>
      </w:pPr>
      <w:r>
        <w:rPr>
          <w:rFonts w:ascii="Arial" w:hAnsi="Arial" w:eastAsia="宋体"/>
          <w:b w:val="0"/>
          <w:color w:val="666666"/>
          <w:sz w:val="18"/>
        </w:rPr>
        <w:t>表 10  seed0 同硬件、同预测协议成本；不能外推为五 seed 成本结论</w:t>
      </w:r>
    </w:p>
    <w:p w14:paraId="40B14CF1">
      <w:pPr>
        <w:spacing w:after="100" w:line="360" w:lineRule="auto"/>
        <w:ind w:firstLine="420"/>
      </w:pPr>
      <w:r>
        <w:rPr>
          <w:rFonts w:ascii="Arial" w:hAnsi="Arial" w:eastAsia="宋体"/>
          <w:b w:val="0"/>
          <w:color w:val="222222"/>
          <w:sz w:val="21"/>
        </w:rPr>
        <w:t>seed0 上 DCLI 的参数量、FLOPs、延迟、显存与训练时长均增加，FPS 下降。该成本测量使用修复后的冻结 prediction_protocol；首次手工抄写协议遗漏 fp32:true 并添加 device:0 的失败代次已保存为负证据，未被覆盖或纳入结果。</w:t>
      </w:r>
    </w:p>
    <w:p w14:paraId="48B3855E">
      <w:pPr>
        <w:pStyle w:val="2"/>
        <w:keepNext/>
      </w:pPr>
      <w:bookmarkStart w:id="13" w:name="_Toc27224"/>
      <w:r>
        <w:rPr>
          <w:rFonts w:ascii="Arial" w:hAnsi="Arial" w:eastAsia="微软雅黑"/>
          <w:b/>
          <w:color w:val="1F4E78"/>
          <w:sz w:val="31"/>
        </w:rPr>
        <w:t>12. 三层结论：哪些通过，哪些没有通过</w:t>
      </w:r>
      <w:bookmarkEnd w:id="13"/>
    </w:p>
    <w:tbl>
      <w:tblPr>
        <w:tblStyle w:val="38"/>
        <w:tblW w:w="96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00"/>
        <w:gridCol w:w="3700"/>
        <w:gridCol w:w="2638"/>
      </w:tblGrid>
      <w:tr w14:paraId="65692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CFC8CE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层级</w:t>
            </w:r>
          </w:p>
        </w:tc>
        <w:tc>
          <w:tcPr>
            <w:tcW w:w="15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5EDBAA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状态</w:t>
            </w:r>
          </w:p>
        </w:tc>
        <w:tc>
          <w:tcPr>
            <w:tcW w:w="37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D2D356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依据</w:t>
            </w:r>
          </w:p>
        </w:tc>
        <w:tc>
          <w:tcPr>
            <w:tcW w:w="2638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341358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允许表述</w:t>
            </w:r>
          </w:p>
        </w:tc>
      </w:tr>
      <w:tr w14:paraId="45CA8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9D0D55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工程正确性</w:t>
            </w:r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B3142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PASS</w:t>
            </w:r>
          </w:p>
        </w:tc>
        <w:tc>
          <w:tcPr>
            <w:tcW w:w="3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177F77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10/10 训练终态、恢复、checkpoint、双发布、时限和身份均闭合</w:t>
            </w:r>
          </w:p>
        </w:tc>
        <w:tc>
          <w:tcPr>
            <w:tcW w:w="26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C4B24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说明流程可靠，不说明方法更好</w:t>
            </w:r>
          </w:p>
        </w:tc>
      </w:tr>
      <w:tr w14:paraId="1F7FE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4B97FA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实验可信性</w:t>
            </w:r>
          </w:p>
        </w:tc>
        <w:tc>
          <w:tcPr>
            <w:tcW w:w="15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83C3B9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PASS</w:t>
            </w:r>
          </w:p>
        </w:tc>
        <w:tc>
          <w:tcPr>
            <w:tcW w:w="37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FED732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五个预注册 seed、匹配协议、固定差值、无删 seed、无换方向</w:t>
            </w:r>
          </w:p>
        </w:tc>
        <w:tc>
          <w:tcPr>
            <w:tcW w:w="26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247A53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当前负结果可以写入论文</w:t>
            </w:r>
          </w:p>
        </w:tc>
      </w:tr>
      <w:tr w14:paraId="701A4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A6E95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DCLI 方法有效性</w:t>
            </w:r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9C6D85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FAIL / 不支持</w:t>
            </w:r>
          </w:p>
        </w:tc>
        <w:tc>
          <w:tcPr>
            <w:tcW w:w="3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99AFB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DCLI 1/5 胜；PLAIN−DCLI +1.0184；CI 含0</w:t>
            </w:r>
          </w:p>
        </w:tc>
        <w:tc>
          <w:tcPr>
            <w:tcW w:w="26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398BC8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不能写稳定+1.1，也不能写显著提升</w:t>
            </w:r>
          </w:p>
        </w:tc>
      </w:tr>
      <w:tr w14:paraId="0B604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0F621D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small/far 机制主张</w:t>
            </w:r>
          </w:p>
        </w:tc>
        <w:tc>
          <w:tcPr>
            <w:tcW w:w="15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5B3538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未建立确认性成功</w:t>
            </w:r>
          </w:p>
        </w:tc>
        <w:tc>
          <w:tcPr>
            <w:tcW w:w="37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0D6ECD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完整分层原始值已给出，但没有证据支持稳定 DCLI 优势</w:t>
            </w:r>
          </w:p>
        </w:tc>
        <w:tc>
          <w:tcPr>
            <w:tcW w:w="26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E732C4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可用于下一代 development 诊断</w:t>
            </w:r>
          </w:p>
        </w:tc>
      </w:tr>
      <w:tr w14:paraId="786E6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A59D20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no-harm</w:t>
            </w:r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639E65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仅描述</w:t>
            </w:r>
          </w:p>
        </w:tc>
        <w:tc>
          <w:tcPr>
            <w:tcW w:w="3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0899D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无预冻结 margin</w:t>
            </w:r>
          </w:p>
        </w:tc>
        <w:tc>
          <w:tcPr>
            <w:tcW w:w="26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EE9D78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不得事后设阈值</w:t>
            </w:r>
          </w:p>
        </w:tc>
      </w:tr>
    </w:tbl>
    <w:p w14:paraId="10D2DC6F">
      <w:pPr>
        <w:spacing w:before="60" w:after="140"/>
        <w:jc w:val="center"/>
      </w:pPr>
      <w:r>
        <w:rPr>
          <w:rFonts w:ascii="Arial" w:hAnsi="Arial" w:eastAsia="宋体"/>
          <w:b w:val="0"/>
          <w:color w:val="666666"/>
          <w:sz w:val="18"/>
        </w:rPr>
        <w:t>表 11  工程、可信性与方法有效性必须分开</w:t>
      </w:r>
    </w:p>
    <w:p w14:paraId="34BAED56">
      <w:r>
        <w:br w:type="page"/>
      </w:r>
    </w:p>
    <w:p w14:paraId="4CDD1B02">
      <w:pPr>
        <w:pStyle w:val="2"/>
        <w:keepNext/>
      </w:pPr>
      <w:bookmarkStart w:id="14" w:name="_Toc10470"/>
      <w:r>
        <w:rPr>
          <w:rFonts w:ascii="Arial" w:hAnsi="Arial" w:eastAsia="微软雅黑"/>
          <w:b/>
          <w:color w:val="1F4E78"/>
          <w:sz w:val="31"/>
        </w:rPr>
        <w:t>13. 导师选择页</w:t>
      </w:r>
      <w:bookmarkEnd w:id="14"/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3608A3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E2F0D9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2E1E23F6">
            <w:pPr>
              <w:spacing w:after="60"/>
            </w:pPr>
            <w:r>
              <w:rPr>
                <w:rFonts w:ascii="Arial" w:hAnsi="Arial" w:eastAsia="微软雅黑"/>
                <w:b/>
                <w:color w:val="2E7D32"/>
                <w:sz w:val="22"/>
              </w:rPr>
              <w:t>A｜封存 DCLI，以 PLAIN_P2 为当前主线（推荐）</w:t>
            </w:r>
          </w:p>
          <w:p w14:paraId="08751F4E">
            <w:pPr>
              <w:spacing w:after="0"/>
            </w:pPr>
            <w:r>
              <w:rPr>
                <w:rFonts w:ascii="Arial" w:hAnsi="Arial" w:eastAsia="宋体"/>
                <w:b w:val="0"/>
                <w:color w:val="222222"/>
                <w:sz w:val="20"/>
              </w:rPr>
              <w:t>依据：PLAIN_P2 五 seed macro 均值更高；固定配对方向下 PLAIN 赢 4/5；DCLI 没有稳定收益且成本更高。执行：本次确认性结论如实写入 Results/Limitations；保留 DCLI 为负结果与机制审计材料；后续论文主线以 PLAIN_P2 和可靠的分层诊断展开。</w:t>
            </w:r>
          </w:p>
        </w:tc>
      </w:tr>
    </w:tbl>
    <w:p w14:paraId="09EE60ED">
      <w:pPr>
        <w:spacing w:after="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7487E3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FF2C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5FF6FA6">
            <w:pPr>
              <w:spacing w:after="60"/>
            </w:pPr>
            <w:r>
              <w:rPr>
                <w:rFonts w:ascii="Arial" w:hAnsi="Arial" w:eastAsia="微软雅黑"/>
                <w:b/>
                <w:color w:val="9C6500"/>
                <w:sz w:val="22"/>
              </w:rPr>
              <w:t>B｜批准独立的新 development 机制代次</w:t>
            </w:r>
          </w:p>
          <w:p w14:paraId="102D0580">
            <w:pPr>
              <w:spacing w:after="0"/>
            </w:pPr>
            <w:r>
              <w:rPr>
                <w:rFonts w:ascii="Arial" w:hAnsi="Arial" w:eastAsia="宋体"/>
                <w:b w:val="0"/>
                <w:color w:val="222222"/>
                <w:sz w:val="20"/>
              </w:rPr>
              <w:t>依据：现有 DCLI 已被确认性结果否定，但 small/far、曲线分叉和成本证据可用于提出新机制。执行：必须先冻结新的问题→根因→机制→风险→成功标准→验证协议；使用独立新代次与新证据根；不得修改或复用本次确认性输出，也不得把新假设写成本次成功。</w:t>
            </w:r>
          </w:p>
        </w:tc>
      </w:tr>
    </w:tbl>
    <w:p w14:paraId="5340C77E">
      <w:pPr>
        <w:spacing w:after="0"/>
      </w:pPr>
    </w:p>
    <w:p w14:paraId="5FDA349D">
      <w:pPr>
        <w:spacing w:after="100" w:line="360" w:lineRule="auto"/>
        <w:ind w:firstLine="420"/>
      </w:pPr>
      <w:r>
        <w:rPr>
          <w:rFonts w:ascii="Arial" w:hAnsi="Arial" w:eastAsia="宋体"/>
          <w:b w:val="0"/>
          <w:color w:val="222222"/>
          <w:sz w:val="21"/>
        </w:rPr>
        <w:t>若选择 B，建议只批准 1 个最小、可证伪机制进入 development：优先针对 DCLI 不确定性尺度与真实 small/far 误差的错配进行校准，而不是同时加入多个模块。先用 seed0 development 与强基线/负对照证明机制，再决定是否进入新的预注册多 seed 确认性队列。</w:t>
      </w:r>
    </w:p>
    <w:tbl>
      <w:tblPr>
        <w:tblStyle w:val="38"/>
        <w:tblW w:w="96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5000"/>
        <w:gridCol w:w="2838"/>
      </w:tblGrid>
      <w:tr w14:paraId="3601A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2DEFAA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50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DBBA59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选择/约束</w:t>
            </w:r>
          </w:p>
        </w:tc>
        <w:tc>
          <w:tcPr>
            <w:tcW w:w="2838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BCD6A6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签注</w:t>
            </w:r>
          </w:p>
        </w:tc>
      </w:tr>
      <w:tr w14:paraId="3E2F0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D3565E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8"/>
              </w:rPr>
              <w:t>导师选择</w:t>
            </w:r>
          </w:p>
        </w:tc>
        <w:tc>
          <w:tcPr>
            <w:tcW w:w="5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8FB1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8"/>
              </w:rPr>
              <w:t>□ A　□ B</w:t>
            </w:r>
          </w:p>
        </w:tc>
        <w:tc>
          <w:tcPr>
            <w:tcW w:w="2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D7AAFE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8"/>
              </w:rPr>
              <w:t>日期：____________</w:t>
            </w:r>
          </w:p>
        </w:tc>
      </w:tr>
      <w:tr w14:paraId="6A095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4280F2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8"/>
              </w:rPr>
              <w:t>若选 B，允许的范围</w:t>
            </w:r>
          </w:p>
        </w:tc>
        <w:tc>
          <w:tcPr>
            <w:tcW w:w="50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4F901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8"/>
              </w:rPr>
              <w:t>仅独立 development；不得覆盖本次证据</w:t>
            </w:r>
          </w:p>
        </w:tc>
        <w:tc>
          <w:tcPr>
            <w:tcW w:w="28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949B5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8"/>
              </w:rPr>
              <w:t>成功标准需预冻结</w:t>
            </w:r>
          </w:p>
        </w:tc>
      </w:tr>
      <w:tr w14:paraId="57913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6B7439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8"/>
              </w:rPr>
              <w:t>需特别确认</w:t>
            </w:r>
          </w:p>
        </w:tc>
        <w:tc>
          <w:tcPr>
            <w:tcW w:w="5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C3E65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8"/>
              </w:rPr>
              <w:t>是否接受“可信负结果”作为论文结论</w:t>
            </w:r>
          </w:p>
        </w:tc>
        <w:tc>
          <w:tcPr>
            <w:tcW w:w="2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8AF2DD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8"/>
              </w:rPr>
              <w:t>是否批准新机制预研</w:t>
            </w:r>
          </w:p>
        </w:tc>
      </w:tr>
    </w:tbl>
    <w:p w14:paraId="49AE5E52">
      <w:pPr>
        <w:spacing w:before="60" w:after="140"/>
        <w:jc w:val="center"/>
      </w:pPr>
      <w:r>
        <w:rPr>
          <w:rFonts w:ascii="Arial" w:hAnsi="Arial" w:eastAsia="宋体"/>
          <w:b w:val="0"/>
          <w:color w:val="666666"/>
          <w:sz w:val="18"/>
        </w:rPr>
        <w:t>表 12  导师决策与签注</w:t>
      </w:r>
    </w:p>
    <w:p w14:paraId="4CB8FE62">
      <w:pPr>
        <w:pStyle w:val="2"/>
        <w:keepNext/>
      </w:pPr>
      <w:bookmarkStart w:id="15" w:name="_Toc25994"/>
      <w:r>
        <w:rPr>
          <w:rFonts w:ascii="Arial" w:hAnsi="Arial" w:eastAsia="微软雅黑"/>
          <w:b/>
          <w:color w:val="1F4E78"/>
          <w:sz w:val="31"/>
        </w:rPr>
        <w:t>14. 论文可用表述与限制</w:t>
      </w:r>
      <w:bookmarkEnd w:id="15"/>
    </w:p>
    <w:p w14:paraId="41773CFB">
      <w:pPr>
        <w:pStyle w:val="3"/>
        <w:keepNext/>
      </w:pPr>
      <w:bookmarkStart w:id="16" w:name="_Toc19690"/>
      <w:r>
        <w:rPr>
          <w:rFonts w:ascii="Arial" w:hAnsi="Arial" w:eastAsia="微软雅黑"/>
          <w:b/>
          <w:color w:val="2F75B5"/>
          <w:sz w:val="25"/>
        </w:rPr>
        <w:t>14.1 可直接写入</w:t>
      </w:r>
      <w:bookmarkEnd w:id="16"/>
    </w:p>
    <w:p w14:paraId="5237E680">
      <w:pPr>
        <w:pStyle w:val="27"/>
        <w:spacing w:after="60" w:line="276" w:lineRule="auto"/>
      </w:pPr>
      <w:r>
        <w:rPr>
          <w:rFonts w:ascii="Arial" w:hAnsi="Arial" w:eastAsia="宋体"/>
          <w:b w:val="0"/>
          <w:color w:val="222222"/>
          <w:sz w:val="20"/>
        </w:rPr>
        <w:t>在固定 KITTI 3341/371 development 协议下，修复后的 seeds0–4 × PLAIN_P2/DCLI 十项实验全部达到 canonical PASS。</w:t>
      </w:r>
    </w:p>
    <w:p w14:paraId="535FB538">
      <w:pPr>
        <w:pStyle w:val="27"/>
        <w:spacing w:after="60" w:line="276" w:lineRule="auto"/>
      </w:pPr>
      <w:r>
        <w:rPr>
          <w:rFonts w:ascii="Arial" w:hAnsi="Arial" w:eastAsia="宋体"/>
          <w:b w:val="0"/>
          <w:color w:val="222222"/>
          <w:sz w:val="20"/>
        </w:rPr>
        <w:t>PLAIN_P2 的 Moderate Pedestrian/Cyclist macro AP_R40 均值为 95.3886，DCLI 为 94.3702。</w:t>
      </w:r>
    </w:p>
    <w:p w14:paraId="7BA20BD1">
      <w:pPr>
        <w:pStyle w:val="27"/>
        <w:spacing w:after="60" w:line="276" w:lineRule="auto"/>
      </w:pPr>
      <w:r>
        <w:rPr>
          <w:rFonts w:ascii="Arial" w:hAnsi="Arial" w:eastAsia="宋体"/>
          <w:b w:val="0"/>
          <w:color w:val="222222"/>
          <w:sz w:val="20"/>
        </w:rPr>
        <w:t>固定方向 PLAIN_P2−DCLI 的均值为 +1.0184 AP，95%CI [−0.4055, 2.4423]；DCLI 仅在 1/5 seed 胜出。</w:t>
      </w:r>
    </w:p>
    <w:p w14:paraId="179B3C2D">
      <w:pPr>
        <w:pStyle w:val="27"/>
        <w:spacing w:after="60" w:line="276" w:lineRule="auto"/>
      </w:pPr>
      <w:r>
        <w:rPr>
          <w:rFonts w:ascii="Arial" w:hAnsi="Arial" w:eastAsia="宋体"/>
          <w:b w:val="0"/>
          <w:color w:val="222222"/>
          <w:sz w:val="20"/>
        </w:rPr>
        <w:t>因此，当前数据不支持 DCLI 的稳定正收益，也不支持“稳定提升至少 +1.1 AP”。</w:t>
      </w:r>
    </w:p>
    <w:p w14:paraId="44326D68">
      <w:pPr>
        <w:pStyle w:val="3"/>
        <w:keepNext/>
      </w:pPr>
      <w:bookmarkStart w:id="17" w:name="_Toc27733"/>
      <w:r>
        <w:rPr>
          <w:rFonts w:ascii="Arial" w:hAnsi="Arial" w:eastAsia="微软雅黑"/>
          <w:b/>
          <w:color w:val="2F75B5"/>
          <w:sz w:val="25"/>
        </w:rPr>
        <w:t>14.2 禁止写入</w:t>
      </w:r>
      <w:bookmarkEnd w:id="17"/>
    </w:p>
    <w:p w14:paraId="30042C0A">
      <w:pPr>
        <w:pStyle w:val="27"/>
        <w:spacing w:after="60" w:line="276" w:lineRule="auto"/>
      </w:pPr>
      <w:r>
        <w:rPr>
          <w:rFonts w:ascii="Arial" w:hAnsi="Arial" w:eastAsia="宋体"/>
          <w:b w:val="0"/>
          <w:color w:val="222222"/>
          <w:sz w:val="20"/>
        </w:rPr>
        <w:t>“DCLI 稳定提升 ≥1.1 AP”或“五 seed 显著提升”。</w:t>
      </w:r>
    </w:p>
    <w:p w14:paraId="054376CD">
      <w:pPr>
        <w:pStyle w:val="27"/>
        <w:spacing w:after="60" w:line="276" w:lineRule="auto"/>
      </w:pPr>
      <w:r>
        <w:rPr>
          <w:rFonts w:ascii="Arial" w:hAnsi="Arial" w:eastAsia="宋体"/>
          <w:b w:val="0"/>
          <w:color w:val="222222"/>
          <w:sz w:val="20"/>
        </w:rPr>
        <w:t>把 PLAIN−DCLI 的正差值倒写成 DCLI 提升，或事后改为对 DCLI 有利的方向。</w:t>
      </w:r>
    </w:p>
    <w:p w14:paraId="285CA388">
      <w:pPr>
        <w:pStyle w:val="27"/>
        <w:spacing w:after="60" w:line="276" w:lineRule="auto"/>
      </w:pPr>
      <w:r>
        <w:rPr>
          <w:rFonts w:ascii="Arial" w:hAnsi="Arial" w:eastAsia="宋体"/>
          <w:b w:val="0"/>
          <w:color w:val="222222"/>
          <w:sz w:val="20"/>
        </w:rPr>
        <w:t>把旧故障队列、历史 17/29/41 或旧 3712/3769 口径混入当前正式池。</w:t>
      </w:r>
    </w:p>
    <w:p w14:paraId="2DE96B88">
      <w:pPr>
        <w:pStyle w:val="27"/>
        <w:spacing w:after="60" w:line="276" w:lineRule="auto"/>
      </w:pPr>
      <w:r>
        <w:rPr>
          <w:rFonts w:ascii="Arial" w:hAnsi="Arial" w:eastAsia="宋体"/>
          <w:b w:val="0"/>
          <w:color w:val="222222"/>
          <w:sz w:val="20"/>
        </w:rPr>
        <w:t>把本次 371 张 development 称为独立测试集。</w:t>
      </w:r>
    </w:p>
    <w:p w14:paraId="121CCC50">
      <w:pPr>
        <w:pStyle w:val="27"/>
        <w:spacing w:after="60" w:line="276" w:lineRule="auto"/>
      </w:pPr>
      <w:r>
        <w:rPr>
          <w:rFonts w:ascii="Arial" w:hAnsi="Arial" w:eastAsia="宋体"/>
          <w:b w:val="0"/>
          <w:color w:val="222222"/>
          <w:sz w:val="20"/>
        </w:rPr>
        <w:t>用下一代 development 假设替代本次确认性负结果。</w:t>
      </w:r>
    </w:p>
    <w:p w14:paraId="298B70EA">
      <w:pPr>
        <w:pStyle w:val="2"/>
        <w:keepNext/>
      </w:pPr>
      <w:bookmarkStart w:id="18" w:name="_Toc17701"/>
      <w:r>
        <w:rPr>
          <w:rFonts w:ascii="Arial" w:hAnsi="Arial" w:eastAsia="微软雅黑"/>
          <w:b/>
          <w:color w:val="1F4E78"/>
          <w:sz w:val="31"/>
        </w:rPr>
        <w:t>15. 可追溯材料与源码附件</w:t>
      </w:r>
      <w:bookmarkEnd w:id="18"/>
    </w:p>
    <w:tbl>
      <w:tblPr>
        <w:tblStyle w:val="38"/>
        <w:tblW w:w="96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700"/>
        <w:gridCol w:w="3138"/>
      </w:tblGrid>
      <w:tr w14:paraId="27478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71BCC4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材料</w:t>
            </w:r>
          </w:p>
        </w:tc>
        <w:tc>
          <w:tcPr>
            <w:tcW w:w="47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109CDB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绝对路径</w:t>
            </w:r>
          </w:p>
        </w:tc>
        <w:tc>
          <w:tcPr>
            <w:tcW w:w="3138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E96A16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SHA256</w:t>
            </w:r>
          </w:p>
        </w:tc>
      </w:tr>
      <w:tr w14:paraId="2D044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87BFF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正式原始结果</w:t>
            </w:r>
          </w:p>
        </w:tc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EB608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E:\myyolo\stage11-v200-five-seed-formal-analysis\outputs-v1\per_seed_results.csv</w:t>
            </w:r>
          </w:p>
        </w:tc>
        <w:tc>
          <w:tcPr>
            <w:tcW w:w="31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6E7EF3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ade3eb67d2040fcf543b9f92476ac6bde1014d7a8c0f4b91a2e6737fa3842a11</w:t>
            </w:r>
          </w:p>
        </w:tc>
      </w:tr>
      <w:tr w14:paraId="47F9F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08C6F9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配对统计</w:t>
            </w:r>
          </w:p>
        </w:tc>
        <w:tc>
          <w:tcPr>
            <w:tcW w:w="47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BCBC74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E:\myyolo\stage11-v200-five-seed-formal-analysis\outputs-v1\paired_statistics.json</w:t>
            </w:r>
          </w:p>
        </w:tc>
        <w:tc>
          <w:tcPr>
            <w:tcW w:w="31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3021A2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94e032a4b11d3c70ed352e380a6c14194941abda6c648066323565e173d7cd9f</w:t>
            </w:r>
          </w:p>
        </w:tc>
      </w:tr>
      <w:tr w14:paraId="03D8F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7204D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10任务 manifest</w:t>
            </w:r>
          </w:p>
        </w:tc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9FD9F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E:\myyolo\stage11-v200-five-seed-formal-analysis\outputs-v1\canonical_run_manifest.json</w:t>
            </w:r>
          </w:p>
        </w:tc>
        <w:tc>
          <w:tcPr>
            <w:tcW w:w="31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5BE11F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31931065371fe7be58fab374b22ffbeab3e4acee08d58ccbd53f4d0baa755786</w:t>
            </w:r>
          </w:p>
        </w:tc>
      </w:tr>
      <w:tr w14:paraId="69C9C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B7863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四曲线 identity</w:t>
            </w:r>
          </w:p>
        </w:tc>
        <w:tc>
          <w:tcPr>
            <w:tcW w:w="47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9C8CF8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E:\myyolo\stage11-v200-five-seed-formal-analysis\teacher-curves-v2\identity_manifest.json</w:t>
            </w:r>
          </w:p>
        </w:tc>
        <w:tc>
          <w:tcPr>
            <w:tcW w:w="31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81ADB2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910dfa1d177635cdc7114e2b5714a060ad329494df9327273b16e934b0d4f861</w:t>
            </w:r>
          </w:p>
        </w:tc>
      </w:tr>
      <w:tr w14:paraId="1FE76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CC2C1E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四曲线图</w:t>
            </w:r>
          </w:p>
        </w:tc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9B8B59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E:\myyolo\stage11-v200-five-seed-formal-analysis\teacher-curves-v2\four_curve_map50_95.png</w:t>
            </w:r>
          </w:p>
        </w:tc>
        <w:tc>
          <w:tcPr>
            <w:tcW w:w="31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582F24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2b4626ef765884d8f874c46621ef8b48169777820640a9388c62f18696a069ff</w:t>
            </w:r>
          </w:p>
        </w:tc>
      </w:tr>
      <w:tr w14:paraId="7688D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E3C298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small/far/no-harm</w:t>
            </w:r>
          </w:p>
        </w:tc>
        <w:tc>
          <w:tcPr>
            <w:tcW w:w="47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6CC466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E:\myyolo\teacher_report\20260825_final_decision_v1\evidence\small_far_no_harm_statistics.json</w:t>
            </w:r>
          </w:p>
        </w:tc>
        <w:tc>
          <w:tcPr>
            <w:tcW w:w="31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FB6CE0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23d986fd001c10b86c28cf189e4e31615029171e599ece87f58082746bef9f32</w:t>
            </w:r>
          </w:p>
        </w:tc>
      </w:tr>
      <w:tr w14:paraId="2EA4A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B69D43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seed0 matched cost</w:t>
            </w:r>
          </w:p>
        </w:tc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3AEA72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E:\myyolo\teacher_report\20260825_final_decision_v1\evidence\seed0_matched_cost_comparison.json</w:t>
            </w:r>
          </w:p>
        </w:tc>
        <w:tc>
          <w:tcPr>
            <w:tcW w:w="31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FC3A56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55d9c7d881410a91a1b5e029d92e5af4363b577e1e4f7576a05932049af1f232</w:t>
            </w:r>
          </w:p>
        </w:tc>
      </w:tr>
      <w:tr w14:paraId="18259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E43EB6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v200双terminal</w:t>
            </w:r>
          </w:p>
        </w:tc>
        <w:tc>
          <w:tcPr>
            <w:tcW w:w="47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04F6C0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E:\myyolo\stage11-v200-slice-cost-offload-primary-7bf25efa272e4ff5b94798744433b4c2\terminal-receipt.json</w:t>
            </w:r>
          </w:p>
        </w:tc>
        <w:tc>
          <w:tcPr>
            <w:tcW w:w="31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A1F417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8547719f8c9ade21309feba5ecc98851ae1eef9ab3ad7429af2e27487aa0cf05</w:t>
            </w:r>
          </w:p>
        </w:tc>
      </w:tr>
    </w:tbl>
    <w:p w14:paraId="5EA6BFD3">
      <w:pPr>
        <w:spacing w:before="60" w:after="140"/>
        <w:jc w:val="center"/>
      </w:pPr>
      <w:r>
        <w:rPr>
          <w:rFonts w:ascii="Arial" w:hAnsi="Arial" w:eastAsia="宋体"/>
          <w:b w:val="0"/>
          <w:color w:val="666666"/>
          <w:sz w:val="18"/>
        </w:rPr>
        <w:t>表 13  结果与身份材料</w:t>
      </w:r>
    </w:p>
    <w:tbl>
      <w:tblPr>
        <w:tblStyle w:val="38"/>
        <w:tblW w:w="96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700"/>
        <w:gridCol w:w="3138"/>
      </w:tblGrid>
      <w:tr w14:paraId="384BD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B2A274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附件</w:t>
            </w:r>
          </w:p>
        </w:tc>
        <w:tc>
          <w:tcPr>
            <w:tcW w:w="47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82E0D6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绝对路径</w:t>
            </w:r>
          </w:p>
        </w:tc>
        <w:tc>
          <w:tcPr>
            <w:tcW w:w="3138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53E733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SHA256</w:t>
            </w:r>
          </w:p>
        </w:tc>
      </w:tr>
      <w:tr w14:paraId="01E5E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90E39A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第一版全文 ZIP</w:t>
            </w:r>
          </w:p>
        </w:tc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3D4BA4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E:\myyolo\teacher_report\20260825_final_decision_v1\source_annex\第一版项目自有代码全文.zip</w:t>
            </w:r>
          </w:p>
        </w:tc>
        <w:tc>
          <w:tcPr>
            <w:tcW w:w="31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C31839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b6210dbde5f25ab78f8e197da0953d732b437d57aaf70ed6c86534cf14815159</w:t>
            </w:r>
          </w:p>
        </w:tc>
      </w:tr>
      <w:tr w14:paraId="6EC06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21CF1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第一版全文 TXT</w:t>
            </w:r>
          </w:p>
        </w:tc>
        <w:tc>
          <w:tcPr>
            <w:tcW w:w="47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81EB2D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E:\myyolo\teacher_report\20260825_final_decision_v1\source_annex\第一版项目自有代码全文.txt</w:t>
            </w:r>
          </w:p>
        </w:tc>
        <w:tc>
          <w:tcPr>
            <w:tcW w:w="31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0F1E1D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414a173235e26ad20b123aa8560f10cf0ba847f774d2c17435833516ba20a8de</w:t>
            </w:r>
          </w:p>
        </w:tc>
      </w:tr>
      <w:tr w14:paraId="573BD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FF0CDE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当前版全文 ZIP</w:t>
            </w:r>
          </w:p>
        </w:tc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40B726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E:\myyolo\teacher_report\20260825_final_decision_v1\source_annex\当前版项目自有代码全文.zip</w:t>
            </w:r>
          </w:p>
        </w:tc>
        <w:tc>
          <w:tcPr>
            <w:tcW w:w="31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C03E7E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f42757d0c3f31add795020c7591911fcdd5991070a97acd992b706523ac69652</w:t>
            </w:r>
          </w:p>
        </w:tc>
      </w:tr>
      <w:tr w14:paraId="45D5D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2E6990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当前版全文 TXT</w:t>
            </w:r>
          </w:p>
        </w:tc>
        <w:tc>
          <w:tcPr>
            <w:tcW w:w="47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EBB04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E:\myyolo\teacher_report\20260825_final_decision_v1\source_annex\当前版项目自有代码全文.txt</w:t>
            </w:r>
          </w:p>
        </w:tc>
        <w:tc>
          <w:tcPr>
            <w:tcW w:w="31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2E8B0F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472eb7a2e951d9090759a911d3e46f4856315aa4c85b44d200339d3f7d19b096</w:t>
            </w:r>
          </w:p>
        </w:tc>
      </w:tr>
      <w:tr w14:paraId="42645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E2CB76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源码逐文件 manifest</w:t>
            </w:r>
          </w:p>
        </w:tc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0D3E1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E:\myyolo\teacher_report\20260825_final_decision_v1\source_annex\源码附件清单.json</w:t>
            </w:r>
          </w:p>
        </w:tc>
        <w:tc>
          <w:tcPr>
            <w:tcW w:w="31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9DBE0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80569610b6d655e3a4a20d3ce01fdf8bbf0e741d56ea76dd55b8488ae1b05eb0</w:t>
            </w:r>
          </w:p>
        </w:tc>
      </w:tr>
    </w:tbl>
    <w:p w14:paraId="03EA5355">
      <w:pPr>
        <w:spacing w:before="60" w:after="140"/>
        <w:jc w:val="center"/>
      </w:pPr>
      <w:r>
        <w:rPr>
          <w:rFonts w:ascii="Arial" w:hAnsi="Arial" w:eastAsia="宋体"/>
          <w:b w:val="0"/>
          <w:color w:val="666666"/>
          <w:sz w:val="18"/>
        </w:rPr>
        <w:t>表 14  第一版与当前版项目自有代码全文附件</w:t>
      </w:r>
    </w:p>
    <w:p w14:paraId="04F0C6FE">
      <w:pPr>
        <w:spacing w:after="100" w:line="360" w:lineRule="auto"/>
        <w:ind w:firstLine="420"/>
      </w:pPr>
      <w:r>
        <w:rPr>
          <w:rFonts w:ascii="Arial" w:hAnsi="Arial" w:eastAsia="宋体"/>
          <w:b w:val="0"/>
          <w:color w:val="222222"/>
          <w:sz w:val="21"/>
        </w:rPr>
        <w:t>源码全文未全部排入主报告正文，因为两版合计超过八万行，强行嵌入会产生上千页且无法进行逐页视觉验收。教师材料包以 UTF-8 全文 anthology + 保持目录结构的 ZIP + 逐文件 path/size/SHA manifest 完整交付；正文附最关键的 DCLI 与 accumulate 修复代码。</w:t>
      </w:r>
    </w:p>
    <w:p w14:paraId="7FBE4806">
      <w:pPr>
        <w:pStyle w:val="2"/>
        <w:keepNext/>
      </w:pPr>
      <w:bookmarkStart w:id="19" w:name="_Toc11889"/>
      <w:r>
        <w:rPr>
          <w:rFonts w:ascii="Arial" w:hAnsi="Arial" w:eastAsia="微软雅黑"/>
          <w:b/>
          <w:color w:val="1F4E78"/>
          <w:sz w:val="31"/>
        </w:rPr>
        <w:t>16. 关键项目自有代码摘录</w:t>
      </w:r>
      <w:bookmarkEnd w:id="19"/>
    </w:p>
    <w:p w14:paraId="65EDF0CC">
      <w:pPr>
        <w:spacing w:before="60" w:after="140"/>
        <w:jc w:val="center"/>
      </w:pPr>
      <w:r>
        <w:rPr>
          <w:rFonts w:ascii="Arial" w:hAnsi="Arial" w:eastAsia="宋体"/>
          <w:b w:val="0"/>
          <w:color w:val="666666"/>
          <w:sz w:val="18"/>
        </w:rPr>
        <w:t>代码 1  DCLI 定位不确定性与校准（E:\myyolo\stage11-v177-accumulate-restoration-successor\cpu-development-262b00f25e524c3bb998beeaaad44e0b\ifdr_yolo\losses\dcli.py；SHA 066046c866b5124c52e6efc8e221cab06163828b7695c794724822a61c0a1bf4）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043BC6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366369">
            <w:pPr>
              <w:spacing w:after="0" w:line="240" w:lineRule="auto"/>
            </w:pP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0031  def dcli_localization_error(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0032      localization_error: torch.Tensor,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0033      uncertainty: torch.Tensor,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0034      *,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0035      beta: float,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0036  ) -&gt; torch.Tensor: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0037      """Apply bounded uncertainty scaling without a shortcut gradient."""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 xml:space="preserve">0038  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0039      beta = _bounded_scalar(beta, "beta")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0040      if not isinstance(localization_error, torch.Tensor):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0041          raise ValueError("localization_error must be a tensor")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0042      if localization_error.shape != uncertainty.shape: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0043          raise ValueError(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0044              "localization_error and uncertainty must share shape"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0045          )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0046      if not localization_error.is_floating_point():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0047          raise ValueError("localization_error must be floating point")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0048      if not torch.isfinite(localization_error).all():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0049          raise ValueError("localization_error must contain finite values")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0050      _validate_unit_tensor(uncertainty, "uncertainty")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0051      if beta == 0.0: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0052          return localization_error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0053      scale = 1.0 + beta * uncertainty.detach()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0054      return localization_error / scale + scale.log()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 xml:space="preserve">0055  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 xml:space="preserve">0056  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0057  def normalized_dfl_entropy(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0058      distribution_logits: torch.Tensor,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0059      *,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0060      reg_max: int,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0061  ) -&gt; torch.Tensor: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0062      """Return mean normalized entropy of the four DFL box sides."""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 xml:space="preserve">0063  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0064      if (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0065          isinstance(reg_max, bool)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0066          or not isinstance(reg_max, int)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0067          or reg_max &lt;= 1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0068      ):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0069          raise ValueError("reg_max must be an integer greater than one")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0070      if (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0071          not isinstance(distribution_logits, torch.Tensor)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0072          or distribution_logits.ndim != 3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0073          or distribution_logits.shape[-1] != 4 * reg_max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0074          or not distribution_logits.is_floating_point()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0075      ):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0076          raise ValueError(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0077              "distribution_logits must have shape [batch, anchors, 4*reg_max]"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0078          )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0079      logits = distribution_logits.reshape(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0080          *distribution_logits.shape[:2],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0081          4,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0082          reg_max,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0083      )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0084      probabilities = logits.softmax(dim=-1)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0085      log_probabilities = logits.log_softmax(dim=-1)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0086      entropy = -(probabilities * log_probabilities).sum(dim=-1)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0087      entropy = entropy.mean(dim=-1) / math.log(reg_max)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0088      return entropy.clamp(0.0, 1.0)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 xml:space="preserve">0089  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 xml:space="preserve">0090  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0091  def _non_negative_weight(value: object, field: str) -&gt; float: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0092      if (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0093          isinstance(value, bool)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0094          or not isinstance(value, (int, float))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0095          or not math.isfinite(float(value))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0096          or float(value) &lt; 0.0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0097      ):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0098          raise ValueError(f"{field} must be finite and non-negative")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0099      return float(value)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 xml:space="preserve">0100  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 xml:space="preserve">0101  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0102  def derive_localization_uncertainty(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0103      factors: torch.Tensor,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0104      dfl_entropy: torch.Tensor,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0105      *,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0106      factor_weights: tuple[float, float] = (1.0, 1.0),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0107      entropy_weight: float = 1.0,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0108  ) -&gt; torch.Tensor: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0109      """Fuse sampling, visibility and DFL ambiguity into one auditable score."""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 xml:space="preserve">0110  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0111      _validate_unit_tensor(factors, "factors")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0112      _validate_unit_tensor(dfl_entropy, "dfl_entropy")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0113      if factors.ndim &lt; 1 or factors.shape[-1] != 2: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0114          raise ValueError("factors must end with sampling and visibility")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0115      if factors.shape[:-1] != dfl_entropy.shape: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0116          raise ValueError("factor and DFL entropy shapes are incompatible")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0117      if not isinstance(factor_weights, tuple) or len(factor_weights) != 2: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0118          raise ValueError("factor_weights must contain exactly two values")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0119      sampling_weight = _non_negative_weight(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0120          factor_weights[0],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0121          "factor_weights[0]",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0122      )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0123      visibility_weight = _non_negative_weight(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0124          factor_weights[1],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0125          "factor_weights[1]",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0126      )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0127      entropy_weight = _non_negative_weight(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0128          entropy_weight,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0129          "entropy_weight",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0130      )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0131      denominator = sampling_weight + visibility_weight + entropy_weight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0132      if denominator &lt;= 0.0: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0133          raise ValueError("at least one uncertainty weight must be positive")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0134      return (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0135          sampling_weight * factors[..., 0]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0136          + visibility_weight * factors[..., 1]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0137          + entropy_weight * dfl_entropy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0138      ) / denominator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 xml:space="preserve">0139  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 xml:space="preserve">0140  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0141  def uncertainty_calibration_loss(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0142      predicted_uncertainty: torch.Tensor,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0143      localization_residual: torch.Tensor,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0144      *,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0145      valid_mask: torch.Tensor | None = None,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0146  ) -&gt; torch.Tensor: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0147      """Calibrate uncertainty to detached residuals without moving box targets."""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 xml:space="preserve">0148  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0149      if (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0150          not isinstance(predicted_uncertainty, torch.Tensor)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0151          or not isinstance(localization_residual, torch.Tensor)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0152          or predicted_uncertainty.shape != localization_residual.shape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0153      ):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0154          raise ValueError(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0155              "predicted uncertainty and localization residual must share shape"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0156          )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0157      target = localization_residual.detach().clamp(0.0, 1.0)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0158      elementwise = F.smooth_l1_loss(</w:t>
            </w:r>
          </w:p>
        </w:tc>
      </w:tr>
    </w:tbl>
    <w:p w14:paraId="6DAFB201">
      <w:pPr>
        <w:spacing w:before="60" w:after="140"/>
        <w:jc w:val="center"/>
      </w:pPr>
      <w:r>
        <w:rPr>
          <w:rFonts w:ascii="Arial" w:hAnsi="Arial" w:eastAsia="宋体"/>
          <w:b w:val="0"/>
          <w:color w:val="666666"/>
          <w:sz w:val="18"/>
        </w:rPr>
        <w:t>代码 2  accumulate 修复 callback（E:\myyolo\stage11-v177-accumulate-restoration-successor\cpu-development-262b00f25e524c3bb998beeaaad44e0b\ifdr_yolo\experiments\kitti_seed0_training_benchmark.py；SHA 3a9843a0da2d32c30ddf8f30268b4db7c8f094a67a468b458d935790cb322bbe）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4A0E54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0F7C3B">
            <w:pPr>
              <w:spacing w:after="0" w:line="240" w:lineRule="auto"/>
            </w:pPr>
            <w:r>
              <w:rPr>
                <w:rFonts w:ascii="Consolas" w:hAnsi="Consolas" w:eastAsia="微软雅黑"/>
                <w:b/>
                <w:color w:val="222222"/>
                <w:sz w:val="14"/>
              </w:rPr>
              <w:t>0128  class BenchmarkEpochResumeHook: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0129      """Reset loader state and preserve the otherwise-local warmup accumulation phase."""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 xml:space="preserve">0130  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0131      def __init__(self) -&gt; None: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0132          self._suppress_remaining = 0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0133          self._saved: tuple[str, int | float, int | None] | None = None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 xml:space="preserve">0134  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0135      def on_train_epoch_start(self, trainer: Any) -&gt; None: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0136          if self._suppress_remaining or self._saved is not None: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0137              raise BenchmarkIdentityError("benchmark accumulation callback has an unpaired batch")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0138          epoch = getattr(trainer, "epoch", None)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0139          if not isinstance(epoch, int) or epoch &lt; 0: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0140              raise BenchmarkIdentityError("train loader epoch must be a nonnegative integer")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0141          reset_train_loader_for_epoch(trainer)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0142          loader = trainer.train_loader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0143          nb = len(loader)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0144          args = getattr(trainer, "args", None)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0145          warmup_epochs = getattr(args, "warmup_epochs", None)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0146          batch_size = getattr(trainer, "batch_size", None)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0147          nbs = getattr(args, "nbs", None)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0148          if isinstance(nb, bool) or not isinstance(nb, int) or nb &lt;= 0: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0149              raise BenchmarkIdentityError("train loader has no positive batch count")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0150          if isinstance(warmup_epochs, bool) or not isinstance(warmup_epochs, (int, float)) or warmup_epochs &lt; 0: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0151              raise BenchmarkIdentityError("trainer has an invalid warmup setting")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0152          if isinstance(batch_size, bool) or not isinstance(batch_size, int) or batch_size &lt;= 0: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0153              raise BenchmarkIdentityError("trainer has no positive batch size")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0154          if isinstance(nbs, bool) or not isinstance(nbs, (int, float)) or nbs &lt;= 0: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0155              raise BenchmarkIdentityError("trainer has no positive nominal batch size")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0156          self._suppress_remaining = optimizer_step_offset_for_epoch(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0157              epoch=epoch, batches_per_epoch=nb, warmup_epochs=warmup_epochs, nominal_batch_size=nbs, batch_size=batch_size,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0158          )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 xml:space="preserve">0159  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0160      def on_train_batch_start(self, trainer: Any) -&gt; None: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0161          if self._saved is not None: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0162              raise BenchmarkIdentityError("benchmark accumulation callback has an unpaired batch")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0163          if not self._suppress_remaining: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0164              return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0165          args = getattr(trainer, "args", None)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0166          nbs = getattr(args, "nbs", None)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0167          batch_size = getattr(trainer, "batch_size", None)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0168          nb = len(trainer.train_loader)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0169          epoch = int(trainer.epoch)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0170          warmup_steps = max(round(args.warmup_epochs * nb), 100) if args.warmup_epochs &gt; 0 else -1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0171          ni = epoch * nb + (optimizer_step_offset_for_epoch(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0172              epoch=epoch, batches_per_epoch=nb, warmup_epochs=args.warmup_epochs, nominal_batch_size=nbs, batch_size=batch_size,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0173          ) - self._suppress_remaining)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0174          if not isinstance(nbs, (int, float)) or not isinstance(batch_size, int) or ni &lt; 0: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0175              raise BenchmarkIdentityError("benchmark accumulation phase is malformed")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0176          # BaseTrainer's local last_opt_step restarts at -1 after resume. Suppress only the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0177          # initial batches preceding the uninterrupted path's first optimizer step.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0178          if ni &lt;= warmup_steps: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0179              accumulate = getattr(trainer, "accumulate", None)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0180              if not isinstance(accumulate, int) or accumulate &lt; 1: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0181                  raise BenchmarkIdentityError("trainer has no positive warmup accumulation state")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0182              self._saved = ("nbs", nbs, accumulate)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0183              args.nbs = batch_size * (2 + (ni + 1) * warmup_steps / max(ni, 1))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0184          else: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0185              accumulate = getattr(trainer, "accumulate", None)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0186              if not isinstance(accumulate, int) or accumulate &lt; 1: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0187                  raise BenchmarkIdentityError("trainer has no positive accumulation state outside warmup")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0188              self._saved = ("accumulate", accumulate, None)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0189              trainer.accumulate = ni + 2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 xml:space="preserve">0190  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0191      def on_train_batch_end(self, trainer: Any) -&gt; None: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0192          if self._saved is None: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0193              return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0194          field, value, derived_accumulate = self._saved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0195          if field == "nbs":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0196              if derived_accumulate is None: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0197                  raise BenchmarkIdentityError("benchmark warmup accumulation state is incomplete")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0198              trainer.args.nbs = value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0199              trainer.accumulate = derived_accumulate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0200          else: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0201              if derived_accumulate is not None: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0202                  raise BenchmarkIdentityError("benchmark accumulation state is malformed")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0203              trainer.accumulate = value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0204          self._saved = None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0205          self._suppress_remaining -= 1</w:t>
            </w:r>
          </w:p>
        </w:tc>
      </w:tr>
    </w:tbl>
    <w:p w14:paraId="47A01F27">
      <w:pPr>
        <w:spacing w:before="60" w:after="140"/>
        <w:jc w:val="center"/>
      </w:pPr>
      <w:r>
        <w:rPr>
          <w:rFonts w:ascii="Arial" w:hAnsi="Arial" w:eastAsia="宋体"/>
          <w:b w:val="0"/>
          <w:color w:val="666666"/>
          <w:sz w:val="18"/>
        </w:rPr>
        <w:t>代码 3  PLAIN_P2 seed0 冻结配置（SHA 7789e8ee69ce28bc5ddf6dbd591d9920faa0d137fe0d39e347cab8958e5a1a0a）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22FCC4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AD6A2D">
            <w:pPr>
              <w:spacing w:after="0" w:line="240" w:lineRule="auto"/>
            </w:pPr>
            <w:r>
              <w:rPr>
                <w:rFonts w:ascii="Consolas" w:hAnsi="Consolas" w:eastAsia="微软雅黑"/>
                <w:b/>
                <w:color w:val="222222"/>
                <w:sz w:val="14"/>
              </w:rPr>
              <w:t>0001  schema_version: 1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0002  experiment: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0003    dataset: kitti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0004    model: yolov8m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0005    variant: p2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0006    seed: 0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0007  paths: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0008    model: models/kitti-p2-m.yaml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0009    model_sha256: 0d2cbd9215dc62c4c9920127964ce0ab61b5d10581861d8e83c33fc168aa302a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0010    data: configs/data/kitti_v2.yaml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0011    generated_data: data/processed/kitti_yolo_v2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0012    raw_images: kitti_raw/training/image_2/training/image_2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0013    raw_labels: kitti_raw/training/label_2/training/label_2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0014    train_ids: configs/splits/kitti_train.txt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0015    val_ids: configs/splits/kitti_val.txt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0016  initialization: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0017    pretrained: yolov8m.pt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0018    pretrained_sha256: 5d4a90cdc7a21786cc59cd19778e9eafff836df9e2da32524737c7ee6efe4fe5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0019    strategy: semantic_prefix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0020    max_layer: 15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0021    expected_items: 306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0022  training: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0023    epochs: 30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0024    imgsz: 640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0025    batch: 16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0026    workers: 8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0027    device: "0"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0028    optimizer: SGD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0029    lr0: 0.01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0030    lrf: 0.01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0031    momentum: 0.937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0032    weight_decay: 0.0005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0033    warmup_epochs: 3.0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0034    patience: 0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0035    amp: true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0036    deterministic: true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0037    cache: false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0038  prediction: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0039    conf: 0.001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0040    iou: 0.7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0041    max_det: 300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0042    half: false</w:t>
            </w:r>
          </w:p>
        </w:tc>
      </w:tr>
    </w:tbl>
    <w:p w14:paraId="144D600B">
      <w:pPr>
        <w:spacing w:before="60" w:after="140"/>
        <w:jc w:val="center"/>
      </w:pPr>
      <w:r>
        <w:rPr>
          <w:rFonts w:ascii="Arial" w:hAnsi="Arial" w:eastAsia="宋体"/>
          <w:b w:val="0"/>
          <w:color w:val="666666"/>
          <w:sz w:val="18"/>
        </w:rPr>
        <w:t>代码 4  DCLI seed0 冻结配置（SHA c7b23e0654921d9b46fae45ffa134e5c12baf518ed8a5549caa1443896cf1f29）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364D99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48B848">
            <w:pPr>
              <w:spacing w:after="0" w:line="240" w:lineRule="auto"/>
            </w:pPr>
            <w:r>
              <w:rPr>
                <w:rFonts w:ascii="Consolas" w:hAnsi="Consolas" w:eastAsia="微软雅黑"/>
                <w:b/>
                <w:color w:val="222222"/>
                <w:sz w:val="14"/>
              </w:rPr>
              <w:t>0001  schema_version: 1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0002  experiment: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0003    dataset: kitti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0004    model: yolov8m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0005    variant: ifdr-p2-interaction-b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0006    seed: 0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0007  paths: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0008    model: models/kitti-p2-m.yaml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0009    model_sha256: 0d2cbd9215dc62c4c9920127964ce0ab61b5d10581861d8e83c33fc168aa302a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0010    data: configs/data/kitti_v2.yaml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0011    generated_data: data/processed/kitti_yolo_v2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0012    raw_images: kitti_raw/training/image_2/training/image_2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0013    raw_labels: kitti_raw/training/label_2/training/label_2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0014    train_ids: configs/splits/kitti_train.txt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0015    val_ids: configs/splits/kitti_val.txt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0016  initialization: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0017    pretrained: yolov8m.pt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0018    pretrained_sha256: 5d4a90cdc7a21786cc59cd19778e9eafff836df9e2da32524737c7ee6efe4fe5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0019    strategy: semantic_prefix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0020    max_layer: 15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0021    expected_items: 306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0022  ifdr: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0023    reliability_channels: 32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0024    gradient_diagnostic_interval: 50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0025    p2_path_switches: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0026      nodes: [17]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0027      fusion_modulation: true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0028      dcli_factor_conditioning: true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0029    components: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0030      fusion_gate: false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0031      dcli: true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0032      factor_supervision: true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0033      interventions: true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0034      semantic_protection: false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0035      counterfactual_consistency: false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0036    schedule: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0037      frozen_epochs: 5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0038      ramp_epochs: 10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0039    intervention: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0040      base_seed: 0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0041      identity_probability: 0.2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0042      sampling_probability: 0.4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0043      visibility_probability: 0.4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0044      minimum_strength: 0.1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0045      maximum_strength: 0.8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0046    loss: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0047      dcli_beta: 0.5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0048      uncertainty_calibration_gain: 0.1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0049      factor_supervision_gain: 0.2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0050      factor_weights: [1.0, 1.0]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0051      dfl_entropy_weight: 1.0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0052      counterfactual_gain: 0.0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0053  training: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0054    epochs: 30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0055    imgsz: 640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0056    batch: 16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0057    workers: 8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0058    device: '0'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0059    optimizer: SGD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0060    lr0: 0.01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0061    lrf: 0.01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0062    momentum: 0.937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0063    weight_decay: 0.0005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0064    warmup_epochs: 3.0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0065    patience: 0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0066    amp: true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0067    deterministic: true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0068    cache: false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0069  prediction: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0070    conf: 0.001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0071    iou: 0.7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0072    max_det: 300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0073    half: false</w:t>
            </w:r>
          </w:p>
        </w:tc>
      </w:tr>
    </w:tbl>
    <w:p w14:paraId="2064B824"/>
    <w:sectPr>
      <w:headerReference r:id="rId5" w:type="default"/>
      <w:footerReference r:id="rId6" w:type="default"/>
      <w:pgSz w:w="11906" w:h="16838"/>
      <w:pgMar w:top="1134" w:right="1134" w:bottom="1020" w:left="1134" w:header="510" w:footer="51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F00413">
    <w:pPr>
      <w:pStyle w:val="34"/>
      <w:jc w:val="center"/>
    </w:pPr>
    <w:r>
      <w:rPr>
        <w:rFonts w:ascii="Arial" w:hAnsi="Arial" w:eastAsia="微软雅黑"/>
        <w:b w:val="0"/>
        <w:color w:val="666666"/>
        <w:sz w:val="17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Arial" w:hAnsi="Arial" w:eastAsia="微软雅黑"/>
        <w:b w:val="0"/>
        <w:color w:val="666666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CA45AC">
    <w:pPr>
      <w:pStyle w:val="17"/>
      <w:jc w:val="right"/>
    </w:pPr>
    <w:r>
      <w:rPr>
        <w:rFonts w:ascii="Arial" w:hAnsi="Arial" w:eastAsia="微软雅黑"/>
        <w:b w:val="0"/>
        <w:color w:val="666666"/>
        <w:sz w:val="17"/>
      </w:rPr>
      <w:t>IFDR-YOLO  |  五种子确认性实验教师决策版  |  2026-08-25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6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ACD3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</w:pPr>
    <w:rPr>
      <w:rFonts w:ascii="Arial" w:hAnsi="Arial" w:eastAsia="宋体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240" w:after="100"/>
      <w:outlineLvl w:val="0"/>
    </w:pPr>
    <w:rPr>
      <w:rFonts w:asciiTheme="majorHAnsi" w:hAnsiTheme="majorHAnsi" w:eastAsiaTheme="majorEastAsia" w:cstheme="majorBidi"/>
      <w:b/>
      <w:bCs/>
      <w:color w:val="1F4E78"/>
      <w:sz w:val="31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160" w:after="100"/>
      <w:outlineLvl w:val="1"/>
    </w:pPr>
    <w:rPr>
      <w:rFonts w:asciiTheme="majorHAnsi" w:hAnsiTheme="majorHAnsi" w:eastAsiaTheme="majorEastAsia" w:cstheme="majorBidi"/>
      <w:b/>
      <w:bCs/>
      <w:color w:val="2F75B5"/>
      <w:sz w:val="25"/>
      <w:szCs w:val="26"/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160" w:after="100"/>
      <w:outlineLvl w:val="2"/>
    </w:pPr>
    <w:rPr>
      <w:rFonts w:asciiTheme="majorHAnsi" w:hAnsiTheme="majorHAnsi" w:eastAsiaTheme="majorEastAsia" w:cstheme="majorBidi"/>
      <w:b/>
      <w:bCs/>
      <w:color w:val="2F75B5"/>
      <w:sz w:val="22"/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6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7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8">
    <w:name w:val="List 2"/>
    <w:basedOn w:val="1"/>
    <w:unhideWhenUsed/>
    <w:uiPriority w:val="99"/>
    <w:pPr>
      <w:ind w:left="720" w:hanging="360"/>
      <w:contextualSpacing/>
    </w:pPr>
  </w:style>
  <w:style w:type="paragraph" w:styleId="19">
    <w:name w:val="toc 2"/>
    <w:basedOn w:val="1"/>
    <w:next w:val="1"/>
    <w:semiHidden/>
    <w:unhideWhenUsed/>
    <w:uiPriority w:val="39"/>
    <w:pPr>
      <w:ind w:left="480" w:leftChars="200"/>
    </w:pPr>
  </w:style>
  <w:style w:type="paragraph" w:styleId="20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1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List"/>
    <w:basedOn w:val="1"/>
    <w:unhideWhenUsed/>
    <w:uiPriority w:val="99"/>
    <w:pPr>
      <w:ind w:left="360" w:hanging="360"/>
      <w:contextualSpacing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0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31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32">
    <w:name w:val="Body Text"/>
    <w:basedOn w:val="1"/>
    <w:link w:val="146"/>
    <w:unhideWhenUsed/>
    <w:uiPriority w:val="99"/>
    <w:pPr>
      <w:spacing w:after="120"/>
    </w:pPr>
  </w:style>
  <w:style w:type="paragraph" w:styleId="33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3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5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6">
    <w:name w:val="List 3"/>
    <w:basedOn w:val="1"/>
    <w:unhideWhenUsed/>
    <w:uiPriority w:val="99"/>
    <w:pPr>
      <w:ind w:left="1080" w:hanging="360"/>
      <w:contextualSpacing/>
    </w:pPr>
  </w:style>
  <w:style w:type="paragraph" w:styleId="37">
    <w:name w:val="List Continue 2"/>
    <w:basedOn w:val="1"/>
    <w:unhideWhenUsed/>
    <w:uiPriority w:val="99"/>
    <w:pPr>
      <w:spacing w:after="120"/>
      <w:ind w:left="720"/>
      <w:contextualSpacing/>
    </w:p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7"/>
    <w:qFormat/>
    <w:uiPriority w:val="99"/>
  </w:style>
  <w:style w:type="character" w:customStyle="1" w:styleId="138">
    <w:name w:val="Footer Char"/>
    <w:basedOn w:val="11"/>
    <w:link w:val="3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0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29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32"/>
    <w:uiPriority w:val="99"/>
  </w:style>
  <w:style w:type="character" w:customStyle="1" w:styleId="147">
    <w:name w:val="Body Text 2 Char"/>
    <w:basedOn w:val="11"/>
    <w:link w:val="22"/>
    <w:uiPriority w:val="99"/>
  </w:style>
  <w:style w:type="character" w:customStyle="1" w:styleId="148">
    <w:name w:val="Body Text 3 Char"/>
    <w:basedOn w:val="11"/>
    <w:link w:val="33"/>
    <w:uiPriority w:val="99"/>
    <w:rPr>
      <w:sz w:val="16"/>
      <w:szCs w:val="16"/>
    </w:rPr>
  </w:style>
  <w:style w:type="character" w:customStyle="1" w:styleId="1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IFDR-YOLO project</dc:creator>
  <dc:description>generated by python-docx</dc:description>
  <cp:keywords>KITTI, YOLO, DCLI, PLAIN_P2, AP_R40, five seeds</cp:keywords>
  <cp:lastModifiedBy>林展毅</cp:lastModifiedBy>
  <dcterms:modified xsi:type="dcterms:W3CDTF">2026-08-25T11:43:05Z</dcterms:modified>
  <dc:subject>KITTI Moderate AP_R40 | PLAIN_P2 vs DCLI | seeds0-4</dc:subject>
  <dc:title>IFDR-YOLO 五种子确认性实验最终教师决策报告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3076-12.1.0.28032</vt:lpwstr>
  </property>
  <property fmtid="{D5CDD505-2E9C-101B-9397-08002B2CF9AE}" pid="3" name="ICV">
    <vt:lpwstr>5E27E6951014454C906687A37695EF5D_12</vt:lpwstr>
  </property>
</Properties>
</file>