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65C328">
      <w:pPr>
        <w:rPr>
          <w:rFonts w:hint="eastAsia"/>
          <w:sz w:val="52"/>
        </w:rPr>
      </w:pPr>
      <w:bookmarkStart w:id="20" w:name="_GoBack"/>
      <w:bookmarkEnd w:id="20"/>
      <w:r>
        <w:rPr>
          <w:rFonts w:hint="eastAsia"/>
          <w:sz w:val="52"/>
          <w:lang/>
        </w:rPr>
        <w:t>二、项目开发计划</w:t>
      </w:r>
    </w:p>
    <w:p/>
    <w:p>
      <w:pPr>
        <w:pStyle w:val="13"/>
        <w:spacing w:line="276" w:lineRule="auto" w:after="0"/>
        <w:ind w:firstLine="0"/>
      </w:pPr>
      <w:r>
        <w:rPr>
          <w:rFonts w:ascii="Times New Roman" w:hAnsi="Times New Roman" w:eastAsia="宋体"/>
          <w:sz w:val="21"/>
        </w:rPr>
        <w:t>1．引言</w:t>
        <w:tab/>
        <w:t>2</w:t>
      </w:r>
    </w:p>
    <w:p>
      <w:pPr>
        <w:pStyle w:val="16"/>
        <w:spacing w:line="276" w:lineRule="auto" w:after="0"/>
        <w:ind w:firstLine="0"/>
      </w:pPr>
      <w:r>
        <w:rPr>
          <w:rFonts w:ascii="Times New Roman" w:hAnsi="Times New Roman" w:eastAsia="宋体"/>
          <w:sz w:val="21"/>
        </w:rPr>
        <w:t>1.1编写目的</w:t>
        <w:tab/>
        <w:t>2</w:t>
      </w:r>
    </w:p>
    <w:p>
      <w:pPr>
        <w:pStyle w:val="16"/>
        <w:spacing w:line="276" w:lineRule="auto" w:after="0"/>
        <w:ind w:firstLine="0"/>
      </w:pPr>
      <w:r>
        <w:rPr>
          <w:rFonts w:ascii="Times New Roman" w:hAnsi="Times New Roman" w:eastAsia="宋体"/>
          <w:sz w:val="21"/>
        </w:rPr>
        <w:t>1.2项目背景</w:t>
        <w:tab/>
        <w:t>2</w:t>
      </w:r>
    </w:p>
    <w:p>
      <w:pPr>
        <w:pStyle w:val="16"/>
        <w:spacing w:line="276" w:lineRule="auto" w:after="0"/>
        <w:ind w:firstLine="0"/>
      </w:pPr>
      <w:r>
        <w:rPr>
          <w:rFonts w:ascii="Times New Roman" w:hAnsi="Times New Roman" w:eastAsia="宋体"/>
          <w:sz w:val="21"/>
        </w:rPr>
        <w:t>1.3定义</w:t>
        <w:tab/>
        <w:t>3</w:t>
      </w:r>
    </w:p>
    <w:p>
      <w:pPr>
        <w:pStyle w:val="16"/>
        <w:spacing w:line="276" w:lineRule="auto" w:after="0"/>
        <w:ind w:firstLine="0"/>
      </w:pPr>
      <w:r>
        <w:rPr>
          <w:rFonts w:ascii="Times New Roman" w:hAnsi="Times New Roman" w:eastAsia="宋体"/>
          <w:sz w:val="21"/>
        </w:rPr>
        <w:t>1.4参考资料</w:t>
        <w:tab/>
        <w:t>4</w:t>
      </w:r>
    </w:p>
    <w:p>
      <w:pPr>
        <w:pStyle w:val="13"/>
        <w:spacing w:line="276" w:lineRule="auto" w:after="0"/>
        <w:ind w:firstLine="0"/>
      </w:pPr>
      <w:r>
        <w:rPr>
          <w:rFonts w:ascii="Times New Roman" w:hAnsi="Times New Roman" w:eastAsia="宋体"/>
          <w:sz w:val="21"/>
        </w:rPr>
        <w:t>2．项目概述</w:t>
        <w:tab/>
        <w:t>6</w:t>
      </w:r>
    </w:p>
    <w:p>
      <w:pPr>
        <w:pStyle w:val="16"/>
        <w:spacing w:line="276" w:lineRule="auto" w:after="0"/>
        <w:ind w:firstLine="0"/>
      </w:pPr>
      <w:r>
        <w:rPr>
          <w:rFonts w:ascii="Times New Roman" w:hAnsi="Times New Roman" w:eastAsia="宋体"/>
          <w:sz w:val="21"/>
        </w:rPr>
        <w:t>2.1工作内容</w:t>
        <w:tab/>
        <w:t>6</w:t>
      </w:r>
    </w:p>
    <w:p>
      <w:pPr>
        <w:pStyle w:val="16"/>
        <w:spacing w:line="276" w:lineRule="auto" w:after="0"/>
        <w:ind w:firstLine="0"/>
      </w:pPr>
      <w:r>
        <w:rPr>
          <w:rFonts w:ascii="Times New Roman" w:hAnsi="Times New Roman" w:eastAsia="宋体"/>
          <w:sz w:val="21"/>
        </w:rPr>
        <w:t>2.2条件与限制</w:t>
        <w:tab/>
        <w:t>8</w:t>
      </w:r>
    </w:p>
    <w:p>
      <w:pPr>
        <w:pStyle w:val="16"/>
        <w:spacing w:line="276" w:lineRule="auto" w:after="0"/>
        <w:ind w:firstLine="0"/>
      </w:pPr>
      <w:r>
        <w:rPr>
          <w:rFonts w:ascii="Times New Roman" w:hAnsi="Times New Roman" w:eastAsia="宋体"/>
          <w:sz w:val="21"/>
        </w:rPr>
        <w:t>2.3产品</w:t>
        <w:tab/>
        <w:t>9</w:t>
      </w:r>
    </w:p>
    <w:p>
      <w:pPr>
        <w:pStyle w:val="16"/>
        <w:spacing w:line="276" w:lineRule="auto" w:after="0"/>
        <w:ind w:firstLine="0"/>
      </w:pPr>
      <w:r>
        <w:rPr>
          <w:rFonts w:ascii="Times New Roman" w:hAnsi="Times New Roman" w:eastAsia="宋体"/>
          <w:sz w:val="21"/>
        </w:rPr>
        <w:t>2.4运行环境</w:t>
        <w:tab/>
        <w:t>11</w:t>
      </w:r>
    </w:p>
    <w:p>
      <w:pPr>
        <w:pStyle w:val="16"/>
        <w:spacing w:line="276" w:lineRule="auto" w:after="0"/>
        <w:ind w:firstLine="0"/>
      </w:pPr>
      <w:r>
        <w:rPr>
          <w:rFonts w:ascii="Times New Roman" w:hAnsi="Times New Roman" w:eastAsia="宋体"/>
          <w:sz w:val="21"/>
        </w:rPr>
        <w:t>2.5服务</w:t>
        <w:tab/>
        <w:t>12</w:t>
      </w:r>
    </w:p>
    <w:p>
      <w:pPr>
        <w:pStyle w:val="16"/>
        <w:spacing w:line="276" w:lineRule="auto" w:after="0"/>
        <w:ind w:firstLine="0"/>
      </w:pPr>
      <w:r>
        <w:rPr>
          <w:rFonts w:ascii="Times New Roman" w:hAnsi="Times New Roman" w:eastAsia="宋体"/>
          <w:sz w:val="21"/>
        </w:rPr>
        <w:t>2.6验收标准</w:t>
        <w:tab/>
        <w:t>13</w:t>
      </w:r>
    </w:p>
    <w:p>
      <w:pPr>
        <w:pStyle w:val="13"/>
        <w:spacing w:line="276" w:lineRule="auto" w:after="0"/>
        <w:ind w:firstLine="0"/>
      </w:pPr>
      <w:r>
        <w:rPr>
          <w:rFonts w:ascii="Times New Roman" w:hAnsi="Times New Roman" w:eastAsia="宋体"/>
          <w:sz w:val="21"/>
        </w:rPr>
        <w:t>3．实施计划</w:t>
        <w:tab/>
        <w:t>14</w:t>
      </w:r>
    </w:p>
    <w:p>
      <w:pPr>
        <w:pStyle w:val="16"/>
        <w:spacing w:line="276" w:lineRule="auto" w:after="0"/>
        <w:ind w:firstLine="0"/>
      </w:pPr>
      <w:r>
        <w:rPr>
          <w:rFonts w:ascii="Times New Roman" w:hAnsi="Times New Roman" w:eastAsia="宋体"/>
          <w:sz w:val="21"/>
        </w:rPr>
        <w:t>3.1任务分解</w:t>
        <w:tab/>
        <w:t>14</w:t>
      </w:r>
    </w:p>
    <w:p>
      <w:pPr>
        <w:pStyle w:val="16"/>
        <w:spacing w:line="276" w:lineRule="auto" w:after="0"/>
        <w:ind w:firstLine="0"/>
      </w:pPr>
      <w:r>
        <w:rPr>
          <w:rFonts w:ascii="Times New Roman" w:hAnsi="Times New Roman" w:eastAsia="宋体"/>
          <w:sz w:val="21"/>
        </w:rPr>
        <w:t>3.2进度</w:t>
        <w:tab/>
        <w:t>16</w:t>
      </w:r>
    </w:p>
    <w:p>
      <w:pPr>
        <w:pStyle w:val="16"/>
        <w:spacing w:line="276" w:lineRule="auto" w:after="0"/>
        <w:ind w:firstLine="0"/>
      </w:pPr>
      <w:r>
        <w:rPr>
          <w:rFonts w:ascii="Times New Roman" w:hAnsi="Times New Roman" w:eastAsia="宋体"/>
          <w:sz w:val="21"/>
        </w:rPr>
        <w:t>3.3预算</w:t>
        <w:tab/>
        <w:t>18</w:t>
      </w:r>
    </w:p>
    <w:p>
      <w:pPr>
        <w:pStyle w:val="16"/>
        <w:spacing w:line="276" w:lineRule="auto" w:after="0"/>
        <w:ind w:firstLine="0"/>
      </w:pPr>
      <w:r>
        <w:rPr>
          <w:rFonts w:ascii="Times New Roman" w:hAnsi="Times New Roman" w:eastAsia="宋体"/>
          <w:sz w:val="21"/>
        </w:rPr>
        <w:t>3.4关键问题</w:t>
        <w:tab/>
        <w:t>19</w:t>
      </w:r>
    </w:p>
    <w:p>
      <w:pPr>
        <w:pStyle w:val="13"/>
        <w:spacing w:line="276" w:lineRule="auto" w:after="0"/>
        <w:ind w:firstLine="0"/>
      </w:pPr>
      <w:r>
        <w:rPr>
          <w:rFonts w:ascii="Times New Roman" w:hAnsi="Times New Roman" w:eastAsia="宋体"/>
          <w:sz w:val="21"/>
        </w:rPr>
        <w:t>4．人员组织及分工</w:t>
        <w:tab/>
        <w:t>21</w:t>
      </w:r>
    </w:p>
    <w:p>
      <w:pPr>
        <w:pStyle w:val="13"/>
        <w:spacing w:line="276" w:lineRule="auto" w:after="0"/>
        <w:ind w:firstLine="0"/>
      </w:pPr>
      <w:r>
        <w:rPr>
          <w:rFonts w:ascii="Times New Roman" w:hAnsi="Times New Roman" w:eastAsia="宋体"/>
          <w:sz w:val="21"/>
        </w:rPr>
        <w:t>5．交付期限</w:t>
        <w:tab/>
        <w:t>22</w:t>
      </w:r>
    </w:p>
    <w:p>
      <w:pPr>
        <w:pStyle w:val="13"/>
        <w:spacing w:line="276" w:lineRule="auto" w:after="0"/>
        <w:ind w:firstLine="0"/>
      </w:pPr>
      <w:r>
        <w:rPr>
          <w:rFonts w:ascii="Times New Roman" w:hAnsi="Times New Roman" w:eastAsia="宋体"/>
          <w:sz w:val="21"/>
        </w:rPr>
        <w:t>6．专题计划要点</w:t>
        <w:tab/>
        <w:t>23</w:t>
      </w:r>
    </w:p>
    <w:p>
      <w:pPr>
        <w:ind w:firstLine="0"/>
      </w:pPr>
      <w:r>
        <w:br w:type="page"/>
      </w:r>
    </w:p>
    <w:p>
      <w:pPr>
        <w:pStyle w:val="2"/>
        <w:keepNext/>
      </w:pPr>
      <w:r>
        <w:rPr>
          <w:rFonts w:ascii="Times New Roman" w:hAnsi="Times New Roman" w:eastAsia="黑体"/>
          <w:b/>
        </w:rPr>
        <w:t>1．引言</w:t>
      </w:r>
    </w:p>
    <w:p>
      <w:pPr>
        <w:pStyle w:val="3"/>
        <w:keepNext/>
      </w:pPr>
      <w:r>
        <w:rPr>
          <w:rFonts w:ascii="Times New Roman" w:hAnsi="Times New Roman" w:eastAsia="黑体"/>
          <w:b/>
        </w:rPr>
        <w:t>1.1编写目的</w:t>
      </w:r>
    </w:p>
    <w:p>
      <w:pPr>
        <w:spacing w:line="360" w:lineRule="auto" w:after="80"/>
        <w:ind w:firstLine="420"/>
      </w:pPr>
      <w:r>
        <w:rPr>
          <w:rFonts w:ascii="Times New Roman" w:hAnsi="Times New Roman" w:eastAsia="宋体"/>
          <w:sz w:val="21"/>
        </w:rPr>
        <w:t>本文档用于说明 EvolveFlow 智能日程助理项目的开发目标、工作范围、组织方式、进度安排、资源投入、风险控制和交付验收依据。项目开发计划既是开发团队执行工作的计划性文件，也是课程评审、设计审查和后续测试验收的共同基线，因此文档尽量把“做什么、由谁做、何时完成、如何验证”写成可以落地执行的安排。</w:t>
      </w:r>
    </w:p>
    <w:p>
      <w:pPr>
        <w:spacing w:line="360" w:lineRule="auto" w:after="80"/>
        <w:ind w:firstLine="420"/>
      </w:pPr>
      <w:r>
        <w:rPr>
          <w:rFonts w:ascii="Times New Roman" w:hAnsi="Times New Roman" w:eastAsia="宋体"/>
          <w:sz w:val="21"/>
        </w:rPr>
        <w:t>EvolveFlow 的目标不是制作一个只能录入任务的普通待办工具，而是形成一个本地优先、具有真实模型推理与工具调用能力的桌面日程助手。开发计划需要同时覆盖传统软件工程工作和 AI agent 工程工作，包括需求分析、领域服务、SQLite 存储、Tauri 桌面端、Node sidecar、模型消息接口、能力注册表、工具调用闭环、审计撤销、备份恢复、测试与打包发布等内容。</w:t>
      </w:r>
    </w:p>
    <w:p>
      <w:pPr>
        <w:spacing w:line="360" w:lineRule="auto" w:after="80"/>
        <w:ind w:firstLine="420"/>
      </w:pPr>
      <w:r>
        <w:rPr>
          <w:rFonts w:ascii="Times New Roman" w:hAnsi="Times New Roman" w:eastAsia="宋体"/>
          <w:sz w:val="21"/>
        </w:rPr>
        <w:t>本文档的主要读者包括孟天赐（2410250732，队长）、杨瑞熙（2410250115）、设计与开发成员、李思晴（2410250609）、课程评审人员以及后续可能接手维护的同学。阅读者可以据此了解项目开发的总体节奏，判断各项活动之间的依赖关系，并在阶段检查时根据验收标准对已完成产物进行客观核对。</w:t>
      </w:r>
    </w:p>
    <w:p>
      <w:pPr>
        <w:pStyle w:val="3"/>
        <w:keepNext/>
      </w:pPr>
      <w:r>
        <w:rPr>
          <w:rFonts w:ascii="Times New Roman" w:hAnsi="Times New Roman" w:eastAsia="黑体"/>
          <w:b/>
        </w:rPr>
        <w:t>1.2项目背景</w:t>
      </w:r>
    </w:p>
    <w:p>
      <w:pPr>
        <w:spacing w:line="360" w:lineRule="auto" w:after="80"/>
        <w:ind w:firstLine="420"/>
      </w:pPr>
      <w:r>
        <w:rPr>
          <w:rFonts w:ascii="Times New Roman" w:hAnsi="Times New Roman" w:eastAsia="宋体"/>
          <w:sz w:val="21"/>
        </w:rPr>
        <w:t>个人学习者和知识工作者常常同时面对课程、会议、项目、复习、临时事务等多类任务，传统待办清单只能记录事项，日历工具只能呈现固定时间块，二者之间缺少对任务时长、截止日期、精力分布、上下文偏好和不可移动安排的综合理解。EvolveFlow 选择智能日程作为课程项目主题，是因为它同时具备明确的业务边界、可验证的数据状态和适合 AI agent 发挥作用的自然语言入口。</w:t>
      </w:r>
    </w:p>
    <w:p>
      <w:pPr>
        <w:spacing w:line="360" w:lineRule="auto" w:after="80"/>
        <w:ind w:firstLine="420"/>
      </w:pPr>
      <w:r>
        <w:rPr>
          <w:rFonts w:ascii="Times New Roman" w:hAnsi="Times New Roman" w:eastAsia="宋体"/>
          <w:sz w:val="21"/>
        </w:rPr>
        <w:t>本项目的开发单位为 EvolveFlow 项目组，项目性质为软件工程课程综合实践。系统面向单机桌面场景运行，核心数据保存在本地 SQLite 数据库中，AI 运行时以 sidecar 方式与 Tauri 桌面端协同工作。与外部系统的关系主要体现在模型服务的调用、桌面系统通知、文件备份导出以及未来可能扩展的日历同步接口，现阶段不依赖中心化服务器保存用户数据。</w:t>
      </w:r>
    </w:p>
    <w:p>
      <w:pPr>
        <w:spacing w:line="360" w:lineRule="auto" w:after="80"/>
        <w:ind w:firstLine="420"/>
      </w:pPr>
      <w:r>
        <w:rPr>
          <w:rFonts w:ascii="Times New Roman" w:hAnsi="Times New Roman" w:eastAsia="宋体"/>
          <w:sz w:val="21"/>
        </w:rPr>
        <w:t>项目背景中的关键工程约束是安全和可控。AI 可以理解用户意图、调用工具、提出安排建议，但所有数据变更都必须经过本地能力注册表、领域服务校验和动作日志记录；用户锁定的任务、事件或手动安排必须被尊重；任何可变更操作都应保留撤销依据。该设计使系统能够展示真实 AI agent 能力，同时避免把模型输出直接当作数据库事实写入。</w:t>
      </w:r>
    </w:p>
    <w:p>
      <w:pPr>
        <w:spacing w:line="264" w:lineRule="auto" w:before="40" w:after="100"/>
        <w:ind w:firstLine="0"/>
        <w:jc w:val="center"/>
      </w:pPr>
      <w:r>
        <w:rPr>
          <w:rFonts w:ascii="Times New Roman" w:hAnsi="Times New Roman" w:eastAsia="宋体"/>
          <w:sz w:val="19"/>
        </w:rPr>
        <w:t>表 2 项目关系与边界说明</w:t>
      </w:r>
    </w:p>
    <w:tbl>
      <w:tblPr>
        <w:tblW w:type="dxa" w:w="8237"/>
        <w:tblLayout w:type="fixed"/>
        <w:tblLook w:firstColumn="1" w:firstRow="1" w:lastColumn="0" w:lastRow="0" w:noHBand="0" w:noVBand="1" w:val="04A0"/>
      </w:tblPr>
      <w:tblGrid>
        <w:gridCol w:w="1647"/>
        <w:gridCol w:w="3843"/>
        <w:gridCol w:w="2746"/>
      </w:tblGrid>
      <w:tr>
        <w:trPr>
          <w:tblHeader w:val="true"/>
        </w:trPr>
        <w:tc>
          <w:tcPr>
            <w:tcW w:type="dxa" w:w="1647"/>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关系对象</w:t>
            </w:r>
          </w:p>
        </w:tc>
        <w:tc>
          <w:tcPr>
            <w:tcW w:type="dxa" w:w="3843"/>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关系说明</w:t>
            </w:r>
          </w:p>
        </w:tc>
        <w:tc>
          <w:tcPr>
            <w:tcW w:type="dxa" w:w="2746"/>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边界约束</w:t>
            </w:r>
          </w:p>
        </w:tc>
      </w:tr>
      <w:tr>
        <w:tc>
          <w:tcPr>
            <w:tcW w:type="dxa" w:w="164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课程实践</w:t>
            </w:r>
          </w:p>
        </w:tc>
        <w:tc>
          <w:tcPr>
            <w:tcW w:type="dxa" w:w="384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按照软件工程课程提交项目开发计划、需求规格、系统设计和测试报告</w:t>
            </w:r>
          </w:p>
        </w:tc>
        <w:tc>
          <w:tcPr>
            <w:tcW w:type="dxa" w:w="274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文档结构沿用课程模板，内容围绕实际工程产物展开</w:t>
            </w:r>
          </w:p>
        </w:tc>
      </w:tr>
      <w:tr>
        <w:tc>
          <w:tcPr>
            <w:tcW w:type="dxa" w:w="164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桌面用户</w:t>
            </w:r>
          </w:p>
        </w:tc>
        <w:tc>
          <w:tcPr>
            <w:tcW w:type="dxa" w:w="384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用户通过 Today、Tasks、Calendar、AI、Analytics、Settings 等页面管理个人日程</w:t>
            </w:r>
          </w:p>
        </w:tc>
        <w:tc>
          <w:tcPr>
            <w:tcW w:type="dxa" w:w="274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用户数据以本地保存为主，敏感配置不写入文档和界面说明</w:t>
            </w:r>
          </w:p>
        </w:tc>
      </w:tr>
      <w:tr>
        <w:tc>
          <w:tcPr>
            <w:tcW w:type="dxa" w:w="164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AI 模型服务</w:t>
            </w:r>
          </w:p>
        </w:tc>
        <w:tc>
          <w:tcPr>
            <w:tcW w:type="dxa" w:w="384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运行时通过兼容 Messages API 的模型接口完成理解、推理、工具选择和回复生成</w:t>
            </w:r>
          </w:p>
        </w:tc>
        <w:tc>
          <w:tcPr>
            <w:tcW w:type="dxa" w:w="274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模型不直接访问数据库，所有动作经 capability registry 执行</w:t>
            </w:r>
          </w:p>
        </w:tc>
      </w:tr>
      <w:tr>
        <w:tc>
          <w:tcPr>
            <w:tcW w:type="dxa" w:w="164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本地数据库</w:t>
            </w:r>
          </w:p>
        </w:tc>
        <w:tc>
          <w:tcPr>
            <w:tcW w:type="dxa" w:w="384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SQLite 承载任务、事件、日程块、提醒、偏好、动作日志、AI 会话和洞察</w:t>
            </w:r>
          </w:p>
        </w:tc>
        <w:tc>
          <w:tcPr>
            <w:tcW w:type="dxa" w:w="274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启用事务、外键、WAL、索引和备份校验</w:t>
            </w:r>
          </w:p>
        </w:tc>
      </w:tr>
      <w:tr>
        <w:tc>
          <w:tcPr>
            <w:tcW w:type="dxa" w:w="1647"/>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桌面运行环境</w:t>
            </w:r>
          </w:p>
        </w:tc>
        <w:tc>
          <w:tcPr>
            <w:tcW w:type="dxa" w:w="3843"/>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Tauri v2 负责窗口、IPC、sidecar 生命周期和安装包</w:t>
            </w:r>
          </w:p>
        </w:tc>
        <w:tc>
          <w:tcPr>
            <w:tcW w:type="dxa" w:w="2746"/>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发布产物需通过桌面启动、功能流和打包检查</w:t>
            </w:r>
          </w:p>
        </w:tc>
      </w:tr>
    </w:tbl>
    <w:p>
      <w:pPr>
        <w:spacing w:line="360" w:lineRule="auto" w:after="80"/>
        <w:ind w:firstLine="0"/>
      </w:pPr>
    </w:p>
    <w:p>
      <w:pPr>
        <w:pStyle w:val="3"/>
        <w:keepNext/>
      </w:pPr>
      <w:r>
        <w:rPr>
          <w:rFonts w:ascii="Times New Roman" w:hAnsi="Times New Roman" w:eastAsia="黑体"/>
          <w:b/>
        </w:rPr>
        <w:t>1.3定义</w:t>
      </w:r>
    </w:p>
    <w:p>
      <w:pPr>
        <w:spacing w:line="360" w:lineRule="auto" w:after="80"/>
        <w:ind w:firstLine="420"/>
      </w:pPr>
      <w:r>
        <w:rPr>
          <w:rFonts w:ascii="Times New Roman" w:hAnsi="Times New Roman" w:eastAsia="宋体"/>
          <w:sz w:val="21"/>
        </w:rPr>
        <w:t>为了避免开发、测试和评审阶段对核心概念产生偏差，本节对项目中高频出现的术语作统一说明。术语定义既来自通用软件工程语境，也来自 EvolveFlow 自身的领域模型，其中 AI agent、能力注册表、动作日志和锁定项是理解系统安全边界的重点。</w:t>
      </w:r>
    </w:p>
    <w:p>
      <w:pPr>
        <w:spacing w:line="264" w:lineRule="auto" w:before="40" w:after="100"/>
        <w:ind w:firstLine="0"/>
        <w:jc w:val="center"/>
      </w:pPr>
      <w:r>
        <w:rPr>
          <w:rFonts w:ascii="Times New Roman" w:hAnsi="Times New Roman" w:eastAsia="宋体"/>
          <w:sz w:val="19"/>
        </w:rPr>
        <w:t>表 3 术语与缩写定义</w:t>
      </w:r>
    </w:p>
    <w:tbl>
      <w:tblPr>
        <w:tblW w:type="dxa" w:w="8237"/>
        <w:tblLayout w:type="fixed"/>
        <w:tblLook w:firstColumn="1" w:firstRow="1" w:lastColumn="0" w:lastRow="0" w:noHBand="0" w:noVBand="1" w:val="04A0"/>
      </w:tblPr>
      <w:tblGrid>
        <w:gridCol w:w="1698"/>
        <w:gridCol w:w="6539"/>
      </w:tblGrid>
      <w:tr>
        <w:trPr>
          <w:tblHeader w:val="true"/>
        </w:trPr>
        <w:tc>
          <w:tcPr>
            <w:tcW w:type="dxa" w:w="1698"/>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术语</w:t>
            </w:r>
          </w:p>
        </w:tc>
        <w:tc>
          <w:tcPr>
            <w:tcW w:type="dxa" w:w="6539"/>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定义</w:t>
            </w:r>
          </w:p>
        </w:tc>
      </w:tr>
      <w:tr>
        <w:tc>
          <w:tcPr>
            <w:tcW w:type="dxa" w:w="169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AI agent</w:t>
            </w:r>
          </w:p>
        </w:tc>
        <w:tc>
          <w:tcPr>
            <w:tcW w:type="dxa" w:w="653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由模型负责理解意图和选择工具，由本地能力层负责执行动作的智能助理形态；本项目不把固定规则或关键词匹配称为 AI agent。</w:t>
            </w:r>
          </w:p>
        </w:tc>
      </w:tr>
      <w:tr>
        <w:tc>
          <w:tcPr>
            <w:tcW w:type="dxa" w:w="169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Capability</w:t>
            </w:r>
          </w:p>
        </w:tc>
        <w:tc>
          <w:tcPr>
            <w:tcW w:type="dxa" w:w="653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系统对外暴露的一项可调用能力，如 task.create、schedule.plan_day、backup.create 等，包含输入 schema、权限语义和处理函数。</w:t>
            </w:r>
          </w:p>
        </w:tc>
      </w:tr>
      <w:tr>
        <w:tc>
          <w:tcPr>
            <w:tcW w:type="dxa" w:w="169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Sidecar</w:t>
            </w:r>
          </w:p>
        </w:tc>
        <w:tc>
          <w:tcPr>
            <w:tcW w:type="dxa" w:w="653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由 Tauri 桌面端启动的 Node.js 运行时进程，负责 AI 会话、上下文构建、工具调用循环和 JSON-RPC 通信。</w:t>
            </w:r>
          </w:p>
        </w:tc>
      </w:tr>
      <w:tr>
        <w:tc>
          <w:tcPr>
            <w:tcW w:type="dxa" w:w="169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Local-first</w:t>
            </w:r>
          </w:p>
        </w:tc>
        <w:tc>
          <w:tcPr>
            <w:tcW w:type="dxa" w:w="653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业务数据优先保存在用户本机，网络模型服务只参与推理和回复，不作为主要数据存储位置。</w:t>
            </w:r>
          </w:p>
        </w:tc>
      </w:tr>
      <w:tr>
        <w:tc>
          <w:tcPr>
            <w:tcW w:type="dxa" w:w="169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Schedule Block</w:t>
            </w:r>
          </w:p>
        </w:tc>
        <w:tc>
          <w:tcPr>
            <w:tcW w:type="dxa" w:w="653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日程中的时间块，可以绑定任务或事件，并带有日期、开始时间、结束时间、锁定标记和手动安排标记。</w:t>
            </w:r>
          </w:p>
        </w:tc>
      </w:tr>
      <w:tr>
        <w:tc>
          <w:tcPr>
            <w:tcW w:type="dxa" w:w="169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Locked Item</w:t>
            </w:r>
          </w:p>
        </w:tc>
        <w:tc>
          <w:tcPr>
            <w:tcW w:type="dxa" w:w="653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用户明确锁定的任务、事件或日程块，自动排程和 AI 调整不得随意修改其关键字段。</w:t>
            </w:r>
          </w:p>
        </w:tc>
      </w:tr>
      <w:tr>
        <w:tc>
          <w:tcPr>
            <w:tcW w:type="dxa" w:w="169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Action Log</w:t>
            </w:r>
          </w:p>
        </w:tc>
        <w:tc>
          <w:tcPr>
            <w:tcW w:type="dxa" w:w="653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记录能力调用前后状态、操作者、来源、输入快照和撤销分组的审计数据。</w:t>
            </w:r>
          </w:p>
        </w:tc>
      </w:tr>
      <w:tr>
        <w:tc>
          <w:tcPr>
            <w:tcW w:type="dxa" w:w="169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Undo</w:t>
            </w:r>
          </w:p>
        </w:tc>
        <w:tc>
          <w:tcPr>
            <w:tcW w:type="dxa" w:w="653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基于动作日志中的状态快照回滚用户或 AI 造成的数据变更。</w:t>
            </w:r>
          </w:p>
        </w:tc>
      </w:tr>
      <w:tr>
        <w:tc>
          <w:tcPr>
            <w:tcW w:type="dxa" w:w="169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Dream Insight</w:t>
            </w:r>
          </w:p>
        </w:tc>
        <w:tc>
          <w:tcPr>
            <w:tcW w:type="dxa" w:w="653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系统在长期使用后对偏好和行为模式形成的可解释洞察，用于改进提醒、建议和安排策略。</w:t>
            </w:r>
          </w:p>
        </w:tc>
      </w:tr>
      <w:tr>
        <w:tc>
          <w:tcPr>
            <w:tcW w:type="dxa" w:w="1698"/>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WAL</w:t>
            </w:r>
          </w:p>
        </w:tc>
        <w:tc>
          <w:tcPr>
            <w:tcW w:type="dxa" w:w="6539"/>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SQLite Write-Ahead Logging 模式，用于提升本地数据库读写并发和恢复可靠性。</w:t>
            </w:r>
          </w:p>
        </w:tc>
      </w:tr>
    </w:tbl>
    <w:p>
      <w:pPr>
        <w:spacing w:line="360" w:lineRule="auto" w:after="80"/>
        <w:ind w:firstLine="0"/>
      </w:pPr>
    </w:p>
    <w:p>
      <w:pPr>
        <w:pStyle w:val="3"/>
        <w:keepNext/>
      </w:pPr>
      <w:r>
        <w:rPr>
          <w:rFonts w:ascii="Times New Roman" w:hAnsi="Times New Roman" w:eastAsia="黑体"/>
          <w:b/>
        </w:rPr>
        <w:t>1.4参考资料</w:t>
      </w:r>
    </w:p>
    <w:p>
      <w:pPr>
        <w:spacing w:line="360" w:lineRule="auto" w:after="80"/>
        <w:ind w:firstLine="420"/>
      </w:pPr>
      <w:r>
        <w:rPr>
          <w:rFonts w:ascii="Times New Roman" w:hAnsi="Times New Roman" w:eastAsia="宋体"/>
          <w:sz w:val="21"/>
        </w:rPr>
        <w:t>本文档参考的软件工程资料主要用于确定开发计划的组成要素、生命周期活动、风险管理方法、需求与验证关系，以及桌面端、本地数据库和 AI 工具调用相关的工程实践。参考资料以公开出版书籍、国际标准和官方技术文档为主，不把项目自身 README、源代码或仓库说明作为项目计划的外部参考文献。</w:t>
      </w:r>
    </w:p>
    <w:p>
      <w:pPr>
        <w:spacing w:line="360" w:lineRule="auto" w:after="80"/>
        <w:ind w:firstLine="420"/>
      </w:pPr>
      <w:r>
        <w:rPr>
          <w:rFonts w:ascii="Times New Roman" w:hAnsi="Times New Roman" w:eastAsia="宋体"/>
          <w:sz w:val="21"/>
        </w:rPr>
        <w:t>在项目实施过程中，团队仍会阅读内部架构说明和代码，但它们属于项目产物或工作资料，不列入本节的参考资料清单。这样处理可以保证本计划的依据来自可独立查验的工程规范和技术来源，也符合课程文档中对参考资料的要求。</w:t>
      </w:r>
    </w:p>
    <w:p>
      <w:pPr>
        <w:spacing w:line="264" w:lineRule="auto" w:before="40" w:after="100"/>
        <w:ind w:firstLine="0"/>
        <w:jc w:val="center"/>
      </w:pPr>
      <w:r>
        <w:rPr>
          <w:rFonts w:ascii="Times New Roman" w:hAnsi="Times New Roman" w:eastAsia="宋体"/>
          <w:sz w:val="19"/>
        </w:rPr>
        <w:t>表 1 参考资料清单</w:t>
      </w:r>
    </w:p>
    <w:tbl>
      <w:tblPr>
        <w:tblW w:type="dxa" w:w="8235"/>
        <w:tblLayout w:type="fixed"/>
        <w:tblLook w:firstColumn="1" w:firstRow="1" w:lastColumn="0" w:lastRow="0" w:noHBand="0" w:noVBand="1" w:val="04A0"/>
      </w:tblPr>
      <w:tblGrid>
        <w:gridCol w:w="557"/>
        <w:gridCol w:w="1672"/>
        <w:gridCol w:w="2786"/>
        <w:gridCol w:w="1300"/>
        <w:gridCol w:w="1920"/>
      </w:tblGrid>
      <w:tr>
        <w:trPr>
          <w:tblHeader w:val="true"/>
        </w:trPr>
        <w:tc>
          <w:tcPr>
            <w:tcW w:type="dxa" w:w="557"/>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序号</w:t>
            </w:r>
          </w:p>
        </w:tc>
        <w:tc>
          <w:tcPr>
            <w:tcW w:type="dxa" w:w="1672"/>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作者或机构</w:t>
            </w:r>
          </w:p>
        </w:tc>
        <w:tc>
          <w:tcPr>
            <w:tcW w:type="dxa" w:w="2786"/>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资料名称</w:t>
            </w:r>
          </w:p>
        </w:tc>
        <w:tc>
          <w:tcPr>
            <w:tcW w:type="dxa" w:w="1300"/>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出版或来源</w:t>
            </w:r>
          </w:p>
        </w:tc>
        <w:tc>
          <w:tcPr>
            <w:tcW w:type="dxa" w:w="1920"/>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本文档采用方式</w:t>
            </w:r>
          </w:p>
        </w:tc>
      </w:tr>
      <w:tr>
        <w:tc>
          <w:tcPr>
            <w:tcW w:type="dxa" w:w="55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1</w:t>
            </w:r>
          </w:p>
        </w:tc>
        <w:tc>
          <w:tcPr>
            <w:tcW w:type="dxa" w:w="1672"/>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Roger S. Pressman, Bruce R. Maxim</w:t>
            </w:r>
          </w:p>
        </w:tc>
        <w:tc>
          <w:tcPr>
            <w:tcW w:type="dxa" w:w="278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Software Engineering: A Practitioner's Approach, 9th Edition</w:t>
            </w:r>
          </w:p>
        </w:tc>
        <w:tc>
          <w:tcPr>
            <w:tcW w:type="dxa" w:w="130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McGraw-Hill, 2020</w:t>
            </w:r>
          </w:p>
        </w:tc>
        <w:tc>
          <w:tcPr>
            <w:tcW w:type="dxa" w:w="192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用于项目过程、质量保证和风险管理参考</w:t>
            </w:r>
          </w:p>
        </w:tc>
      </w:tr>
      <w:tr>
        <w:tc>
          <w:tcPr>
            <w:tcW w:type="dxa" w:w="55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2</w:t>
            </w:r>
          </w:p>
        </w:tc>
        <w:tc>
          <w:tcPr>
            <w:tcW w:type="dxa" w:w="1672"/>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Ian Sommerville</w:t>
            </w:r>
          </w:p>
        </w:tc>
        <w:tc>
          <w:tcPr>
            <w:tcW w:type="dxa" w:w="278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Software Engineering, 10th Edition</w:t>
            </w:r>
          </w:p>
        </w:tc>
        <w:tc>
          <w:tcPr>
            <w:tcW w:type="dxa" w:w="130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Pearson, 2015</w:t>
            </w:r>
          </w:p>
        </w:tc>
        <w:tc>
          <w:tcPr>
            <w:tcW w:type="dxa" w:w="192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用于需求、体系结构和工程管理参考</w:t>
            </w:r>
          </w:p>
        </w:tc>
      </w:tr>
      <w:tr>
        <w:tc>
          <w:tcPr>
            <w:tcW w:type="dxa" w:w="55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3</w:t>
            </w:r>
          </w:p>
        </w:tc>
        <w:tc>
          <w:tcPr>
            <w:tcW w:type="dxa" w:w="167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ISO/IEC/IEEE</w:t>
            </w:r>
          </w:p>
        </w:tc>
        <w:tc>
          <w:tcPr>
            <w:tcW w:type="dxa" w:w="278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ISO/IEC/IEEE 29148:2018 Systems and software engineering -- Requirements engineering</w:t>
            </w:r>
          </w:p>
        </w:tc>
        <w:tc>
          <w:tcPr>
            <w:tcW w:type="dxa" w:w="130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2018</w:t>
            </w:r>
          </w:p>
        </w:tc>
        <w:tc>
          <w:tcPr>
            <w:tcW w:type="dxa" w:w="192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用于需求规格、需求可追踪和验收口径参考</w:t>
            </w:r>
          </w:p>
        </w:tc>
      </w:tr>
      <w:tr>
        <w:tc>
          <w:tcPr>
            <w:tcW w:type="dxa" w:w="55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4</w:t>
            </w:r>
          </w:p>
        </w:tc>
        <w:tc>
          <w:tcPr>
            <w:tcW w:type="dxa" w:w="167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ISO/IEC/IEEE</w:t>
            </w:r>
          </w:p>
        </w:tc>
        <w:tc>
          <w:tcPr>
            <w:tcW w:type="dxa" w:w="278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ISO/IEC/IEEE 12207:2017 Systems and software engineering -- Software life cycle processes</w:t>
            </w:r>
          </w:p>
        </w:tc>
        <w:tc>
          <w:tcPr>
            <w:tcW w:type="dxa" w:w="130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2017</w:t>
            </w:r>
          </w:p>
        </w:tc>
        <w:tc>
          <w:tcPr>
            <w:tcW w:type="dxa" w:w="192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用于生命周期过程、交付物和配置管理参考</w:t>
            </w:r>
          </w:p>
        </w:tc>
      </w:tr>
      <w:tr>
        <w:tc>
          <w:tcPr>
            <w:tcW w:type="dxa" w:w="55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5</w:t>
            </w:r>
          </w:p>
        </w:tc>
        <w:tc>
          <w:tcPr>
            <w:tcW w:type="dxa" w:w="1672"/>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IEEE Computer Society</w:t>
            </w:r>
          </w:p>
        </w:tc>
        <w:tc>
          <w:tcPr>
            <w:tcW w:type="dxa" w:w="278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IEEE Std 1012-2016 System, Software, and Hardware Verification and Validation</w:t>
            </w:r>
          </w:p>
        </w:tc>
        <w:tc>
          <w:tcPr>
            <w:tcW w:type="dxa" w:w="130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2016</w:t>
            </w:r>
          </w:p>
        </w:tc>
        <w:tc>
          <w:tcPr>
            <w:tcW w:type="dxa" w:w="192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用于验证确认、测试证据和评价结论参考</w:t>
            </w:r>
          </w:p>
        </w:tc>
      </w:tr>
      <w:tr>
        <w:tc>
          <w:tcPr>
            <w:tcW w:type="dxa" w:w="55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6</w:t>
            </w:r>
          </w:p>
        </w:tc>
        <w:tc>
          <w:tcPr>
            <w:tcW w:type="dxa" w:w="167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ISO/IEC/IEEE</w:t>
            </w:r>
          </w:p>
        </w:tc>
        <w:tc>
          <w:tcPr>
            <w:tcW w:type="dxa" w:w="278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ISO/IEC/IEEE 29119-3:2021 Software and systems engineering -- Software testing -- Test documentation</w:t>
            </w:r>
          </w:p>
        </w:tc>
        <w:tc>
          <w:tcPr>
            <w:tcW w:type="dxa" w:w="130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2021</w:t>
            </w:r>
          </w:p>
        </w:tc>
        <w:tc>
          <w:tcPr>
            <w:tcW w:type="dxa" w:w="192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用于测试文档、测试项和测试结果记录参考</w:t>
            </w:r>
          </w:p>
        </w:tc>
      </w:tr>
      <w:tr>
        <w:tc>
          <w:tcPr>
            <w:tcW w:type="dxa" w:w="55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7</w:t>
            </w:r>
          </w:p>
        </w:tc>
        <w:tc>
          <w:tcPr>
            <w:tcW w:type="dxa" w:w="1672"/>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SQLite Consortium</w:t>
            </w:r>
          </w:p>
        </w:tc>
        <w:tc>
          <w:tcPr>
            <w:tcW w:type="dxa" w:w="278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SQLite Documentation: Write-Ahead Logging, PRAGMA statements, file format</w:t>
            </w:r>
          </w:p>
        </w:tc>
        <w:tc>
          <w:tcPr>
            <w:tcW w:type="dxa" w:w="130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官方文档</w:t>
            </w:r>
          </w:p>
        </w:tc>
        <w:tc>
          <w:tcPr>
            <w:tcW w:type="dxa" w:w="192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用于本地数据库、事务和备份策略参考</w:t>
            </w:r>
          </w:p>
        </w:tc>
      </w:tr>
      <w:tr>
        <w:tc>
          <w:tcPr>
            <w:tcW w:type="dxa" w:w="55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8</w:t>
            </w:r>
          </w:p>
        </w:tc>
        <w:tc>
          <w:tcPr>
            <w:tcW w:type="dxa" w:w="1672"/>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Tauri Contributors</w:t>
            </w:r>
          </w:p>
        </w:tc>
        <w:tc>
          <w:tcPr>
            <w:tcW w:type="dxa" w:w="278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Tauri 2.0 Documentation</w:t>
            </w:r>
          </w:p>
        </w:tc>
        <w:tc>
          <w:tcPr>
            <w:tcW w:type="dxa" w:w="130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官方文档</w:t>
            </w:r>
          </w:p>
        </w:tc>
        <w:tc>
          <w:tcPr>
            <w:tcW w:type="dxa" w:w="192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用于桌面应用架构、sidecar 和打包发布参考</w:t>
            </w:r>
          </w:p>
        </w:tc>
      </w:tr>
      <w:tr>
        <w:tc>
          <w:tcPr>
            <w:tcW w:type="dxa" w:w="55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9</w:t>
            </w:r>
          </w:p>
        </w:tc>
        <w:tc>
          <w:tcPr>
            <w:tcW w:type="dxa" w:w="1672"/>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Meta Open Source</w:t>
            </w:r>
          </w:p>
        </w:tc>
        <w:tc>
          <w:tcPr>
            <w:tcW w:type="dxa" w:w="278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React Documentation</w:t>
            </w:r>
          </w:p>
        </w:tc>
        <w:tc>
          <w:tcPr>
            <w:tcW w:type="dxa" w:w="130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官方文档</w:t>
            </w:r>
          </w:p>
        </w:tc>
        <w:tc>
          <w:tcPr>
            <w:tcW w:type="dxa" w:w="192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用于组件化界面、状态驱动渲染和错误边界参考</w:t>
            </w:r>
          </w:p>
        </w:tc>
      </w:tr>
      <w:tr>
        <w:tc>
          <w:tcPr>
            <w:tcW w:type="dxa" w:w="557"/>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10</w:t>
            </w:r>
          </w:p>
        </w:tc>
        <w:tc>
          <w:tcPr>
            <w:tcW w:type="dxa" w:w="1672"/>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Microsoft</w:t>
            </w:r>
          </w:p>
        </w:tc>
        <w:tc>
          <w:tcPr>
            <w:tcW w:type="dxa" w:w="2786"/>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TypeScript Handbook</w:t>
            </w:r>
          </w:p>
        </w:tc>
        <w:tc>
          <w:tcPr>
            <w:tcW w:type="dxa" w:w="1300"/>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官方文档</w:t>
            </w:r>
          </w:p>
        </w:tc>
        <w:tc>
          <w:tcPr>
            <w:tcW w:type="dxa" w:w="1920"/>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用于类型系统、接口定义和工程约束参考</w:t>
            </w:r>
          </w:p>
        </w:tc>
      </w:tr>
    </w:tbl>
    <w:p>
      <w:pPr>
        <w:spacing w:line="360" w:lineRule="auto" w:after="80"/>
        <w:ind w:firstLine="0"/>
      </w:pPr>
    </w:p>
    <w:p>
      <w:pPr>
        <w:pStyle w:val="2"/>
        <w:keepNext/>
      </w:pPr>
      <w:r>
        <w:rPr>
          <w:rFonts w:ascii="Times New Roman" w:hAnsi="Times New Roman" w:eastAsia="黑体"/>
          <w:b/>
        </w:rPr>
        <w:t>2．项目概述</w:t>
      </w:r>
    </w:p>
    <w:p>
      <w:pPr>
        <w:pStyle w:val="3"/>
        <w:keepNext/>
      </w:pPr>
      <w:r>
        <w:rPr>
          <w:rFonts w:ascii="Times New Roman" w:hAnsi="Times New Roman" w:eastAsia="黑体"/>
          <w:b/>
        </w:rPr>
        <w:t>2.1工作内容</w:t>
      </w:r>
    </w:p>
    <w:p>
      <w:pPr>
        <w:spacing w:line="360" w:lineRule="auto" w:after="80"/>
        <w:ind w:firstLine="420"/>
      </w:pPr>
      <w:r>
        <w:rPr>
          <w:rFonts w:ascii="Times New Roman" w:hAnsi="Times New Roman" w:eastAsia="宋体"/>
          <w:sz w:val="21"/>
        </w:rPr>
        <w:t>EvolveFlow 的工作内容分为产品需求、系统设计、核心实现、桌面体验、AI agent、测试验证和交付打包七个方面。产品需求阶段要把“用户如何描述任务、系统如何理解上下文、日程如何自动安排、用户如何纠错和撤销”转化为可验证的功能需求。系统设计阶段要建立本地数据库、领域服务、能力注册表、sidecar、桌面页面和模型接口之间的关系，明确哪些模块可以变更数据，哪些模块只负责展示或解释。</w:t>
      </w:r>
    </w:p>
    <w:p>
      <w:pPr>
        <w:spacing w:line="360" w:lineRule="auto" w:after="80"/>
        <w:ind w:firstLine="420"/>
      </w:pPr>
      <w:r>
        <w:rPr>
          <w:rFonts w:ascii="Times New Roman" w:hAnsi="Times New Roman" w:eastAsia="宋体"/>
          <w:sz w:val="21"/>
        </w:rPr>
        <w:t>核心实现阶段以 TypeScript 工作区为主体，完成 storage、domain、capabilities、runtime、cli、desktop-tauri 等包的协同。存储层负责 SQLite 初始化、迁移、WAL、备份、导出和清理；领域层负责任务、事件、提醒、日程、偏好、总结、记忆投影和撤销；能力层负责把领域服务封装成可审计、可幂等、可被 AI 和 UI 共用的能力；运行时负责模型消息、工具定义、会话上下文、流式输出和工具执行循环；桌面端负责用户可见的页面、组件、状态、降级提示和设置。</w:t>
      </w:r>
    </w:p>
    <w:p>
      <w:pPr>
        <w:spacing w:line="360" w:lineRule="auto" w:after="80"/>
        <w:ind w:firstLine="420"/>
      </w:pPr>
      <w:r>
        <w:rPr>
          <w:rFonts w:ascii="Times New Roman" w:hAnsi="Times New Roman" w:eastAsia="宋体"/>
          <w:sz w:val="21"/>
        </w:rPr>
        <w:t>AI agent 的开发不是附加聊天窗口，而是项目的核心工作之一。模型需要能够读取当前任务、事件、日程和偏好上下文，判断是否需要调用工具，在工具返回后继续组织自然语言回复。计划中要求模型相关功能必须通过真实模型接口和工具调用机制验证，不能把关键词匹配、固定模板回复或静态规则当作 agent 能力。</w:t>
      </w:r>
    </w:p>
    <w:p>
      <w:pPr>
        <w:ind w:firstLine="0"/>
        <w:jc w:val="center"/>
      </w:pPr>
      <w:r>
        <w:drawing>
          <wp:inline xmlns:a="http://schemas.openxmlformats.org/drawingml/2006/main" xmlns:pic="http://schemas.openxmlformats.org/drawingml/2006/picture">
            <wp:extent cx="5074920" cy="2856160"/>
            <wp:docPr id="1" name="Picture 1"/>
            <wp:cNvGraphicFramePr>
              <a:graphicFrameLocks noChangeAspect="1"/>
            </wp:cNvGraphicFramePr>
            <a:graphic>
              <a:graphicData uri="http://schemas.openxmlformats.org/drawingml/2006/picture">
                <pic:pic>
                  <pic:nvPicPr>
                    <pic:cNvPr id="0" name="arch.png"/>
                    <pic:cNvPicPr/>
                  </pic:nvPicPr>
                  <pic:blipFill>
                    <a:blip r:embed="rId8"/>
                    <a:stretch>
                      <a:fillRect/>
                    </a:stretch>
                  </pic:blipFill>
                  <pic:spPr>
                    <a:xfrm>
                      <a:off x="0" y="0"/>
                      <a:ext cx="5074920" cy="2856160"/>
                    </a:xfrm>
                    <a:prstGeom prst="rect"/>
                  </pic:spPr>
                </pic:pic>
              </a:graphicData>
            </a:graphic>
          </wp:inline>
        </w:drawing>
      </w:r>
    </w:p>
    <w:p>
      <w:pPr>
        <w:spacing w:line="264" w:lineRule="auto" w:before="40" w:after="100"/>
        <w:ind w:firstLine="0"/>
        <w:jc w:val="center"/>
      </w:pPr>
      <w:r>
        <w:rPr>
          <w:rFonts w:ascii="Times New Roman" w:hAnsi="Times New Roman" w:eastAsia="宋体"/>
          <w:sz w:val="19"/>
        </w:rPr>
        <w:t>图 1 EvolveFlow 项目总体架构图</w:t>
      </w:r>
    </w:p>
    <w:p>
      <w:pPr>
        <w:spacing w:line="264" w:lineRule="auto" w:before="40" w:after="100"/>
        <w:ind w:firstLine="0"/>
        <w:jc w:val="center"/>
      </w:pPr>
      <w:r>
        <w:rPr>
          <w:rFonts w:ascii="Times New Roman" w:hAnsi="Times New Roman" w:eastAsia="宋体"/>
          <w:sz w:val="19"/>
        </w:rPr>
        <w:t>表 4 主要工作内容与产出</w:t>
      </w:r>
    </w:p>
    <w:tbl>
      <w:tblPr>
        <w:tblW w:type="dxa" w:w="8238"/>
        <w:tblLayout w:type="fixed"/>
        <w:tblLook w:firstColumn="1" w:firstRow="1" w:lastColumn="0" w:lastRow="0" w:noHBand="0" w:noVBand="1" w:val="04A0"/>
      </w:tblPr>
      <w:tblGrid>
        <w:gridCol w:w="1436"/>
        <w:gridCol w:w="3869"/>
        <w:gridCol w:w="2933"/>
      </w:tblGrid>
      <w:tr>
        <w:trPr>
          <w:tblHeader w:val="true"/>
        </w:trPr>
        <w:tc>
          <w:tcPr>
            <w:tcW w:type="dxa" w:w="1436"/>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工作项</w:t>
            </w:r>
          </w:p>
        </w:tc>
        <w:tc>
          <w:tcPr>
            <w:tcW w:type="dxa" w:w="3869"/>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主要内容</w:t>
            </w:r>
          </w:p>
        </w:tc>
        <w:tc>
          <w:tcPr>
            <w:tcW w:type="dxa" w:w="2933"/>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阶段产出</w:t>
            </w:r>
          </w:p>
        </w:tc>
      </w:tr>
      <w:tr>
        <w:tc>
          <w:tcPr>
            <w:tcW w:type="dxa" w:w="143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需求分析</w:t>
            </w:r>
          </w:p>
        </w:tc>
        <w:tc>
          <w:tcPr>
            <w:tcW w:type="dxa" w:w="386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明确用户角色、业务场景、功能需求、非功能需求和故障处理要求</w:t>
            </w:r>
          </w:p>
        </w:tc>
        <w:tc>
          <w:tcPr>
            <w:tcW w:type="dxa" w:w="293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需求规格说明书、用例描述、需求追踪矩阵</w:t>
            </w:r>
          </w:p>
        </w:tc>
      </w:tr>
      <w:tr>
        <w:tc>
          <w:tcPr>
            <w:tcW w:type="dxa" w:w="143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架构设计</w:t>
            </w:r>
          </w:p>
        </w:tc>
        <w:tc>
          <w:tcPr>
            <w:tcW w:type="dxa" w:w="386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划分桌面端、AI runtime、能力层、领域层、存储层和备份恢复边界</w:t>
            </w:r>
          </w:p>
        </w:tc>
        <w:tc>
          <w:tcPr>
            <w:tcW w:type="dxa" w:w="293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系统设计说明书、模块接口说明、数据结构设计</w:t>
            </w:r>
          </w:p>
        </w:tc>
      </w:tr>
      <w:tr>
        <w:tc>
          <w:tcPr>
            <w:tcW w:type="dxa" w:w="143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核心领域实现</w:t>
            </w:r>
          </w:p>
        </w:tc>
        <w:tc>
          <w:tcPr>
            <w:tcW w:type="dxa" w:w="386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实现任务、事件、日程块、提醒、偏好、动作日志和撤销逻辑</w:t>
            </w:r>
          </w:p>
        </w:tc>
        <w:tc>
          <w:tcPr>
            <w:tcW w:type="dxa" w:w="293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可测试的 domain 与 storage 包</w:t>
            </w:r>
          </w:p>
        </w:tc>
      </w:tr>
      <w:tr>
        <w:tc>
          <w:tcPr>
            <w:tcW w:type="dxa" w:w="143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AI agent 实现</w:t>
            </w:r>
          </w:p>
        </w:tc>
        <w:tc>
          <w:tcPr>
            <w:tcW w:type="dxa" w:w="386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实现模型消息、工具定义、上下文构建、流式响应、工具调用和结果回写</w:t>
            </w:r>
          </w:p>
        </w:tc>
        <w:tc>
          <w:tcPr>
            <w:tcW w:type="dxa" w:w="293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runtime sidecar、AI 页面、连通性检查</w:t>
            </w:r>
          </w:p>
        </w:tc>
      </w:tr>
      <w:tr>
        <w:tc>
          <w:tcPr>
            <w:tcW w:type="dxa" w:w="143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桌面体验实现</w:t>
            </w:r>
          </w:p>
        </w:tc>
        <w:tc>
          <w:tcPr>
            <w:tcW w:type="dxa" w:w="386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实现 Today、Tasks、Calendar、AI、Analytics、Settings、Onboarding、BackupPanel 等页面组件</w:t>
            </w:r>
          </w:p>
        </w:tc>
        <w:tc>
          <w:tcPr>
            <w:tcW w:type="dxa" w:w="293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Tauri 桌面应用与交互流程</w:t>
            </w:r>
          </w:p>
        </w:tc>
      </w:tr>
      <w:tr>
        <w:tc>
          <w:tcPr>
            <w:tcW w:type="dxa" w:w="143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测试验证</w:t>
            </w:r>
          </w:p>
        </w:tc>
        <w:tc>
          <w:tcPr>
            <w:tcW w:type="dxa" w:w="386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执行单元、集成、构建、类型检查、桌面启动和打包验证</w:t>
            </w:r>
          </w:p>
        </w:tc>
        <w:tc>
          <w:tcPr>
            <w:tcW w:type="dxa" w:w="293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测试报告、缺陷记录、验收证据</w:t>
            </w:r>
          </w:p>
        </w:tc>
      </w:tr>
      <w:tr>
        <w:tc>
          <w:tcPr>
            <w:tcW w:type="dxa" w:w="1436"/>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交付发布</w:t>
            </w:r>
          </w:p>
        </w:tc>
        <w:tc>
          <w:tcPr>
            <w:tcW w:type="dxa" w:w="3869"/>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整理安装包、文档、运行说明和课程提交材料</w:t>
            </w:r>
          </w:p>
        </w:tc>
        <w:tc>
          <w:tcPr>
            <w:tcW w:type="dxa" w:w="2933"/>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最终提交版 DOCX、可运行应用和安装产物</w:t>
            </w:r>
          </w:p>
        </w:tc>
      </w:tr>
    </w:tbl>
    <w:p>
      <w:pPr>
        <w:spacing w:line="360" w:lineRule="auto" w:after="80"/>
        <w:ind w:firstLine="0"/>
      </w:pPr>
    </w:p>
    <w:p>
      <w:pPr>
        <w:spacing w:line="360" w:lineRule="auto" w:after="80"/>
        <w:ind w:firstLine="420"/>
      </w:pPr>
      <w:r>
        <w:rPr>
          <w:rFonts w:ascii="Times New Roman" w:hAnsi="Times New Roman" w:eastAsia="宋体"/>
          <w:sz w:val="21"/>
        </w:rPr>
        <w:t>在产品实现工作中，项目组将用户可见功能与后台能力同步推进。用户可见功能包括任务列表、日历视图、AI 对话、今日面板、统计分析、设置与备份；后台能力包括数据库迁移、领域服务、能力注册、模型工具转换、sidecar 通信、动作日志和撤销。每一项可见功能都必须有可追溯的后台能力支撑，不能只在页面上模拟状态。</w:t>
      </w:r>
    </w:p>
    <w:p>
      <w:pPr>
        <w:spacing w:line="360" w:lineRule="auto" w:after="80"/>
        <w:ind w:firstLine="420"/>
      </w:pPr>
      <w:r>
        <w:rPr>
          <w:rFonts w:ascii="Times New Roman" w:hAnsi="Times New Roman" w:eastAsia="宋体"/>
          <w:sz w:val="21"/>
        </w:rPr>
        <w:t>AI agent 工作内容还包括测试语料和场景数据准备。团队需要准备包含课程、会议、长期任务、短时任务、截止任务、锁定安排、手动安排、冲突事件和偏好信号的数据集，用于观察模型是否能正确选择 task、event、schedule、history、undo 和 backup 等工具。没有这些场景，无法证明系统在真实使用中可靠。</w:t>
      </w:r>
    </w:p>
    <w:p>
      <w:pPr>
        <w:spacing w:line="360" w:lineRule="auto" w:after="80"/>
        <w:ind w:firstLine="420"/>
      </w:pPr>
      <w:r>
        <w:rPr>
          <w:rFonts w:ascii="Times New Roman" w:hAnsi="Times New Roman" w:eastAsia="宋体"/>
          <w:sz w:val="21"/>
        </w:rPr>
        <w:t>工作内容的收尾阶段包括安装包验证、文档视觉检查和敏感信息检查。项目中的模型密钥、调试日志、内部调试文本和用户隐私数据都不能出现在最终文档或演示材料中。交付材料应让评审看到产品能力、工程证据和规范文档，而不是看到开发过程中的临时配置。</w:t>
      </w:r>
    </w:p>
    <w:p>
      <w:pPr>
        <w:pStyle w:val="3"/>
        <w:keepNext/>
      </w:pPr>
      <w:r>
        <w:rPr>
          <w:rFonts w:ascii="Times New Roman" w:hAnsi="Times New Roman" w:eastAsia="黑体"/>
          <w:b/>
        </w:rPr>
        <w:t>2.2条件与限制</w:t>
      </w:r>
    </w:p>
    <w:p>
      <w:pPr>
        <w:spacing w:line="360" w:lineRule="auto" w:after="80"/>
        <w:ind w:firstLine="420"/>
      </w:pPr>
      <w:r>
        <w:rPr>
          <w:rFonts w:ascii="Times New Roman" w:hAnsi="Times New Roman" w:eastAsia="宋体"/>
          <w:sz w:val="21"/>
        </w:rPr>
        <w:t>项目已经具备较完整的工程基础：仓库采用 npm workspaces 管理多包，核心业务以 TypeScript 实现，桌面端采用 Tauri v2、React 和 Vite，数据库采用 better-sqlite3，测试以 Vitest 为主，Rust 工具链用于 Tauri 后端和安装包构建。这些条件使项目可以围绕真实桌面产品推进，而不是停留在演示型网页或单脚本原型。</w:t>
      </w:r>
    </w:p>
    <w:p>
      <w:pPr>
        <w:spacing w:line="360" w:lineRule="auto" w:after="80"/>
        <w:ind w:firstLine="420"/>
      </w:pPr>
      <w:r>
        <w:rPr>
          <w:rFonts w:ascii="Times New Roman" w:hAnsi="Times New Roman" w:eastAsia="宋体"/>
          <w:sz w:val="21"/>
        </w:rPr>
        <w:t>开发限制主要来自三个方面。第一是本地优先目标要求数据库、备份、撤销和隐私保护必须优先于炫技式功能，任何 AI 生成内容都不能绕过本地能力层直接写库。第二是模型服务存在网络和额度约束，因此测试要区分模型连通性测试、工具调用测试和离线降级测试，不能把一次模型失败误判为全部业务失败。第三是课程交付需要文档、代码、运行截图和安装包共同成立，开发计划必须给文档整理和视觉检查留出真实时间。</w:t>
      </w:r>
    </w:p>
    <w:p>
      <w:pPr>
        <w:spacing w:line="360" w:lineRule="auto" w:after="80"/>
        <w:ind w:firstLine="420"/>
      </w:pPr>
      <w:r>
        <w:rPr>
          <w:rFonts w:ascii="Times New Roman" w:hAnsi="Times New Roman" w:eastAsia="宋体"/>
          <w:sz w:val="21"/>
        </w:rPr>
        <w:t>团队尚需持续创造的条件包括稳定的模型服务配置、Windows 桌面运行环境、Tauri 打包依赖、视觉审查时间以及足够的测试数据。特别是 AI agent 场景需要准备带有冲突、锁定、截止日期、手动安排和偏好的数据集，用来验证模型建议与能力执行是否一致。仅靠空库聊天无法证明系统已经达到预期。</w:t>
      </w:r>
    </w:p>
    <w:p>
      <w:pPr>
        <w:spacing w:line="264" w:lineRule="auto" w:before="40" w:after="100"/>
        <w:ind w:firstLine="0"/>
        <w:jc w:val="center"/>
      </w:pPr>
      <w:r>
        <w:rPr>
          <w:rFonts w:ascii="Times New Roman" w:hAnsi="Times New Roman" w:eastAsia="宋体"/>
          <w:sz w:val="19"/>
        </w:rPr>
        <w:t>表 5 开发条件与限制</w:t>
      </w:r>
    </w:p>
    <w:tbl>
      <w:tblPr>
        <w:tblW w:type="dxa" w:w="8237"/>
        <w:tblLayout w:type="fixed"/>
        <w:tblLook w:firstColumn="1" w:firstRow="1" w:lastColumn="0" w:lastRow="0" w:noHBand="0" w:noVBand="1" w:val="04A0"/>
      </w:tblPr>
      <w:tblGrid>
        <w:gridCol w:w="1248"/>
        <w:gridCol w:w="3744"/>
        <w:gridCol w:w="3244"/>
      </w:tblGrid>
      <w:tr>
        <w:trPr>
          <w:tblHeader w:val="true"/>
        </w:trPr>
        <w:tc>
          <w:tcPr>
            <w:tcW w:type="dxa" w:w="1248"/>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类别</w:t>
            </w:r>
          </w:p>
        </w:tc>
        <w:tc>
          <w:tcPr>
            <w:tcW w:type="dxa" w:w="3744"/>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已具备条件</w:t>
            </w:r>
          </w:p>
        </w:tc>
        <w:tc>
          <w:tcPr>
            <w:tcW w:type="dxa" w:w="3244"/>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限制或需补充条件</w:t>
            </w:r>
          </w:p>
        </w:tc>
      </w:tr>
      <w:tr>
        <w:tc>
          <w:tcPr>
            <w:tcW w:type="dxa" w:w="124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人员</w:t>
            </w:r>
          </w:p>
        </w:tc>
        <w:tc>
          <w:tcPr>
            <w:tcW w:type="dxa" w:w="3744"/>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已明确 8 名成员的姓名、学号和具体工作包</w:t>
            </w:r>
          </w:p>
        </w:tc>
        <w:tc>
          <w:tcPr>
            <w:tcW w:type="dxa" w:w="3244"/>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课程周期有限，需要孟天赐统筹每日同步，避免责任交叉处无人验收</w:t>
            </w:r>
          </w:p>
        </w:tc>
      </w:tr>
      <w:tr>
        <w:tc>
          <w:tcPr>
            <w:tcW w:type="dxa" w:w="124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技术</w:t>
            </w:r>
          </w:p>
        </w:tc>
        <w:tc>
          <w:tcPr>
            <w:tcW w:type="dxa" w:w="3744"/>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TypeScript、React、Tauri、SQLite、Vitest 工程链路已经建立</w:t>
            </w:r>
          </w:p>
        </w:tc>
        <w:tc>
          <w:tcPr>
            <w:tcW w:type="dxa" w:w="3244"/>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打包和桌面验证依赖 Windows 本机环境</w:t>
            </w:r>
          </w:p>
        </w:tc>
      </w:tr>
      <w:tr>
        <w:tc>
          <w:tcPr>
            <w:tcW w:type="dxa" w:w="124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数据</w:t>
            </w:r>
          </w:p>
        </w:tc>
        <w:tc>
          <w:tcPr>
            <w:tcW w:type="dxa" w:w="3744"/>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本地 schema 覆盖任务、事件、日程、提醒、偏好、AI 会话和动作日志</w:t>
            </w:r>
          </w:p>
        </w:tc>
        <w:tc>
          <w:tcPr>
            <w:tcW w:type="dxa" w:w="3244"/>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需要构造足够多的边界测试数据</w:t>
            </w:r>
          </w:p>
        </w:tc>
      </w:tr>
      <w:tr>
        <w:tc>
          <w:tcPr>
            <w:tcW w:type="dxa" w:w="124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AI</w:t>
            </w:r>
          </w:p>
        </w:tc>
        <w:tc>
          <w:tcPr>
            <w:tcW w:type="dxa" w:w="3744"/>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运行时具备 Messages API、工具定义、会话和 sidecar 通信设计</w:t>
            </w:r>
          </w:p>
        </w:tc>
        <w:tc>
          <w:tcPr>
            <w:tcW w:type="dxa" w:w="3244"/>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模型连通性、token 成本和失败重试需要单独验证</w:t>
            </w:r>
          </w:p>
        </w:tc>
      </w:tr>
      <w:tr>
        <w:tc>
          <w:tcPr>
            <w:tcW w:type="dxa" w:w="124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质量</w:t>
            </w:r>
          </w:p>
        </w:tc>
        <w:tc>
          <w:tcPr>
            <w:tcW w:type="dxa" w:w="3744"/>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已有类型检查、单元测试、构建和 cargo check 检查点</w:t>
            </w:r>
          </w:p>
        </w:tc>
        <w:tc>
          <w:tcPr>
            <w:tcW w:type="dxa" w:w="3244"/>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仍需补充端到端桌面体验与真实用户视角审查</w:t>
            </w:r>
          </w:p>
        </w:tc>
      </w:tr>
      <w:tr>
        <w:tc>
          <w:tcPr>
            <w:tcW w:type="dxa" w:w="1248"/>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交付</w:t>
            </w:r>
          </w:p>
        </w:tc>
        <w:tc>
          <w:tcPr>
            <w:tcW w:type="dxa" w:w="3744"/>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可输出 DOCX 文档、桌面构建和安装包</w:t>
            </w:r>
          </w:p>
        </w:tc>
        <w:tc>
          <w:tcPr>
            <w:tcW w:type="dxa" w:w="3244"/>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最终提交前必须完成视觉检查和敏感信息检查</w:t>
            </w:r>
          </w:p>
        </w:tc>
      </w:tr>
    </w:tbl>
    <w:p>
      <w:pPr>
        <w:spacing w:line="360" w:lineRule="auto" w:after="80"/>
        <w:ind w:firstLine="0"/>
      </w:pPr>
    </w:p>
    <w:p>
      <w:pPr>
        <w:spacing w:line="360" w:lineRule="auto" w:after="80"/>
        <w:ind w:firstLine="420"/>
      </w:pPr>
      <w:r>
        <w:rPr>
          <w:rFonts w:ascii="Times New Roman" w:hAnsi="Times New Roman" w:eastAsia="宋体"/>
          <w:sz w:val="21"/>
        </w:rPr>
        <w:t>另一个现实限制是课程周期内无法长期观察用户行为，因此 Dream 洞察和偏好学习只能验证结构、通路和短期样例，不能声称已经完成长期个性化优化。计划中将这一点作为测试报告的限制说明，并把更长期的洞察质量评估放入后续迭代建议。</w:t>
      </w:r>
    </w:p>
    <w:p>
      <w:pPr>
        <w:spacing w:line="360" w:lineRule="auto" w:after="80"/>
        <w:ind w:firstLine="420"/>
      </w:pPr>
      <w:r>
        <w:rPr>
          <w:rFonts w:ascii="Times New Roman" w:hAnsi="Times New Roman" w:eastAsia="宋体"/>
          <w:sz w:val="21"/>
        </w:rPr>
        <w:t>项目还受到桌面安装环境差异的限制。Tauri 应用在开发环境中运行成功，并不等价于安装包在另一台机器上一定正常。为降低风险，实施计划要求至少在 release 构建后检查主窗口、页面资源、sidecar 启动、数据目录、备份路径和模型配置状态。</w:t>
      </w:r>
    </w:p>
    <w:p>
      <w:pPr>
        <w:spacing w:line="360" w:lineRule="auto" w:after="80"/>
        <w:ind w:firstLine="420"/>
      </w:pPr>
      <w:r>
        <w:rPr>
          <w:rFonts w:ascii="Times New Roman" w:hAnsi="Times New Roman" w:eastAsia="宋体"/>
          <w:sz w:val="21"/>
        </w:rPr>
        <w:t>文档工作也有格式限制。四份提交文档必须按照课程模板组织，标题、目录和章节顺序不能随意改造成商业方案书。扩写内容应放在模板已有章节下，通过自然段落、必要表格和少量图示说明项目，而不是新增大量脱离模板的章节。</w:t>
      </w:r>
    </w:p>
    <w:p>
      <w:pPr>
        <w:pStyle w:val="3"/>
        <w:keepNext/>
      </w:pPr>
      <w:r>
        <w:rPr>
          <w:rFonts w:ascii="Times New Roman" w:hAnsi="Times New Roman" w:eastAsia="黑体"/>
          <w:b/>
        </w:rPr>
        <w:t>2.3产品</w:t>
      </w:r>
    </w:p>
    <w:p>
      <w:pPr>
        <w:spacing w:line="360" w:lineRule="auto" w:after="80"/>
        <w:ind w:firstLine="420"/>
      </w:pPr>
      <w:r>
        <w:rPr>
          <w:rFonts w:ascii="Times New Roman" w:hAnsi="Times New Roman" w:eastAsia="宋体"/>
          <w:sz w:val="21"/>
        </w:rPr>
        <w:t>本项目的最终产品包括可运行的 EvolveFlow 桌面应用、配套 runtime sidecar、核心 TypeScript 包、SQLite 本地数据库结构、备份导出能力、测试用例与测试报告，以及课程要求的四份提交文档。产品交付的重点是可直接运行、可验证、可维护，而不是只展示少量页面的演示稿。</w:t>
      </w:r>
    </w:p>
    <w:p>
      <w:pPr>
        <w:pStyle w:val="4"/>
        <w:keepNext/>
      </w:pPr>
      <w:r>
        <w:rPr>
          <w:rFonts w:ascii="Times New Roman" w:hAnsi="Times New Roman" w:eastAsia="黑体"/>
          <w:b/>
        </w:rPr>
        <w:t>2.3.1程序</w:t>
      </w:r>
    </w:p>
    <w:p>
      <w:pPr>
        <w:spacing w:line="360" w:lineRule="auto" w:after="80"/>
        <w:ind w:firstLine="420"/>
      </w:pPr>
      <w:r>
        <w:rPr>
          <w:rFonts w:ascii="Times New Roman" w:hAnsi="Times New Roman" w:eastAsia="宋体"/>
          <w:sz w:val="21"/>
        </w:rPr>
        <w:t>应交付的程序分为桌面应用、运行时、共享能力包和辅助命令四类。桌面应用由 Tauri 负责承载，用户通过图形界面完成任务、日历、AI 对话和设置操作；运行时作为 sidecar 进程负责模型和工具调用；共享能力包为 UI、AI、CLI 提供同一套业务接口；辅助命令用于开发、测试、构建、备份和清理。</w:t>
      </w:r>
    </w:p>
    <w:p>
      <w:pPr>
        <w:spacing w:line="264" w:lineRule="auto" w:before="40" w:after="100"/>
        <w:ind w:firstLine="0"/>
        <w:jc w:val="center"/>
      </w:pPr>
      <w:r>
        <w:rPr>
          <w:rFonts w:ascii="Times New Roman" w:hAnsi="Times New Roman" w:eastAsia="宋体"/>
          <w:sz w:val="19"/>
        </w:rPr>
        <w:t>表 6 程序交付清单</w:t>
      </w:r>
    </w:p>
    <w:tbl>
      <w:tblPr>
        <w:tblW w:type="dxa" w:w="8237"/>
        <w:tblLayout w:type="fixed"/>
        <w:tblLook w:firstColumn="1" w:firstRow="1" w:lastColumn="0" w:lastRow="0" w:noHBand="0" w:noVBand="1" w:val="04A0"/>
      </w:tblPr>
      <w:tblGrid>
        <w:gridCol w:w="1984"/>
        <w:gridCol w:w="1863"/>
        <w:gridCol w:w="1863"/>
        <w:gridCol w:w="2526"/>
      </w:tblGrid>
      <w:tr>
        <w:trPr>
          <w:tblHeader w:val="true"/>
        </w:trPr>
        <w:tc>
          <w:tcPr>
            <w:tcW w:type="dxa" w:w="1984"/>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程序或包</w:t>
            </w:r>
          </w:p>
        </w:tc>
        <w:tc>
          <w:tcPr>
            <w:tcW w:type="dxa" w:w="1863"/>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语言与框架</w:t>
            </w:r>
          </w:p>
        </w:tc>
        <w:tc>
          <w:tcPr>
            <w:tcW w:type="dxa" w:w="1863"/>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存储形式</w:t>
            </w:r>
          </w:p>
        </w:tc>
        <w:tc>
          <w:tcPr>
            <w:tcW w:type="dxa" w:w="2526"/>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交付说明</w:t>
            </w:r>
          </w:p>
        </w:tc>
      </w:tr>
      <w:tr>
        <w:tc>
          <w:tcPr>
            <w:tcW w:type="dxa" w:w="198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apps/desktop-tauri</w:t>
            </w:r>
          </w:p>
        </w:tc>
        <w:tc>
          <w:tcPr>
            <w:tcW w:type="dxa" w:w="186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React、Vite、Tauri v2、Rust</w:t>
            </w:r>
          </w:p>
        </w:tc>
        <w:tc>
          <w:tcPr>
            <w:tcW w:type="dxa" w:w="186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桌面应用源码、dist、release target</w:t>
            </w:r>
          </w:p>
        </w:tc>
        <w:tc>
          <w:tcPr>
            <w:tcW w:type="dxa" w:w="252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提供主窗口、页面路由、IPC、sidecar 管理和安装包</w:t>
            </w:r>
          </w:p>
        </w:tc>
      </w:tr>
      <w:tr>
        <w:tc>
          <w:tcPr>
            <w:tcW w:type="dxa" w:w="198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runtime</w:t>
            </w:r>
          </w:p>
        </w:tc>
        <w:tc>
          <w:tcPr>
            <w:tcW w:type="dxa" w:w="186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TypeScript、Node.js</w:t>
            </w:r>
          </w:p>
        </w:tc>
        <w:tc>
          <w:tcPr>
            <w:tcW w:type="dxa" w:w="186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sidecar 源码与构建产物</w:t>
            </w:r>
          </w:p>
        </w:tc>
        <w:tc>
          <w:tcPr>
            <w:tcW w:type="dxa" w:w="252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提供 AI 会话、模型客户端、工具定义、上下文构建和流式输出</w:t>
            </w:r>
          </w:p>
        </w:tc>
      </w:tr>
      <w:tr>
        <w:tc>
          <w:tcPr>
            <w:tcW w:type="dxa" w:w="198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packages/evolveflow-storage</w:t>
            </w:r>
          </w:p>
        </w:tc>
        <w:tc>
          <w:tcPr>
            <w:tcW w:type="dxa" w:w="186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TypeScript、better-sqlite3</w:t>
            </w:r>
          </w:p>
        </w:tc>
        <w:tc>
          <w:tcPr>
            <w:tcW w:type="dxa" w:w="186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npm workspace 包</w:t>
            </w:r>
          </w:p>
        </w:tc>
        <w:tc>
          <w:tcPr>
            <w:tcW w:type="dxa" w:w="252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提供数据库迁移、WAL、备份、导出和清理</w:t>
            </w:r>
          </w:p>
        </w:tc>
      </w:tr>
      <w:tr>
        <w:tc>
          <w:tcPr>
            <w:tcW w:type="dxa" w:w="198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packages/evolveflow-domain</w:t>
            </w:r>
          </w:p>
        </w:tc>
        <w:tc>
          <w:tcPr>
            <w:tcW w:type="dxa" w:w="186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TypeScript</w:t>
            </w:r>
          </w:p>
        </w:tc>
        <w:tc>
          <w:tcPr>
            <w:tcW w:type="dxa" w:w="186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npm workspace 包</w:t>
            </w:r>
          </w:p>
        </w:tc>
        <w:tc>
          <w:tcPr>
            <w:tcW w:type="dxa" w:w="252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提供任务、事件、日程、提醒、偏好、总结、撤销等领域服务</w:t>
            </w:r>
          </w:p>
        </w:tc>
      </w:tr>
      <w:tr>
        <w:tc>
          <w:tcPr>
            <w:tcW w:type="dxa" w:w="198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packages/evolveflow-capabilities</w:t>
            </w:r>
          </w:p>
        </w:tc>
        <w:tc>
          <w:tcPr>
            <w:tcW w:type="dxa" w:w="186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TypeScript</w:t>
            </w:r>
          </w:p>
        </w:tc>
        <w:tc>
          <w:tcPr>
            <w:tcW w:type="dxa" w:w="186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npm workspace 包</w:t>
            </w:r>
          </w:p>
        </w:tc>
        <w:tc>
          <w:tcPr>
            <w:tcW w:type="dxa" w:w="252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提供统一 capability registry、校验、幂等和动作日志包装</w:t>
            </w:r>
          </w:p>
        </w:tc>
      </w:tr>
      <w:tr>
        <w:tc>
          <w:tcPr>
            <w:tcW w:type="dxa" w:w="198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packages/evolveflow-cli</w:t>
            </w:r>
          </w:p>
        </w:tc>
        <w:tc>
          <w:tcPr>
            <w:tcW w:type="dxa" w:w="186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TypeScript、Commander</w:t>
            </w:r>
          </w:p>
        </w:tc>
        <w:tc>
          <w:tcPr>
            <w:tcW w:type="dxa" w:w="186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CLI 构建产物</w:t>
            </w:r>
          </w:p>
        </w:tc>
        <w:tc>
          <w:tcPr>
            <w:tcW w:type="dxa" w:w="252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提供命令行调试和能力调用入口</w:t>
            </w:r>
          </w:p>
        </w:tc>
      </w:tr>
      <w:tr>
        <w:tc>
          <w:tcPr>
            <w:tcW w:type="dxa" w:w="1984"/>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packages/evolveflow-ui-shared</w:t>
            </w:r>
          </w:p>
        </w:tc>
        <w:tc>
          <w:tcPr>
            <w:tcW w:type="dxa" w:w="1863"/>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TypeScript</w:t>
            </w:r>
          </w:p>
        </w:tc>
        <w:tc>
          <w:tcPr>
            <w:tcW w:type="dxa" w:w="1863"/>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共享类型与工具</w:t>
            </w:r>
          </w:p>
        </w:tc>
        <w:tc>
          <w:tcPr>
            <w:tcW w:type="dxa" w:w="2526"/>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提供 UI 可复用类型和辅助函数</w:t>
            </w:r>
          </w:p>
        </w:tc>
      </w:tr>
    </w:tbl>
    <w:p>
      <w:pPr>
        <w:spacing w:line="360" w:lineRule="auto" w:after="80"/>
        <w:ind w:firstLine="0"/>
      </w:pPr>
    </w:p>
    <w:p>
      <w:pPr>
        <w:pStyle w:val="4"/>
        <w:keepNext/>
      </w:pPr>
      <w:r>
        <w:rPr>
          <w:rFonts w:ascii="Times New Roman" w:hAnsi="Times New Roman" w:eastAsia="黑体"/>
          <w:b/>
        </w:rPr>
        <w:t>2.3.2文档</w:t>
      </w:r>
    </w:p>
    <w:p>
      <w:pPr>
        <w:spacing w:line="360" w:lineRule="auto" w:after="80"/>
        <w:ind w:firstLine="420"/>
      </w:pPr>
      <w:r>
        <w:rPr>
          <w:rFonts w:ascii="Times New Roman" w:hAnsi="Times New Roman" w:eastAsia="宋体"/>
          <w:sz w:val="21"/>
        </w:rPr>
        <w:t>文档交付既包括课程提交文档，也包括面向后续维护的工程说明。课程提交文档按照给定模板组织，分别覆盖项目开发计划、需求规格说明书、系统设计说明书和测试报告；工程说明可保留在仓库中，用于开发人员了解架构、贡献流程和运行方式。二者服务对象不同，因此课程文档不直接复制仓库说明，而是把实际工程内容转写为规范化的软件工程材料。</w:t>
      </w:r>
    </w:p>
    <w:p>
      <w:pPr>
        <w:spacing w:line="264" w:lineRule="auto" w:before="40" w:after="100"/>
        <w:ind w:firstLine="0"/>
        <w:jc w:val="center"/>
      </w:pPr>
      <w:r>
        <w:rPr>
          <w:rFonts w:ascii="Times New Roman" w:hAnsi="Times New Roman" w:eastAsia="宋体"/>
          <w:sz w:val="19"/>
        </w:rPr>
        <w:t>表 7 文档交付清单</w:t>
      </w:r>
    </w:p>
    <w:tbl>
      <w:tblPr>
        <w:tblW w:type="dxa" w:w="8237"/>
        <w:tblLayout w:type="fixed"/>
        <w:tblLook w:firstColumn="1" w:firstRow="1" w:lastColumn="0" w:lastRow="0" w:noHBand="0" w:noVBand="1" w:val="04A0"/>
      </w:tblPr>
      <w:tblGrid>
        <w:gridCol w:w="1731"/>
        <w:gridCol w:w="1611"/>
        <w:gridCol w:w="3581"/>
        <w:gridCol w:w="1313"/>
      </w:tblGrid>
      <w:tr>
        <w:trPr>
          <w:tblHeader w:val="true"/>
        </w:trPr>
        <w:tc>
          <w:tcPr>
            <w:tcW w:type="dxa" w:w="1731"/>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文档名称</w:t>
            </w:r>
          </w:p>
        </w:tc>
        <w:tc>
          <w:tcPr>
            <w:tcW w:type="dxa" w:w="1611"/>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主要读者</w:t>
            </w:r>
          </w:p>
        </w:tc>
        <w:tc>
          <w:tcPr>
            <w:tcW w:type="dxa" w:w="3581"/>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内容重点</w:t>
            </w:r>
          </w:p>
        </w:tc>
        <w:tc>
          <w:tcPr>
            <w:tcW w:type="dxa" w:w="1313"/>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提交形式</w:t>
            </w:r>
          </w:p>
        </w:tc>
      </w:tr>
      <w:tr>
        <w:tc>
          <w:tcPr>
            <w:tcW w:type="dxa" w:w="1731"/>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项目开发计划</w:t>
            </w:r>
          </w:p>
        </w:tc>
        <w:tc>
          <w:tcPr>
            <w:tcW w:type="dxa" w:w="1611"/>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项目组、教师、评审人员</w:t>
            </w:r>
          </w:p>
        </w:tc>
        <w:tc>
          <w:tcPr>
            <w:tcW w:type="dxa" w:w="358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范围、计划、资源、风险、质量和验收</w:t>
            </w:r>
          </w:p>
        </w:tc>
        <w:tc>
          <w:tcPr>
            <w:tcW w:type="dxa" w:w="131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DOCX 最终提交版</w:t>
            </w:r>
          </w:p>
        </w:tc>
      </w:tr>
      <w:tr>
        <w:tc>
          <w:tcPr>
            <w:tcW w:type="dxa" w:w="1731"/>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需求规格说明书</w:t>
            </w:r>
          </w:p>
        </w:tc>
        <w:tc>
          <w:tcPr>
            <w:tcW w:type="dxa" w:w="161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分析、设计、开发、测试人员</w:t>
            </w:r>
          </w:p>
        </w:tc>
        <w:tc>
          <w:tcPr>
            <w:tcW w:type="dxa" w:w="358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目标用户、功能需求、非功能需求、故障处理</w:t>
            </w:r>
          </w:p>
        </w:tc>
        <w:tc>
          <w:tcPr>
            <w:tcW w:type="dxa" w:w="131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DOCX 最终提交版</w:t>
            </w:r>
          </w:p>
        </w:tc>
      </w:tr>
      <w:tr>
        <w:tc>
          <w:tcPr>
            <w:tcW w:type="dxa" w:w="1731"/>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系统设计说明书</w:t>
            </w:r>
          </w:p>
        </w:tc>
        <w:tc>
          <w:tcPr>
            <w:tcW w:type="dxa" w:w="1611"/>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设计、开发、维护人员</w:t>
            </w:r>
          </w:p>
        </w:tc>
        <w:tc>
          <w:tcPr>
            <w:tcW w:type="dxa" w:w="358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对象模型、交互类、动态模型、数据结构、界面设计</w:t>
            </w:r>
          </w:p>
        </w:tc>
        <w:tc>
          <w:tcPr>
            <w:tcW w:type="dxa" w:w="131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DOCX 最终提交版</w:t>
            </w:r>
          </w:p>
        </w:tc>
      </w:tr>
      <w:tr>
        <w:tc>
          <w:tcPr>
            <w:tcW w:type="dxa" w:w="1731"/>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测试报告</w:t>
            </w:r>
          </w:p>
        </w:tc>
        <w:tc>
          <w:tcPr>
            <w:tcW w:type="dxa" w:w="161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李思晴（2410250609）、孟天赐（2410250732，队长）、评审人员</w:t>
            </w:r>
          </w:p>
        </w:tc>
        <w:tc>
          <w:tcPr>
            <w:tcW w:type="dxa" w:w="358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测试计划执行、测试结果、需求结论、评价建议</w:t>
            </w:r>
          </w:p>
        </w:tc>
        <w:tc>
          <w:tcPr>
            <w:tcW w:type="dxa" w:w="131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DOCX 最终提交版</w:t>
            </w:r>
          </w:p>
        </w:tc>
      </w:tr>
      <w:tr>
        <w:tc>
          <w:tcPr>
            <w:tcW w:type="dxa" w:w="1731"/>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运行与开发说明</w:t>
            </w:r>
          </w:p>
        </w:tc>
        <w:tc>
          <w:tcPr>
            <w:tcW w:type="dxa" w:w="1611"/>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后续维护人员</w:t>
            </w:r>
          </w:p>
        </w:tc>
        <w:tc>
          <w:tcPr>
            <w:tcW w:type="dxa" w:w="358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安装依赖、开发命令、构建命令、注意事项</w:t>
            </w:r>
          </w:p>
        </w:tc>
        <w:tc>
          <w:tcPr>
            <w:tcW w:type="dxa" w:w="131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仓库文档</w:t>
            </w:r>
          </w:p>
        </w:tc>
      </w:tr>
      <w:tr>
        <w:tc>
          <w:tcPr>
            <w:tcW w:type="dxa" w:w="1731"/>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测试证据记录</w:t>
            </w:r>
          </w:p>
        </w:tc>
        <w:tc>
          <w:tcPr>
            <w:tcW w:type="dxa" w:w="1611"/>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测试人员、评审人员</w:t>
            </w:r>
          </w:p>
        </w:tc>
        <w:tc>
          <w:tcPr>
            <w:tcW w:type="dxa" w:w="3581"/>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命令输出、页面截图、缺陷记录、验收证据</w:t>
            </w:r>
          </w:p>
        </w:tc>
        <w:tc>
          <w:tcPr>
            <w:tcW w:type="dxa" w:w="1313"/>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报告附属材料</w:t>
            </w:r>
          </w:p>
        </w:tc>
      </w:tr>
    </w:tbl>
    <w:p>
      <w:pPr>
        <w:spacing w:line="360" w:lineRule="auto" w:after="80"/>
        <w:ind w:firstLine="0"/>
      </w:pPr>
    </w:p>
    <w:p>
      <w:pPr>
        <w:pStyle w:val="3"/>
        <w:keepNext/>
      </w:pPr>
      <w:r>
        <w:rPr>
          <w:rFonts w:ascii="Times New Roman" w:hAnsi="Times New Roman" w:eastAsia="黑体"/>
          <w:b/>
        </w:rPr>
        <w:t>2.4运行环境</w:t>
      </w:r>
    </w:p>
    <w:p>
      <w:pPr>
        <w:spacing w:line="360" w:lineRule="auto" w:after="80"/>
        <w:ind w:firstLine="420"/>
      </w:pPr>
      <w:r>
        <w:rPr>
          <w:rFonts w:ascii="Times New Roman" w:hAnsi="Times New Roman" w:eastAsia="宋体"/>
          <w:sz w:val="21"/>
        </w:rPr>
        <w:t>EvolveFlow 的目标运行环境为 Windows 桌面系统，开发环境要求 Node.js、npm、Rust 工具链和 Tauri 依赖齐备。应用运行时不要求用户安装数据库服务器，SQLite 数据库文件保存在本机应用数据目录中；模型服务通过用户配置的兼容接口访问，系统应提供连通性检查和离线降级提示。</w:t>
      </w:r>
    </w:p>
    <w:p>
      <w:pPr>
        <w:spacing w:line="360" w:lineRule="auto" w:after="80"/>
        <w:ind w:firstLine="420"/>
      </w:pPr>
      <w:r>
        <w:rPr>
          <w:rFonts w:ascii="Times New Roman" w:hAnsi="Times New Roman" w:eastAsia="宋体"/>
          <w:sz w:val="21"/>
        </w:rPr>
        <w:t>运行环境设计遵循“桌面端负责交互、sidecar 负责 AI、能力层负责业务、存储层负责状态”的分工。Tauri 主进程负责启动 sidecar、传递 JSON-RPC 消息和处理桌面能力；React 前端负责页面状态和用户操作；Node runtime 负责模型流、工具调用、上下文窗口和会话状态；SQLite 负责持久化业务数据。</w:t>
      </w:r>
    </w:p>
    <w:p>
      <w:pPr>
        <w:spacing w:line="360" w:lineRule="auto" w:after="80"/>
        <w:ind w:firstLine="420"/>
      </w:pPr>
      <w:r>
        <w:rPr>
          <w:rFonts w:ascii="Times New Roman" w:hAnsi="Times New Roman" w:eastAsia="宋体"/>
          <w:sz w:val="21"/>
        </w:rPr>
        <w:t>为了保证交付可安装，计划中把开发环境和目标运行环境分开描述。开发环境需要完整工具链和源码，目标运行环境应尽量只需要安装包、用户配置和必要的系统权限。测试阶段需分别验证源码构建运行、release 程序启动和安装包安装后的真实用户流程。</w:t>
      </w:r>
    </w:p>
    <w:p>
      <w:pPr>
        <w:spacing w:line="264" w:lineRule="auto" w:before="40" w:after="100"/>
        <w:ind w:firstLine="0"/>
        <w:jc w:val="center"/>
      </w:pPr>
      <w:r>
        <w:rPr>
          <w:rFonts w:ascii="Times New Roman" w:hAnsi="Times New Roman" w:eastAsia="宋体"/>
          <w:sz w:val="19"/>
        </w:rPr>
        <w:t>表 8 运行环境要求</w:t>
      </w:r>
    </w:p>
    <w:tbl>
      <w:tblPr>
        <w:tblW w:type="dxa" w:w="8235"/>
        <w:tblLayout w:type="fixed"/>
        <w:tblLook w:firstColumn="1" w:firstRow="1" w:lastColumn="0" w:lastRow="0" w:noHBand="0" w:noVBand="1" w:val="04A0"/>
      </w:tblPr>
      <w:tblGrid>
        <w:gridCol w:w="1486"/>
        <w:gridCol w:w="3777"/>
        <w:gridCol w:w="2972"/>
      </w:tblGrid>
      <w:tr>
        <w:trPr>
          <w:tblHeader w:val="true"/>
        </w:trPr>
        <w:tc>
          <w:tcPr>
            <w:tcW w:type="dxa" w:w="1486"/>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环境项</w:t>
            </w:r>
          </w:p>
        </w:tc>
        <w:tc>
          <w:tcPr>
            <w:tcW w:type="dxa" w:w="3777"/>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开发阶段要求</w:t>
            </w:r>
          </w:p>
        </w:tc>
        <w:tc>
          <w:tcPr>
            <w:tcW w:type="dxa" w:w="2972"/>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交付运行要求</w:t>
            </w:r>
          </w:p>
        </w:tc>
      </w:tr>
      <w:tr>
        <w:tc>
          <w:tcPr>
            <w:tcW w:type="dxa" w:w="14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操作系统</w:t>
            </w:r>
          </w:p>
        </w:tc>
        <w:tc>
          <w:tcPr>
            <w:tcW w:type="dxa" w:w="3777"/>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Windows 10/11，具备 PowerShell 和常用开发工具</w:t>
            </w:r>
          </w:p>
        </w:tc>
        <w:tc>
          <w:tcPr>
            <w:tcW w:type="dxa" w:w="2972"/>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Windows 10/11 桌面环境</w:t>
            </w:r>
          </w:p>
        </w:tc>
      </w:tr>
      <w:tr>
        <w:tc>
          <w:tcPr>
            <w:tcW w:type="dxa" w:w="14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Node.js</w:t>
            </w:r>
          </w:p>
        </w:tc>
        <w:tc>
          <w:tcPr>
            <w:tcW w:type="dxa" w:w="3777"/>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Node.js 20 及以上，npm 10 及以上</w:t>
            </w:r>
          </w:p>
        </w:tc>
        <w:tc>
          <w:tcPr>
            <w:tcW w:type="dxa" w:w="2972"/>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随 sidecar 或安装包策略处理，不要求普通用户理解工作区</w:t>
            </w:r>
          </w:p>
        </w:tc>
      </w:tr>
      <w:tr>
        <w:tc>
          <w:tcPr>
            <w:tcW w:type="dxa" w:w="14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Rust/Tauri</w:t>
            </w:r>
          </w:p>
        </w:tc>
        <w:tc>
          <w:tcPr>
            <w:tcW w:type="dxa" w:w="3777"/>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Rust stable、Tauri v2 prerequisites、WebView2</w:t>
            </w:r>
          </w:p>
        </w:tc>
        <w:tc>
          <w:tcPr>
            <w:tcW w:type="dxa" w:w="2972"/>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安装包需能启动 Tauri 应用并加载前端资源</w:t>
            </w:r>
          </w:p>
        </w:tc>
      </w:tr>
      <w:tr>
        <w:tc>
          <w:tcPr>
            <w:tcW w:type="dxa" w:w="14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数据库</w:t>
            </w:r>
          </w:p>
        </w:tc>
        <w:tc>
          <w:tcPr>
            <w:tcW w:type="dxa" w:w="3777"/>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better-sqlite3 本地文件、WAL、外键、迁移</w:t>
            </w:r>
          </w:p>
        </w:tc>
        <w:tc>
          <w:tcPr>
            <w:tcW w:type="dxa" w:w="2972"/>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本地 SQLite 文件，自动初始化和备份</w:t>
            </w:r>
          </w:p>
        </w:tc>
      </w:tr>
      <w:tr>
        <w:tc>
          <w:tcPr>
            <w:tcW w:type="dxa" w:w="148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模型服务</w:t>
            </w:r>
          </w:p>
        </w:tc>
        <w:tc>
          <w:tcPr>
            <w:tcW w:type="dxa" w:w="3777"/>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兼容 Messages API 的模型接口，用于 agent 测试</w:t>
            </w:r>
          </w:p>
        </w:tc>
        <w:tc>
          <w:tcPr>
            <w:tcW w:type="dxa" w:w="2972"/>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用户配置后启用，未配置时保持核心日程功能可用</w:t>
            </w:r>
          </w:p>
        </w:tc>
      </w:tr>
      <w:tr>
        <w:tc>
          <w:tcPr>
            <w:tcW w:type="dxa" w:w="1486"/>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测试工具</w:t>
            </w:r>
          </w:p>
        </w:tc>
        <w:tc>
          <w:tcPr>
            <w:tcW w:type="dxa" w:w="3777"/>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Vitest、TypeScript、cargo check、桌面人工检查</w:t>
            </w:r>
          </w:p>
        </w:tc>
        <w:tc>
          <w:tcPr>
            <w:tcW w:type="dxa" w:w="2972"/>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无需测试工具，但需通过发布前验收</w:t>
            </w:r>
          </w:p>
        </w:tc>
      </w:tr>
    </w:tbl>
    <w:p>
      <w:pPr>
        <w:spacing w:line="360" w:lineRule="auto" w:after="80"/>
        <w:ind w:firstLine="0"/>
      </w:pPr>
    </w:p>
    <w:p>
      <w:pPr>
        <w:pStyle w:val="3"/>
        <w:keepNext/>
      </w:pPr>
      <w:r>
        <w:rPr>
          <w:rFonts w:ascii="Times New Roman" w:hAnsi="Times New Roman" w:eastAsia="黑体"/>
          <w:b/>
        </w:rPr>
        <w:t>2.5服务</w:t>
      </w:r>
    </w:p>
    <w:p>
      <w:pPr>
        <w:spacing w:line="360" w:lineRule="auto" w:after="80"/>
        <w:ind w:firstLine="420"/>
      </w:pPr>
      <w:r>
        <w:rPr>
          <w:rFonts w:ascii="Times New Roman" w:hAnsi="Times New Roman" w:eastAsia="宋体"/>
          <w:sz w:val="21"/>
        </w:rPr>
        <w:t>开发单位可提供的服务包括安装指导、功能培训、问题定位、版本维护、备份恢复说明和模型配置说明。由于系统面向个人桌面场景，服务重点不是搭建服务器，而是帮助用户理解本地数据位置、备份策略、AI 功能开关、撤销方式和异常恢复方式。</w:t>
      </w:r>
    </w:p>
    <w:p>
      <w:pPr>
        <w:spacing w:line="360" w:lineRule="auto" w:after="80"/>
        <w:ind w:firstLine="420"/>
      </w:pPr>
      <w:r>
        <w:rPr>
          <w:rFonts w:ascii="Times New Roman" w:hAnsi="Times New Roman" w:eastAsia="宋体"/>
          <w:sz w:val="21"/>
        </w:rPr>
        <w:t>培训内容应覆盖三个层次。第一层是普通用户操作，包括新建任务、安排日程、查看提醒、与 AI 交互、撤销错误操作和备份数据。第二层是管理与配置，包括模型接口配置、连通性检查、主题语言设置、备份列表、恢复点和清理历史。第三层是维护开发，包括工作区结构、构建命令、数据库 schema、能力注册和测试命令。</w:t>
      </w:r>
    </w:p>
    <w:p>
      <w:pPr>
        <w:spacing w:line="360" w:lineRule="auto" w:after="80"/>
        <w:ind w:firstLine="420"/>
      </w:pPr>
      <w:r>
        <w:rPr>
          <w:rFonts w:ascii="Times New Roman" w:hAnsi="Times New Roman" w:eastAsia="宋体"/>
          <w:sz w:val="21"/>
        </w:rPr>
        <w:t>运行支持应特别强调 AI 失败不是系统整体失败。模型服务不可用时，任务、事件、日程查看、备份和部分手动操作仍应可用；当模型重新可用后，AI 页面和浮动助手恢复工具调用能力。服务文档要让用户知道哪些功能依赖模型，哪些功能完全本地运行。</w:t>
      </w:r>
    </w:p>
    <w:p>
      <w:pPr>
        <w:spacing w:line="264" w:lineRule="auto" w:before="40" w:after="100"/>
        <w:ind w:firstLine="0"/>
        <w:jc w:val="center"/>
      </w:pPr>
      <w:r>
        <w:rPr>
          <w:rFonts w:ascii="Times New Roman" w:hAnsi="Times New Roman" w:eastAsia="宋体"/>
          <w:sz w:val="19"/>
        </w:rPr>
        <w:t>表 9 服务与支持计划</w:t>
      </w:r>
    </w:p>
    <w:tbl>
      <w:tblPr>
        <w:tblW w:type="dxa" w:w="8237"/>
        <w:tblLayout w:type="fixed"/>
        <w:tblLook w:firstColumn="1" w:firstRow="1" w:lastColumn="0" w:lastRow="0" w:noHBand="0" w:noVBand="1" w:val="04A0"/>
      </w:tblPr>
      <w:tblGrid>
        <w:gridCol w:w="1446"/>
        <w:gridCol w:w="4150"/>
        <w:gridCol w:w="2641"/>
      </w:tblGrid>
      <w:tr>
        <w:trPr>
          <w:tblHeader w:val="true"/>
        </w:trPr>
        <w:tc>
          <w:tcPr>
            <w:tcW w:type="dxa" w:w="1446"/>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服务项目</w:t>
            </w:r>
          </w:p>
        </w:tc>
        <w:tc>
          <w:tcPr>
            <w:tcW w:type="dxa" w:w="4150"/>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服务内容</w:t>
            </w:r>
          </w:p>
        </w:tc>
        <w:tc>
          <w:tcPr>
            <w:tcW w:type="dxa" w:w="2641"/>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验收方式</w:t>
            </w:r>
          </w:p>
        </w:tc>
      </w:tr>
      <w:tr>
        <w:tc>
          <w:tcPr>
            <w:tcW w:type="dxa" w:w="144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安装支持</w:t>
            </w:r>
          </w:p>
        </w:tc>
        <w:tc>
          <w:tcPr>
            <w:tcW w:type="dxa" w:w="415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说明安装包使用、首次启动、数据目录和常见系统依赖</w:t>
            </w:r>
          </w:p>
        </w:tc>
        <w:tc>
          <w:tcPr>
            <w:tcW w:type="dxa" w:w="264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新环境可完成安装并打开主界面</w:t>
            </w:r>
          </w:p>
        </w:tc>
      </w:tr>
      <w:tr>
        <w:tc>
          <w:tcPr>
            <w:tcW w:type="dxa" w:w="144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用户培训</w:t>
            </w:r>
          </w:p>
        </w:tc>
        <w:tc>
          <w:tcPr>
            <w:tcW w:type="dxa" w:w="415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演示任务管理、日历查看、AI 对话、撤销、备份和恢复</w:t>
            </w:r>
          </w:p>
        </w:tc>
        <w:tc>
          <w:tcPr>
            <w:tcW w:type="dxa" w:w="264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用户能独立完成一组典型日程管理任务</w:t>
            </w:r>
          </w:p>
        </w:tc>
      </w:tr>
      <w:tr>
        <w:tc>
          <w:tcPr>
            <w:tcW w:type="dxa" w:w="144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模型配置</w:t>
            </w:r>
          </w:p>
        </w:tc>
        <w:tc>
          <w:tcPr>
            <w:tcW w:type="dxa" w:w="415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说明接口地址、模型名称、令牌配置和连通性检查</w:t>
            </w:r>
          </w:p>
        </w:tc>
        <w:tc>
          <w:tcPr>
            <w:tcW w:type="dxa" w:w="264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配置后 AI 页面能完成一次真实工具调用</w:t>
            </w:r>
          </w:p>
        </w:tc>
      </w:tr>
      <w:tr>
        <w:tc>
          <w:tcPr>
            <w:tcW w:type="dxa" w:w="144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故障定位</w:t>
            </w:r>
          </w:p>
        </w:tc>
        <w:tc>
          <w:tcPr>
            <w:tcW w:type="dxa" w:w="415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记录日志、错误提示、sidecar 状态和数据库备份检查</w:t>
            </w:r>
          </w:p>
        </w:tc>
        <w:tc>
          <w:tcPr>
            <w:tcW w:type="dxa" w:w="264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常见异常能定位到 UI、runtime、模型或数据库层</w:t>
            </w:r>
          </w:p>
        </w:tc>
      </w:tr>
      <w:tr>
        <w:tc>
          <w:tcPr>
            <w:tcW w:type="dxa" w:w="1446"/>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维护升级</w:t>
            </w:r>
          </w:p>
        </w:tc>
        <w:tc>
          <w:tcPr>
            <w:tcW w:type="dxa" w:w="4150"/>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说明版本升级前备份、迁移、构建和测试流程</w:t>
            </w:r>
          </w:p>
        </w:tc>
        <w:tc>
          <w:tcPr>
            <w:tcW w:type="dxa" w:w="2641"/>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升级后数据库完整性和核心功能保持正常</w:t>
            </w:r>
          </w:p>
        </w:tc>
      </w:tr>
    </w:tbl>
    <w:p>
      <w:pPr>
        <w:spacing w:line="360" w:lineRule="auto" w:after="80"/>
        <w:ind w:firstLine="0"/>
      </w:pPr>
    </w:p>
    <w:p>
      <w:pPr>
        <w:pStyle w:val="3"/>
        <w:keepNext/>
      </w:pPr>
      <w:r>
        <w:rPr>
          <w:rFonts w:ascii="Times New Roman" w:hAnsi="Times New Roman" w:eastAsia="黑体"/>
          <w:b/>
        </w:rPr>
        <w:t>2.6验收标准</w:t>
      </w:r>
    </w:p>
    <w:p>
      <w:pPr>
        <w:spacing w:line="360" w:lineRule="auto" w:after="80"/>
        <w:ind w:firstLine="420"/>
      </w:pPr>
      <w:r>
        <w:rPr>
          <w:rFonts w:ascii="Times New Roman" w:hAnsi="Times New Roman" w:eastAsia="宋体"/>
          <w:sz w:val="21"/>
        </w:rPr>
        <w:t>项目验收采用功能、质量、文档、桌面运行和安装交付五类标准。功能验收要求任务、事件、日程、提醒、AI 对话、撤销、备份和设置能够贯通；质量验收要求类型检查、单元测试、构建和 Tauri 后端检查通过；文档验收要求四份课程文档结构符合模板、内容充实、引用真实、版式经过视觉检查；桌面验收要求从用户视角实际运行页面流程；安装交付验收要求生成可分发安装产物并能启动。</w:t>
      </w:r>
    </w:p>
    <w:p>
      <w:pPr>
        <w:spacing w:line="360" w:lineRule="auto" w:after="80"/>
        <w:ind w:firstLine="420"/>
      </w:pPr>
      <w:r>
        <w:rPr>
          <w:rFonts w:ascii="Times New Roman" w:hAnsi="Times New Roman" w:eastAsia="宋体"/>
          <w:sz w:val="21"/>
        </w:rPr>
        <w:t>AI 功能验收必须证明系统具有真实工具调用闭环。验收时应使用带有任务、事件、锁定项和偏好的数据，让用户以自然语言提出计划、查询、调整或总结请求，观察模型是否产生工具调用、能力层是否执行、动作日志是否记录、UI 是否显示结果。不能用固定问答、关键词匹配或预写规则代替该验证。</w:t>
      </w:r>
    </w:p>
    <w:p>
      <w:pPr>
        <w:spacing w:line="360" w:lineRule="auto" w:after="80"/>
        <w:ind w:firstLine="420"/>
      </w:pPr>
      <w:r>
        <w:rPr>
          <w:rFonts w:ascii="Times New Roman" w:hAnsi="Times New Roman" w:eastAsia="宋体"/>
          <w:sz w:val="21"/>
        </w:rPr>
        <w:t>验收标准也包括反向约束。系统不得在文档、界面或日志中泄露密钥；不得让 AI 绕过锁定项；不得在备份恢复前不创建恢复点；不得把失败的模型连接静默伪装成成功；不得把未通过视觉检查的文档作为最终提交版。</w:t>
      </w:r>
    </w:p>
    <w:p>
      <w:pPr>
        <w:spacing w:line="264" w:lineRule="auto" w:before="40" w:after="100"/>
        <w:ind w:firstLine="0"/>
        <w:jc w:val="center"/>
      </w:pPr>
      <w:r>
        <w:rPr>
          <w:rFonts w:ascii="Times New Roman" w:hAnsi="Times New Roman" w:eastAsia="宋体"/>
          <w:sz w:val="19"/>
        </w:rPr>
        <w:t>表 10 验收标准</w:t>
      </w:r>
    </w:p>
    <w:tbl>
      <w:tblPr>
        <w:tblW w:type="dxa" w:w="8237"/>
        <w:tblLayout w:type="fixed"/>
        <w:tblLook w:firstColumn="1" w:firstRow="1" w:lastColumn="0" w:lastRow="0" w:noHBand="0" w:noVBand="1" w:val="04A0"/>
      </w:tblPr>
      <w:tblGrid>
        <w:gridCol w:w="1310"/>
        <w:gridCol w:w="3744"/>
        <w:gridCol w:w="3182"/>
      </w:tblGrid>
      <w:tr>
        <w:trPr>
          <w:tblHeader w:val="true"/>
        </w:trPr>
        <w:tc>
          <w:tcPr>
            <w:tcW w:type="dxa" w:w="1310"/>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验收类别</w:t>
            </w:r>
          </w:p>
        </w:tc>
        <w:tc>
          <w:tcPr>
            <w:tcW w:type="dxa" w:w="3744"/>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验收内容</w:t>
            </w:r>
          </w:p>
        </w:tc>
        <w:tc>
          <w:tcPr>
            <w:tcW w:type="dxa" w:w="3182"/>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通过标准</w:t>
            </w:r>
          </w:p>
        </w:tc>
      </w:tr>
      <w:tr>
        <w:tc>
          <w:tcPr>
            <w:tcW w:type="dxa" w:w="131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功能</w:t>
            </w:r>
          </w:p>
        </w:tc>
        <w:tc>
          <w:tcPr>
            <w:tcW w:type="dxa" w:w="3744"/>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任务、事件、日程块、提醒、偏好、总结、撤销、备份</w:t>
            </w:r>
          </w:p>
        </w:tc>
        <w:tc>
          <w:tcPr>
            <w:tcW w:type="dxa" w:w="3182"/>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典型流程和边界流程均能按需求完成</w:t>
            </w:r>
          </w:p>
        </w:tc>
      </w:tr>
      <w:tr>
        <w:tc>
          <w:tcPr>
            <w:tcW w:type="dxa" w:w="131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AI agent</w:t>
            </w:r>
          </w:p>
        </w:tc>
        <w:tc>
          <w:tcPr>
            <w:tcW w:type="dxa" w:w="3744"/>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模型消息、工具定义、上下文构建、工具调用、结果回写</w:t>
            </w:r>
          </w:p>
        </w:tc>
        <w:tc>
          <w:tcPr>
            <w:tcW w:type="dxa" w:w="3182"/>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真实模型调用可触发 capability，动作可审计可撤销</w:t>
            </w:r>
          </w:p>
        </w:tc>
      </w:tr>
      <w:tr>
        <w:tc>
          <w:tcPr>
            <w:tcW w:type="dxa" w:w="131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数据安全</w:t>
            </w:r>
          </w:p>
        </w:tc>
        <w:tc>
          <w:tcPr>
            <w:tcW w:type="dxa" w:w="3744"/>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本地数据库、WAL、外键、备份校验、恢复点</w:t>
            </w:r>
          </w:p>
        </w:tc>
        <w:tc>
          <w:tcPr>
            <w:tcW w:type="dxa" w:w="3182"/>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数据变更一致，备份可验证，恢复前有保护</w:t>
            </w:r>
          </w:p>
        </w:tc>
      </w:tr>
      <w:tr>
        <w:tc>
          <w:tcPr>
            <w:tcW w:type="dxa" w:w="131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桌面体验</w:t>
            </w:r>
          </w:p>
        </w:tc>
        <w:tc>
          <w:tcPr>
            <w:tcW w:type="dxa" w:w="3744"/>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页面导航、设置、降级提示、错误边界、浮动 AI</w:t>
            </w:r>
          </w:p>
        </w:tc>
        <w:tc>
          <w:tcPr>
            <w:tcW w:type="dxa" w:w="3182"/>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用户视角无明显阻塞、错位或不可理解状态</w:t>
            </w:r>
          </w:p>
        </w:tc>
      </w:tr>
      <w:tr>
        <w:tc>
          <w:tcPr>
            <w:tcW w:type="dxa" w:w="131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工程质量</w:t>
            </w:r>
          </w:p>
        </w:tc>
        <w:tc>
          <w:tcPr>
            <w:tcW w:type="dxa" w:w="3744"/>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npm test、typecheck、build、cargo check</w:t>
            </w:r>
          </w:p>
        </w:tc>
        <w:tc>
          <w:tcPr>
            <w:tcW w:type="dxa" w:w="3182"/>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发布前命令通过，失败项有记录和修复说明</w:t>
            </w:r>
          </w:p>
        </w:tc>
      </w:tr>
      <w:tr>
        <w:tc>
          <w:tcPr>
            <w:tcW w:type="dxa" w:w="131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文档</w:t>
            </w:r>
          </w:p>
        </w:tc>
        <w:tc>
          <w:tcPr>
            <w:tcW w:type="dxa" w:w="3744"/>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四份 DOCX 结构、页数、引用、三线表和视觉质量</w:t>
            </w:r>
          </w:p>
        </w:tc>
        <w:tc>
          <w:tcPr>
            <w:tcW w:type="dxa" w:w="3182"/>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每份 20 页以上，版式整洁，无占位符和敏感信息</w:t>
            </w:r>
          </w:p>
        </w:tc>
      </w:tr>
      <w:tr>
        <w:tc>
          <w:tcPr>
            <w:tcW w:type="dxa" w:w="1310"/>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交付</w:t>
            </w:r>
          </w:p>
        </w:tc>
        <w:tc>
          <w:tcPr>
            <w:tcW w:type="dxa" w:w="3744"/>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安装包、源码、文档、测试证据</w:t>
            </w:r>
          </w:p>
        </w:tc>
        <w:tc>
          <w:tcPr>
            <w:tcW w:type="dxa" w:w="3182"/>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最终产物可分发、可安装、可复核</w:t>
            </w:r>
          </w:p>
        </w:tc>
      </w:tr>
    </w:tbl>
    <w:p>
      <w:pPr>
        <w:spacing w:line="360" w:lineRule="auto" w:after="80"/>
        <w:ind w:firstLine="0"/>
      </w:pPr>
    </w:p>
    <w:p>
      <w:pPr>
        <w:pStyle w:val="2"/>
        <w:keepNext/>
      </w:pPr>
      <w:r>
        <w:rPr>
          <w:rFonts w:ascii="Times New Roman" w:hAnsi="Times New Roman" w:eastAsia="黑体"/>
          <w:b/>
        </w:rPr>
        <w:t>3．实施计划</w:t>
      </w:r>
    </w:p>
    <w:p>
      <w:pPr>
        <w:pStyle w:val="3"/>
        <w:keepNext/>
      </w:pPr>
      <w:r>
        <w:rPr>
          <w:rFonts w:ascii="Times New Roman" w:hAnsi="Times New Roman" w:eastAsia="黑体"/>
          <w:b/>
        </w:rPr>
        <w:t>3.1任务分解</w:t>
      </w:r>
    </w:p>
    <w:p>
      <w:pPr>
        <w:spacing w:line="360" w:lineRule="auto" w:after="80"/>
        <w:ind w:firstLine="420"/>
      </w:pPr>
      <w:r>
        <w:rPr>
          <w:rFonts w:ascii="Times New Roman" w:hAnsi="Times New Roman" w:eastAsia="宋体"/>
          <w:sz w:val="21"/>
        </w:rPr>
        <w:t>任务分解采用按工程层次和交付阶段结合的方式展开。需求、设计、实现、测试和文档不是线性一次性完成，而是围绕可运行桌面产品不断闭环：每一轮实现都要回到需求和测试检查，每一次修复都要更新相关设计说明和测试证据。这样可以避免文档与实际产品脱节。</w:t>
      </w:r>
    </w:p>
    <w:p>
      <w:pPr>
        <w:spacing w:line="360" w:lineRule="auto" w:after="80"/>
        <w:ind w:firstLine="420"/>
      </w:pPr>
      <w:r>
        <w:rPr>
          <w:rFonts w:ascii="Times New Roman" w:hAnsi="Times New Roman" w:eastAsia="宋体"/>
          <w:sz w:val="21"/>
        </w:rPr>
        <w:t>在工作包划分上，存储层、领域层、能力层、运行时和桌面端各自有清晰边界，但 AI agent 场景需要跨层协作。例如“帮我安排明天”这一请求涉及 AI 上下文、模型工具选择、schedule.plan_day 能力、ScheduleService 算法、SQLite 日程块写入、动作日志记录和 UI 展示，不能只由某一个模块单独完成。</w:t>
      </w:r>
    </w:p>
    <w:p>
      <w:pPr>
        <w:spacing w:line="360" w:lineRule="auto" w:after="80"/>
        <w:ind w:firstLine="420"/>
      </w:pPr>
      <w:r>
        <w:rPr>
          <w:rFonts w:ascii="Times New Roman" w:hAnsi="Times New Roman" w:eastAsia="宋体"/>
          <w:sz w:val="21"/>
        </w:rPr>
        <w:t>文档工作单独列为工作包，是因为课程提交材料本身也是项目成果。文档编写必须基于实际项目，不得用空泛模板填充；同时文档要经过 DOCX 渲染和页面抽查，以保证读者看到的是规范整洁的正式稿。</w:t>
      </w:r>
    </w:p>
    <w:p>
      <w:pPr>
        <w:spacing w:line="264" w:lineRule="auto" w:before="40" w:after="100"/>
        <w:ind w:firstLine="0"/>
        <w:jc w:val="center"/>
      </w:pPr>
      <w:r>
        <w:rPr>
          <w:rFonts w:ascii="Times New Roman" w:hAnsi="Times New Roman" w:eastAsia="宋体"/>
          <w:sz w:val="19"/>
        </w:rPr>
        <w:t>表 11 WBS 任务分解</w:t>
      </w:r>
    </w:p>
    <w:tbl>
      <w:tblPr>
        <w:tblW w:type="dxa" w:w="8237"/>
        <w:tblLayout w:type="fixed"/>
        <w:tblLook w:firstColumn="1" w:firstRow="1" w:lastColumn="0" w:lastRow="0" w:noHBand="0" w:noVBand="1" w:val="04A0"/>
      </w:tblPr>
      <w:tblGrid>
        <w:gridCol w:w="818"/>
        <w:gridCol w:w="1572"/>
        <w:gridCol w:w="4337"/>
        <w:gridCol w:w="1509"/>
      </w:tblGrid>
      <w:tr>
        <w:trPr>
          <w:tblHeader w:val="true"/>
        </w:trPr>
        <w:tc>
          <w:tcPr>
            <w:tcW w:type="dxa" w:w="818"/>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编号</w:t>
            </w:r>
          </w:p>
        </w:tc>
        <w:tc>
          <w:tcPr>
            <w:tcW w:type="dxa" w:w="1572"/>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工作包</w:t>
            </w:r>
          </w:p>
        </w:tc>
        <w:tc>
          <w:tcPr>
            <w:tcW w:type="dxa" w:w="4337"/>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主要任务</w:t>
            </w:r>
          </w:p>
        </w:tc>
        <w:tc>
          <w:tcPr>
            <w:tcW w:type="dxa" w:w="1509"/>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具体责任人</w:t>
            </w:r>
          </w:p>
        </w:tc>
      </w:tr>
      <w:tr>
        <w:tc>
          <w:tcPr>
            <w:tcW w:type="dxa" w:w="81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W1</w:t>
            </w:r>
          </w:p>
        </w:tc>
        <w:tc>
          <w:tcPr>
            <w:tcW w:type="dxa" w:w="157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需求分析</w:t>
            </w:r>
          </w:p>
        </w:tc>
        <w:tc>
          <w:tcPr>
            <w:tcW w:type="dxa" w:w="4337"/>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整理用户场景、执行者、用例、业务规则、非功能需求和故障处理</w:t>
            </w:r>
          </w:p>
        </w:tc>
        <w:tc>
          <w:tcPr>
            <w:tcW w:type="dxa" w:w="150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杨瑞熙（2410250115）</w:t>
            </w:r>
          </w:p>
        </w:tc>
      </w:tr>
      <w:tr>
        <w:tc>
          <w:tcPr>
            <w:tcW w:type="dxa" w:w="81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W2</w:t>
            </w:r>
          </w:p>
        </w:tc>
        <w:tc>
          <w:tcPr>
            <w:tcW w:type="dxa" w:w="157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存储层</w:t>
            </w:r>
          </w:p>
        </w:tc>
        <w:tc>
          <w:tcPr>
            <w:tcW w:type="dxa" w:w="4337"/>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实现 SQLite schema、迁移、WAL、索引、备份、导出、清理</w:t>
            </w:r>
          </w:p>
        </w:tc>
        <w:tc>
          <w:tcPr>
            <w:tcW w:type="dxa" w:w="150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王研博（2410250646）</w:t>
            </w:r>
          </w:p>
        </w:tc>
      </w:tr>
      <w:tr>
        <w:tc>
          <w:tcPr>
            <w:tcW w:type="dxa" w:w="81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W3</w:t>
            </w:r>
          </w:p>
        </w:tc>
        <w:tc>
          <w:tcPr>
            <w:tcW w:type="dxa" w:w="157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领域层</w:t>
            </w:r>
          </w:p>
        </w:tc>
        <w:tc>
          <w:tcPr>
            <w:tcW w:type="dxa" w:w="4337"/>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实现任务、事件、日程、提醒、偏好、总结、记忆、动作日志和撤销</w:t>
            </w:r>
          </w:p>
        </w:tc>
        <w:tc>
          <w:tcPr>
            <w:tcW w:type="dxa" w:w="150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王研博（2410250646）</w:t>
            </w:r>
          </w:p>
        </w:tc>
      </w:tr>
      <w:tr>
        <w:tc>
          <w:tcPr>
            <w:tcW w:type="dxa" w:w="81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W4</w:t>
            </w:r>
          </w:p>
        </w:tc>
        <w:tc>
          <w:tcPr>
            <w:tcW w:type="dxa" w:w="157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能力层</w:t>
            </w:r>
          </w:p>
        </w:tc>
        <w:tc>
          <w:tcPr>
            <w:tcW w:type="dxa" w:w="4337"/>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实现 capability registry、输入校验、幂等、权限语义、状态快照</w:t>
            </w:r>
          </w:p>
        </w:tc>
        <w:tc>
          <w:tcPr>
            <w:tcW w:type="dxa" w:w="150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王研博（2410250646）、姚玮（2410250848）</w:t>
            </w:r>
          </w:p>
        </w:tc>
      </w:tr>
      <w:tr>
        <w:tc>
          <w:tcPr>
            <w:tcW w:type="dxa" w:w="81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W5</w:t>
            </w:r>
          </w:p>
        </w:tc>
        <w:tc>
          <w:tcPr>
            <w:tcW w:type="dxa" w:w="157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AI runtime</w:t>
            </w:r>
          </w:p>
        </w:tc>
        <w:tc>
          <w:tcPr>
            <w:tcW w:type="dxa" w:w="4337"/>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实现模型客户端、工具映射、上下文构建、会话、流式响应和工具调用循环</w:t>
            </w:r>
          </w:p>
        </w:tc>
        <w:tc>
          <w:tcPr>
            <w:tcW w:type="dxa" w:w="150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姚玮（2410250848）</w:t>
            </w:r>
          </w:p>
        </w:tc>
      </w:tr>
      <w:tr>
        <w:tc>
          <w:tcPr>
            <w:tcW w:type="dxa" w:w="81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W6</w:t>
            </w:r>
          </w:p>
        </w:tc>
        <w:tc>
          <w:tcPr>
            <w:tcW w:type="dxa" w:w="157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桌面前端</w:t>
            </w:r>
          </w:p>
        </w:tc>
        <w:tc>
          <w:tcPr>
            <w:tcW w:type="dxa" w:w="4337"/>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实现页面、组件、状态管理、降级提示、错误边界和设置</w:t>
            </w:r>
          </w:p>
        </w:tc>
        <w:tc>
          <w:tcPr>
            <w:tcW w:type="dxa" w:w="150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王雅娴（2410250575）、闫艺馨（2410250846）</w:t>
            </w:r>
          </w:p>
        </w:tc>
      </w:tr>
      <w:tr>
        <w:tc>
          <w:tcPr>
            <w:tcW w:type="dxa" w:w="81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W7</w:t>
            </w:r>
          </w:p>
        </w:tc>
        <w:tc>
          <w:tcPr>
            <w:tcW w:type="dxa" w:w="157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桌面后端</w:t>
            </w:r>
          </w:p>
        </w:tc>
        <w:tc>
          <w:tcPr>
            <w:tcW w:type="dxa" w:w="4337"/>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实现 Tauri sidecar 生命周期、命令桥接、发布配置和安装包</w:t>
            </w:r>
          </w:p>
        </w:tc>
        <w:tc>
          <w:tcPr>
            <w:tcW w:type="dxa" w:w="150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冯留杨（2410250311）</w:t>
            </w:r>
          </w:p>
        </w:tc>
      </w:tr>
      <w:tr>
        <w:tc>
          <w:tcPr>
            <w:tcW w:type="dxa" w:w="81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W8</w:t>
            </w:r>
          </w:p>
        </w:tc>
        <w:tc>
          <w:tcPr>
            <w:tcW w:type="dxa" w:w="157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测试验证</w:t>
            </w:r>
          </w:p>
        </w:tc>
        <w:tc>
          <w:tcPr>
            <w:tcW w:type="dxa" w:w="4337"/>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执行单元、集成、构建、类型、桌面体验、AI 连通和打包检查</w:t>
            </w:r>
          </w:p>
        </w:tc>
        <w:tc>
          <w:tcPr>
            <w:tcW w:type="dxa" w:w="150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李思晴（2410250609）</w:t>
            </w:r>
          </w:p>
        </w:tc>
      </w:tr>
      <w:tr>
        <w:tc>
          <w:tcPr>
            <w:tcW w:type="dxa" w:w="81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W9</w:t>
            </w:r>
          </w:p>
        </w:tc>
        <w:tc>
          <w:tcPr>
            <w:tcW w:type="dxa" w:w="157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文档交付</w:t>
            </w:r>
          </w:p>
        </w:tc>
        <w:tc>
          <w:tcPr>
            <w:tcW w:type="dxa" w:w="4337"/>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完成四份课程文档、视觉检查、参考文献、最终提交版整理</w:t>
            </w:r>
          </w:p>
        </w:tc>
        <w:tc>
          <w:tcPr>
            <w:tcW w:type="dxa" w:w="150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闫艺馨（2410250846）、杨瑞熙（2410250115）</w:t>
            </w:r>
          </w:p>
        </w:tc>
      </w:tr>
      <w:tr>
        <w:tc>
          <w:tcPr>
            <w:tcW w:type="dxa" w:w="818"/>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W10</w:t>
            </w:r>
          </w:p>
        </w:tc>
        <w:tc>
          <w:tcPr>
            <w:tcW w:type="dxa" w:w="1572"/>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发布收尾</w:t>
            </w:r>
          </w:p>
        </w:tc>
        <w:tc>
          <w:tcPr>
            <w:tcW w:type="dxa" w:w="4337"/>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归档安装包、检查敏感信息、准备演示数据和验收说明</w:t>
            </w:r>
          </w:p>
        </w:tc>
        <w:tc>
          <w:tcPr>
            <w:tcW w:type="dxa" w:w="1509"/>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孟天赐（2410250732，队长）</w:t>
            </w:r>
          </w:p>
        </w:tc>
      </w:tr>
    </w:tbl>
    <w:p>
      <w:pPr>
        <w:spacing w:line="360" w:lineRule="auto" w:after="80"/>
        <w:ind w:firstLine="0"/>
      </w:pPr>
    </w:p>
    <w:p>
      <w:pPr>
        <w:spacing w:line="264" w:lineRule="auto" w:before="40" w:after="100"/>
        <w:ind w:firstLine="0"/>
        <w:jc w:val="center"/>
      </w:pPr>
      <w:r>
        <w:rPr>
          <w:rFonts w:ascii="Times New Roman" w:hAnsi="Times New Roman" w:eastAsia="宋体"/>
          <w:sz w:val="19"/>
        </w:rPr>
        <w:t>表 18 工作包验收细分</w:t>
      </w:r>
    </w:p>
    <w:tbl>
      <w:tblPr>
        <w:tblW w:type="dxa" w:w="8237"/>
        <w:tblLayout w:type="fixed"/>
        <w:tblLook w:firstColumn="1" w:firstRow="1" w:lastColumn="0" w:lastRow="0" w:noHBand="0" w:noVBand="1" w:val="04A0"/>
      </w:tblPr>
      <w:tblGrid>
        <w:gridCol w:w="1414"/>
        <w:gridCol w:w="4056"/>
        <w:gridCol w:w="2766"/>
      </w:tblGrid>
      <w:tr>
        <w:trPr>
          <w:tblHeader w:val="true"/>
        </w:trPr>
        <w:tc>
          <w:tcPr>
            <w:tcW w:type="dxa" w:w="1414"/>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工作包</w:t>
            </w:r>
          </w:p>
        </w:tc>
        <w:tc>
          <w:tcPr>
            <w:tcW w:type="dxa" w:w="4056"/>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可交付细项</w:t>
            </w:r>
          </w:p>
        </w:tc>
        <w:tc>
          <w:tcPr>
            <w:tcW w:type="dxa" w:w="2766"/>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验收证据</w:t>
            </w:r>
          </w:p>
        </w:tc>
      </w:tr>
      <w:tr>
        <w:tc>
          <w:tcPr>
            <w:tcW w:type="dxa" w:w="141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需求分析</w:t>
            </w:r>
          </w:p>
        </w:tc>
        <w:tc>
          <w:tcPr>
            <w:tcW w:type="dxa" w:w="405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用户画像、业务场景、执行者、用例、功能需求、非功能需求和故障处理</w:t>
            </w:r>
          </w:p>
        </w:tc>
        <w:tc>
          <w:tcPr>
            <w:tcW w:type="dxa" w:w="276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需求规格说明书、需求矩阵和评审记录</w:t>
            </w:r>
          </w:p>
        </w:tc>
      </w:tr>
      <w:tr>
        <w:tc>
          <w:tcPr>
            <w:tcW w:type="dxa" w:w="141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数据库实现</w:t>
            </w:r>
          </w:p>
        </w:tc>
        <w:tc>
          <w:tcPr>
            <w:tcW w:type="dxa" w:w="405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schema、迁移版本、索引、WAL、外键、备份、导出和清理</w:t>
            </w:r>
          </w:p>
        </w:tc>
        <w:tc>
          <w:tcPr>
            <w:tcW w:type="dxa" w:w="276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storage 测试、数据库完整性检查和备份文件</w:t>
            </w:r>
          </w:p>
        </w:tc>
      </w:tr>
      <w:tr>
        <w:tc>
          <w:tcPr>
            <w:tcW w:type="dxa" w:w="141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任务与事件</w:t>
            </w:r>
          </w:p>
        </w:tc>
        <w:tc>
          <w:tcPr>
            <w:tcW w:type="dxa" w:w="405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任务 CRUD、状态流转、标签项目、子任务、事件冲突和锁定</w:t>
            </w:r>
          </w:p>
        </w:tc>
        <w:tc>
          <w:tcPr>
            <w:tcW w:type="dxa" w:w="276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domain 测试、页面流程和动作日志</w:t>
            </w:r>
          </w:p>
        </w:tc>
      </w:tr>
      <w:tr>
        <w:tc>
          <w:tcPr>
            <w:tcW w:type="dxa" w:w="141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日程排程</w:t>
            </w:r>
          </w:p>
        </w:tc>
        <w:tc>
          <w:tcPr>
            <w:tcW w:type="dxa" w:w="405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plan_day、plan_range、rebalance、get_blocks、explain、analyze_quality</w:t>
            </w:r>
          </w:p>
        </w:tc>
        <w:tc>
          <w:tcPr>
            <w:tcW w:type="dxa" w:w="276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ScheduleService 测试和场景数据</w:t>
            </w:r>
          </w:p>
        </w:tc>
      </w:tr>
      <w:tr>
        <w:tc>
          <w:tcPr>
            <w:tcW w:type="dxa" w:w="141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提醒总结</w:t>
            </w:r>
          </w:p>
        </w:tc>
        <w:tc>
          <w:tcPr>
            <w:tcW w:type="dxa" w:w="405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提醒创建、轮询、稍后提醒、每日总结和次日建议</w:t>
            </w:r>
          </w:p>
        </w:tc>
        <w:tc>
          <w:tcPr>
            <w:tcW w:type="dxa" w:w="276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Reminder/Summary 测试和页面状态</w:t>
            </w:r>
          </w:p>
        </w:tc>
      </w:tr>
      <w:tr>
        <w:tc>
          <w:tcPr>
            <w:tcW w:type="dxa" w:w="141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能力注册</w:t>
            </w:r>
          </w:p>
        </w:tc>
        <w:tc>
          <w:tcPr>
            <w:tcW w:type="dxa" w:w="405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capability schema、mutating 标记、幂等、revision 和 wrapMutating</w:t>
            </w:r>
          </w:p>
        </w:tc>
        <w:tc>
          <w:tcPr>
            <w:tcW w:type="dxa" w:w="276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capabilities 测试和工具列表</w:t>
            </w:r>
          </w:p>
        </w:tc>
      </w:tr>
      <w:tr>
        <w:tc>
          <w:tcPr>
            <w:tcW w:type="dxa" w:w="141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AI runtime</w:t>
            </w:r>
          </w:p>
        </w:tc>
        <w:tc>
          <w:tcPr>
            <w:tcW w:type="dxa" w:w="405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模型客户端、工具转换、上下文、会话、流式、压缩和错误恢复</w:t>
            </w:r>
          </w:p>
        </w:tc>
        <w:tc>
          <w:tcPr>
            <w:tcW w:type="dxa" w:w="276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runtime 测试和真实模型连通检查</w:t>
            </w:r>
          </w:p>
        </w:tc>
      </w:tr>
      <w:tr>
        <w:tc>
          <w:tcPr>
            <w:tcW w:type="dxa" w:w="141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桌面前端</w:t>
            </w:r>
          </w:p>
        </w:tc>
        <w:tc>
          <w:tcPr>
            <w:tcW w:type="dxa" w:w="405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页面、弹窗、备份面板、设置、Toast、错误边界和快捷键</w:t>
            </w:r>
          </w:p>
        </w:tc>
        <w:tc>
          <w:tcPr>
            <w:tcW w:type="dxa" w:w="276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构建结果和人工桌面检查</w:t>
            </w:r>
          </w:p>
        </w:tc>
      </w:tr>
      <w:tr>
        <w:tc>
          <w:tcPr>
            <w:tcW w:type="dxa" w:w="141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Tauri 后端</w:t>
            </w:r>
          </w:p>
        </w:tc>
        <w:tc>
          <w:tcPr>
            <w:tcW w:type="dxa" w:w="405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sidecar 生命周期、命令路由、权限、release 和安装器</w:t>
            </w:r>
          </w:p>
        </w:tc>
        <w:tc>
          <w:tcPr>
            <w:tcW w:type="dxa" w:w="276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cargo check、release 启动和安装检查</w:t>
            </w:r>
          </w:p>
        </w:tc>
      </w:tr>
      <w:tr>
        <w:tc>
          <w:tcPr>
            <w:tcW w:type="dxa" w:w="141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测试报告</w:t>
            </w:r>
          </w:p>
        </w:tc>
        <w:tc>
          <w:tcPr>
            <w:tcW w:type="dxa" w:w="405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测试项、测试人员、命令结果、需求结论、缺陷限制和建议</w:t>
            </w:r>
          </w:p>
        </w:tc>
        <w:tc>
          <w:tcPr>
            <w:tcW w:type="dxa" w:w="276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测试报告最终版</w:t>
            </w:r>
          </w:p>
        </w:tc>
      </w:tr>
      <w:tr>
        <w:tc>
          <w:tcPr>
            <w:tcW w:type="dxa" w:w="141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课程文档</w:t>
            </w:r>
          </w:p>
        </w:tc>
        <w:tc>
          <w:tcPr>
            <w:tcW w:type="dxa" w:w="405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四份 DOCX 模板、参考资料、三线表、图示和视觉 QA</w:t>
            </w:r>
          </w:p>
        </w:tc>
        <w:tc>
          <w:tcPr>
            <w:tcW w:type="dxa" w:w="276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最终提交版文档和页面检查</w:t>
            </w:r>
          </w:p>
        </w:tc>
      </w:tr>
      <w:tr>
        <w:tc>
          <w:tcPr>
            <w:tcW w:type="dxa" w:w="1414"/>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发布归档</w:t>
            </w:r>
          </w:p>
        </w:tc>
        <w:tc>
          <w:tcPr>
            <w:tcW w:type="dxa" w:w="4056"/>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安装包、源码、文档、测试证据和敏感信息扫描</w:t>
            </w:r>
          </w:p>
        </w:tc>
        <w:tc>
          <w:tcPr>
            <w:tcW w:type="dxa" w:w="2766"/>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交付清单和最终验收记录</w:t>
            </w:r>
          </w:p>
        </w:tc>
      </w:tr>
    </w:tbl>
    <w:p>
      <w:pPr>
        <w:spacing w:line="360" w:lineRule="auto" w:after="80"/>
        <w:ind w:firstLine="0"/>
      </w:pPr>
    </w:p>
    <w:p>
      <w:pPr>
        <w:pStyle w:val="3"/>
        <w:keepNext/>
      </w:pPr>
      <w:r>
        <w:rPr>
          <w:rFonts w:ascii="Times New Roman" w:hAnsi="Times New Roman" w:eastAsia="黑体"/>
          <w:b/>
        </w:rPr>
        <w:t>3.2进度</w:t>
      </w:r>
    </w:p>
    <w:p>
      <w:pPr>
        <w:spacing w:line="360" w:lineRule="auto" w:after="80"/>
        <w:ind w:firstLine="420"/>
      </w:pPr>
      <w:r>
        <w:rPr>
          <w:rFonts w:ascii="Times New Roman" w:hAnsi="Times New Roman" w:eastAsia="宋体"/>
          <w:sz w:val="21"/>
        </w:rPr>
        <w:t>项目进度按四个阶段安排：基础工程与需求明确、核心能力实现、桌面体验与 AI agent 打通、交付审查与安装包完成。每个阶段都设置可以验证的阶段成果，不以“代码写完”为唯一完成标准，而是要求运行、测试、文档和用户视角体验同步推进。</w:t>
      </w:r>
    </w:p>
    <w:p>
      <w:pPr>
        <w:spacing w:line="360" w:lineRule="auto" w:after="80"/>
        <w:ind w:firstLine="420"/>
      </w:pPr>
      <w:r>
        <w:rPr>
          <w:rFonts w:ascii="Times New Roman" w:hAnsi="Times New Roman" w:eastAsia="宋体"/>
          <w:sz w:val="21"/>
        </w:rPr>
        <w:t>进度计划中保留了多轮审查时间。第一轮审查关注需求是否覆盖真实场景，第二轮审查关注架构和数据是否能支撑 AI 工具调用，第三轮审查关注桌面体验和异常处理，第四轮审查关注最终文档、视觉质量和发布安装。若某一轮发现问题，优先修复影响验收的核心问题，再调整文档描述。</w:t>
      </w:r>
    </w:p>
    <w:p>
      <w:pPr>
        <w:spacing w:line="360" w:lineRule="auto" w:after="80"/>
        <w:ind w:firstLine="420"/>
      </w:pPr>
      <w:r>
        <w:rPr>
          <w:rFonts w:ascii="Times New Roman" w:hAnsi="Times New Roman" w:eastAsia="宋体"/>
          <w:sz w:val="21"/>
        </w:rPr>
        <w:t>由于 AI agent 与桌面打包都存在环境依赖，计划把这两类风险提前到中期验证，而不是留到最后。中期必须证明 sidecar 能启动、模型配置能检查、能力调用能闭环、桌面应用能构建；最终阶段再做页面细节、文档排版和安装包稳定性收尾。</w:t>
      </w:r>
    </w:p>
    <w:p>
      <w:pPr>
        <w:spacing w:line="264" w:lineRule="auto" w:before="40" w:after="100"/>
        <w:ind w:firstLine="0"/>
        <w:jc w:val="center"/>
      </w:pPr>
      <w:r>
        <w:rPr>
          <w:rFonts w:ascii="Times New Roman" w:hAnsi="Times New Roman" w:eastAsia="宋体"/>
          <w:sz w:val="19"/>
        </w:rPr>
        <w:t>表 12 项目进度安排</w:t>
      </w:r>
    </w:p>
    <w:tbl>
      <w:tblPr>
        <w:tblW w:type="dxa" w:w="8238"/>
        <w:tblLayout w:type="fixed"/>
        <w:tblLook w:firstColumn="1" w:firstRow="1" w:lastColumn="0" w:lastRow="0" w:noHBand="0" w:noVBand="1" w:val="04A0"/>
      </w:tblPr>
      <w:tblGrid>
        <w:gridCol w:w="1168"/>
        <w:gridCol w:w="1414"/>
        <w:gridCol w:w="3996"/>
        <w:gridCol w:w="1660"/>
      </w:tblGrid>
      <w:tr>
        <w:trPr>
          <w:tblHeader w:val="true"/>
        </w:trPr>
        <w:tc>
          <w:tcPr>
            <w:tcW w:type="dxa" w:w="1168"/>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阶段</w:t>
            </w:r>
          </w:p>
        </w:tc>
        <w:tc>
          <w:tcPr>
            <w:tcW w:type="dxa" w:w="1414"/>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时间安排</w:t>
            </w:r>
          </w:p>
        </w:tc>
        <w:tc>
          <w:tcPr>
            <w:tcW w:type="dxa" w:w="3996"/>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主要工作</w:t>
            </w:r>
          </w:p>
        </w:tc>
        <w:tc>
          <w:tcPr>
            <w:tcW w:type="dxa" w:w="1660"/>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阶段检查点</w:t>
            </w:r>
          </w:p>
        </w:tc>
      </w:tr>
      <w:tr>
        <w:tc>
          <w:tcPr>
            <w:tcW w:type="dxa" w:w="116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阶段一</w:t>
            </w:r>
          </w:p>
        </w:tc>
        <w:tc>
          <w:tcPr>
            <w:tcW w:type="dxa" w:w="141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第 1 周</w:t>
            </w:r>
          </w:p>
        </w:tc>
        <w:tc>
          <w:tcPr>
            <w:tcW w:type="dxa" w:w="399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需求梳理、角色用例、技术选型、仓库结构和模板确认</w:t>
            </w:r>
          </w:p>
        </w:tc>
        <w:tc>
          <w:tcPr>
            <w:tcW w:type="dxa" w:w="166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需求规格初稿、项目计划初稿</w:t>
            </w:r>
          </w:p>
        </w:tc>
      </w:tr>
      <w:tr>
        <w:tc>
          <w:tcPr>
            <w:tcW w:type="dxa" w:w="116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阶段二</w:t>
            </w:r>
          </w:p>
        </w:tc>
        <w:tc>
          <w:tcPr>
            <w:tcW w:type="dxa" w:w="141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第 2 周</w:t>
            </w:r>
          </w:p>
        </w:tc>
        <w:tc>
          <w:tcPr>
            <w:tcW w:type="dxa" w:w="399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数据库、领域服务、能力注册、动作日志、撤销和备份</w:t>
            </w:r>
          </w:p>
        </w:tc>
        <w:tc>
          <w:tcPr>
            <w:tcW w:type="dxa" w:w="166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核心包测试通过，schema 可迁移</w:t>
            </w:r>
          </w:p>
        </w:tc>
      </w:tr>
      <w:tr>
        <w:tc>
          <w:tcPr>
            <w:tcW w:type="dxa" w:w="116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阶段三</w:t>
            </w:r>
          </w:p>
        </w:tc>
        <w:tc>
          <w:tcPr>
            <w:tcW w:type="dxa" w:w="141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第 3 周</w:t>
            </w:r>
          </w:p>
        </w:tc>
        <w:tc>
          <w:tcPr>
            <w:tcW w:type="dxa" w:w="399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AI runtime、工具定义、上下文构建、sidecar 通信和桌面页面</w:t>
            </w:r>
          </w:p>
        </w:tc>
        <w:tc>
          <w:tcPr>
            <w:tcW w:type="dxa" w:w="166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AI 工具调用闭环、页面可操作</w:t>
            </w:r>
          </w:p>
        </w:tc>
      </w:tr>
      <w:tr>
        <w:tc>
          <w:tcPr>
            <w:tcW w:type="dxa" w:w="116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阶段四</w:t>
            </w:r>
          </w:p>
        </w:tc>
        <w:tc>
          <w:tcPr>
            <w:tcW w:type="dxa" w:w="141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第 4 周</w:t>
            </w:r>
          </w:p>
        </w:tc>
        <w:tc>
          <w:tcPr>
            <w:tcW w:type="dxa" w:w="399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排程质量、提醒、总结、偏好、分析页、设置页和错误边界</w:t>
            </w:r>
          </w:p>
        </w:tc>
        <w:tc>
          <w:tcPr>
            <w:tcW w:type="dxa" w:w="166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主要用户流程可贯通</w:t>
            </w:r>
          </w:p>
        </w:tc>
      </w:tr>
      <w:tr>
        <w:tc>
          <w:tcPr>
            <w:tcW w:type="dxa" w:w="116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阶段五</w:t>
            </w:r>
          </w:p>
        </w:tc>
        <w:tc>
          <w:tcPr>
            <w:tcW w:type="dxa" w:w="141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第 5 周</w:t>
            </w:r>
          </w:p>
        </w:tc>
        <w:tc>
          <w:tcPr>
            <w:tcW w:type="dxa" w:w="399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测试完善、构建检查、Tauri 后端检查、缺陷修复</w:t>
            </w:r>
          </w:p>
        </w:tc>
        <w:tc>
          <w:tcPr>
            <w:tcW w:type="dxa" w:w="1660"/>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test/typecheck/build/cargo check 通过</w:t>
            </w:r>
          </w:p>
        </w:tc>
      </w:tr>
      <w:tr>
        <w:tc>
          <w:tcPr>
            <w:tcW w:type="dxa" w:w="1168"/>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阶段六</w:t>
            </w:r>
          </w:p>
        </w:tc>
        <w:tc>
          <w:tcPr>
            <w:tcW w:type="dxa" w:w="1414"/>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第 6 周</w:t>
            </w:r>
          </w:p>
        </w:tc>
        <w:tc>
          <w:tcPr>
            <w:tcW w:type="dxa" w:w="3996"/>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安装包、文档扩写、视觉检查、最终提交版整理</w:t>
            </w:r>
          </w:p>
        </w:tc>
        <w:tc>
          <w:tcPr>
            <w:tcW w:type="dxa" w:w="1660"/>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四份文档 20 页以上，交付物可分发</w:t>
            </w:r>
          </w:p>
        </w:tc>
      </w:tr>
    </w:tbl>
    <w:p>
      <w:pPr>
        <w:spacing w:line="360" w:lineRule="auto" w:after="80"/>
        <w:ind w:firstLine="0"/>
      </w:pPr>
    </w:p>
    <w:p>
      <w:pPr>
        <w:spacing w:line="360" w:lineRule="auto" w:after="80"/>
        <w:ind w:firstLine="420"/>
      </w:pPr>
      <w:r>
        <w:rPr>
          <w:rFonts w:ascii="Times New Roman" w:hAnsi="Times New Roman" w:eastAsia="宋体"/>
          <w:sz w:val="21"/>
        </w:rPr>
        <w:t>每一阶段结束时都安排一次小范围复盘。复盘不只记录任务是否完成，还要判断需求是否变化、测试是否覆盖、文档是否需要同步更新、风险是否升高。若发现功能已经实现但文档仍停留在模板提示语，或者文档描述了代码并不存在的能力，必须在下一阶段开始前修正。</w:t>
      </w:r>
    </w:p>
    <w:p>
      <w:pPr>
        <w:spacing w:line="264" w:lineRule="auto" w:before="40" w:after="100"/>
        <w:ind w:firstLine="0"/>
        <w:jc w:val="center"/>
      </w:pPr>
      <w:r>
        <w:rPr>
          <w:rFonts w:ascii="Times New Roman" w:hAnsi="Times New Roman" w:eastAsia="宋体"/>
          <w:sz w:val="19"/>
        </w:rPr>
        <w:t>表 19 审查与迭代安排</w:t>
      </w:r>
    </w:p>
    <w:tbl>
      <w:tblPr>
        <w:tblW w:type="dxa" w:w="8235"/>
        <w:tblLayout w:type="fixed"/>
        <w:tblLook w:firstColumn="1" w:firstRow="1" w:lastColumn="0" w:lastRow="0" w:noHBand="0" w:noVBand="1" w:val="04A0"/>
      </w:tblPr>
      <w:tblGrid>
        <w:gridCol w:w="1362"/>
        <w:gridCol w:w="4025"/>
        <w:gridCol w:w="2848"/>
      </w:tblGrid>
      <w:tr>
        <w:trPr>
          <w:tblHeader w:val="true"/>
        </w:trPr>
        <w:tc>
          <w:tcPr>
            <w:tcW w:type="dxa" w:w="1362"/>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审查轮次</w:t>
            </w:r>
          </w:p>
        </w:tc>
        <w:tc>
          <w:tcPr>
            <w:tcW w:type="dxa" w:w="4025"/>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审查重点</w:t>
            </w:r>
          </w:p>
        </w:tc>
        <w:tc>
          <w:tcPr>
            <w:tcW w:type="dxa" w:w="2848"/>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处理方式</w:t>
            </w:r>
          </w:p>
        </w:tc>
      </w:tr>
      <w:tr>
        <w:tc>
          <w:tcPr>
            <w:tcW w:type="dxa" w:w="136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第一轮</w:t>
            </w:r>
          </w:p>
        </w:tc>
        <w:tc>
          <w:tcPr>
            <w:tcW w:type="dxa" w:w="4025"/>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需求范围和用例是否覆盖真实个人日程场景</w:t>
            </w:r>
          </w:p>
        </w:tc>
        <w:tc>
          <w:tcPr>
            <w:tcW w:type="dxa" w:w="2848"/>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调整需求矩阵，删除无关功能，补充边界场景</w:t>
            </w:r>
          </w:p>
        </w:tc>
      </w:tr>
      <w:tr>
        <w:tc>
          <w:tcPr>
            <w:tcW w:type="dxa" w:w="136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第二轮</w:t>
            </w:r>
          </w:p>
        </w:tc>
        <w:tc>
          <w:tcPr>
            <w:tcW w:type="dxa" w:w="4025"/>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架构是否支撑本地优先和真实 AI 工具调用</w:t>
            </w:r>
          </w:p>
        </w:tc>
        <w:tc>
          <w:tcPr>
            <w:tcW w:type="dxa" w:w="2848"/>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复核 capability、sidecar、domain 和 storage 的依赖关系</w:t>
            </w:r>
          </w:p>
        </w:tc>
      </w:tr>
      <w:tr>
        <w:tc>
          <w:tcPr>
            <w:tcW w:type="dxa" w:w="136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第三轮</w:t>
            </w:r>
          </w:p>
        </w:tc>
        <w:tc>
          <w:tcPr>
            <w:tcW w:type="dxa" w:w="4025"/>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核心功能是否能从 UI 到数据库贯通</w:t>
            </w:r>
          </w:p>
        </w:tc>
        <w:tc>
          <w:tcPr>
            <w:tcW w:type="dxa" w:w="2848"/>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按用户流程检查任务、事件、排程、撤销和备份</w:t>
            </w:r>
          </w:p>
        </w:tc>
      </w:tr>
      <w:tr>
        <w:tc>
          <w:tcPr>
            <w:tcW w:type="dxa" w:w="136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第四轮</w:t>
            </w:r>
          </w:p>
        </w:tc>
        <w:tc>
          <w:tcPr>
            <w:tcW w:type="dxa" w:w="4025"/>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AI agent 是否真实调用模型和工具</w:t>
            </w:r>
          </w:p>
        </w:tc>
        <w:tc>
          <w:tcPr>
            <w:tcW w:type="dxa" w:w="2848"/>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用真实上下文测试模型工具选择和结果回写</w:t>
            </w:r>
          </w:p>
        </w:tc>
      </w:tr>
      <w:tr>
        <w:tc>
          <w:tcPr>
            <w:tcW w:type="dxa" w:w="136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第五轮</w:t>
            </w:r>
          </w:p>
        </w:tc>
        <w:tc>
          <w:tcPr>
            <w:tcW w:type="dxa" w:w="4025"/>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安装包和桌面体验是否可交付</w:t>
            </w:r>
          </w:p>
        </w:tc>
        <w:tc>
          <w:tcPr>
            <w:tcW w:type="dxa" w:w="2848"/>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执行 release、首次启动、页面导航和数据目录检查</w:t>
            </w:r>
          </w:p>
        </w:tc>
      </w:tr>
      <w:tr>
        <w:tc>
          <w:tcPr>
            <w:tcW w:type="dxa" w:w="1362"/>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第六轮</w:t>
            </w:r>
          </w:p>
        </w:tc>
        <w:tc>
          <w:tcPr>
            <w:tcW w:type="dxa" w:w="4025"/>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四份文档是否满足模板、页数和视觉质量</w:t>
            </w:r>
          </w:p>
        </w:tc>
        <w:tc>
          <w:tcPr>
            <w:tcW w:type="dxa" w:w="2848"/>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渲染 Word 页面，修复分页、表格和目录页码</w:t>
            </w:r>
          </w:p>
        </w:tc>
      </w:tr>
    </w:tbl>
    <w:p>
      <w:pPr>
        <w:spacing w:line="360" w:lineRule="auto" w:after="80"/>
        <w:ind w:firstLine="0"/>
      </w:pPr>
    </w:p>
    <w:p>
      <w:pPr>
        <w:pStyle w:val="3"/>
        <w:keepNext/>
      </w:pPr>
      <w:r>
        <w:rPr>
          <w:rFonts w:ascii="Times New Roman" w:hAnsi="Times New Roman" w:eastAsia="黑体"/>
          <w:b/>
        </w:rPr>
        <w:t>3.3预算</w:t>
      </w:r>
    </w:p>
    <w:p>
      <w:pPr>
        <w:spacing w:line="360" w:lineRule="auto" w:after="80"/>
        <w:ind w:firstLine="420"/>
      </w:pPr>
      <w:r>
        <w:rPr>
          <w:rFonts w:ascii="Times New Roman" w:hAnsi="Times New Roman" w:eastAsia="宋体"/>
          <w:sz w:val="21"/>
        </w:rPr>
        <w:t>本项目为课程实践项目，预算主要体现为人日投入、设备与软件资源、模型调用测试成本和文档交付成本。开发工具以开源或教育可用资源为主，数据库与桌面框架不产生额外授权费用；模型调用在测试阶段只进行必要的真实连通和工具调用验证，不把大量无效聊天作为成本消耗。</w:t>
      </w:r>
    </w:p>
    <w:p>
      <w:pPr>
        <w:spacing w:line="360" w:lineRule="auto" w:after="80"/>
        <w:ind w:firstLine="420"/>
      </w:pPr>
      <w:r>
        <w:rPr>
          <w:rFonts w:ascii="Times New Roman" w:hAnsi="Times New Roman" w:eastAsia="宋体"/>
          <w:sz w:val="21"/>
        </w:rPr>
        <w:t>人力预算按角色和工作包估算。由于团队规模有限，一人可承担多个角色，但计划中仍按职责拆分，便于发现工作量集中点。AI runtime、领域服务、桌面体验和文档交付是投入较高的部分，其中 AI runtime 需要同时考虑模型接口、工具 schema、会话上下文、流式输出、错误恢复和安全审计。</w:t>
      </w:r>
    </w:p>
    <w:p>
      <w:pPr>
        <w:spacing w:line="360" w:lineRule="auto" w:after="80"/>
        <w:ind w:firstLine="420"/>
      </w:pPr>
      <w:r>
        <w:rPr>
          <w:rFonts w:ascii="Times New Roman" w:hAnsi="Times New Roman" w:eastAsia="宋体"/>
          <w:sz w:val="21"/>
        </w:rPr>
        <w:t>成本控制的原则是优先保障真实交付质量。若时间不足，不能削减 AI 工具调用、撤销、备份、测试和文档视觉检查这些验收关键项；可以压缩的只是不影响核心目标的装饰性功能或重复性展示内容。</w:t>
      </w:r>
    </w:p>
    <w:p>
      <w:pPr>
        <w:spacing w:line="264" w:lineRule="auto" w:before="40" w:after="100"/>
        <w:ind w:firstLine="0"/>
        <w:jc w:val="center"/>
      </w:pPr>
      <w:r>
        <w:rPr>
          <w:rFonts w:ascii="Times New Roman" w:hAnsi="Times New Roman" w:eastAsia="宋体"/>
          <w:sz w:val="19"/>
        </w:rPr>
        <w:t>表 13 人日与资源预算</w:t>
      </w:r>
    </w:p>
    <w:tbl>
      <w:tblPr>
        <w:tblW w:type="dxa" w:w="8237"/>
        <w:tblLayout w:type="fixed"/>
        <w:tblLook w:firstColumn="1" w:firstRow="1" w:lastColumn="0" w:lastRow="0" w:noHBand="0" w:noVBand="1" w:val="04A0"/>
      </w:tblPr>
      <w:tblGrid>
        <w:gridCol w:w="1597"/>
        <w:gridCol w:w="1532"/>
        <w:gridCol w:w="5108"/>
      </w:tblGrid>
      <w:tr>
        <w:trPr>
          <w:tblHeader w:val="true"/>
        </w:trPr>
        <w:tc>
          <w:tcPr>
            <w:tcW w:type="dxa" w:w="1597"/>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类别</w:t>
            </w:r>
          </w:p>
        </w:tc>
        <w:tc>
          <w:tcPr>
            <w:tcW w:type="dxa" w:w="1532"/>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估算投入</w:t>
            </w:r>
          </w:p>
        </w:tc>
        <w:tc>
          <w:tcPr>
            <w:tcW w:type="dxa" w:w="5108"/>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说明</w:t>
            </w:r>
          </w:p>
        </w:tc>
      </w:tr>
      <w:tr>
        <w:tc>
          <w:tcPr>
            <w:tcW w:type="dxa" w:w="159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项目管理</w:t>
            </w:r>
          </w:p>
        </w:tc>
        <w:tc>
          <w:tcPr>
            <w:tcW w:type="dxa" w:w="153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5 人日</w:t>
            </w:r>
          </w:p>
        </w:tc>
        <w:tc>
          <w:tcPr>
            <w:tcW w:type="dxa" w:w="5108"/>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计划、进度同步、风险处理、验收准备和最终交付协调</w:t>
            </w:r>
          </w:p>
        </w:tc>
      </w:tr>
      <w:tr>
        <w:tc>
          <w:tcPr>
            <w:tcW w:type="dxa" w:w="159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需求与设计</w:t>
            </w:r>
          </w:p>
        </w:tc>
        <w:tc>
          <w:tcPr>
            <w:tcW w:type="dxa" w:w="153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8 人日</w:t>
            </w:r>
          </w:p>
        </w:tc>
        <w:tc>
          <w:tcPr>
            <w:tcW w:type="dxa" w:w="5108"/>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需求分析、对象模型、接口设计、数据结构和 UI 流程</w:t>
            </w:r>
          </w:p>
        </w:tc>
      </w:tr>
      <w:tr>
        <w:tc>
          <w:tcPr>
            <w:tcW w:type="dxa" w:w="159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存储与领域层</w:t>
            </w:r>
          </w:p>
        </w:tc>
        <w:tc>
          <w:tcPr>
            <w:tcW w:type="dxa" w:w="153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14 人日</w:t>
            </w:r>
          </w:p>
        </w:tc>
        <w:tc>
          <w:tcPr>
            <w:tcW w:type="dxa" w:w="5108"/>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schema、服务、排程、提醒、偏好、动作日志、撤销和备份</w:t>
            </w:r>
          </w:p>
        </w:tc>
      </w:tr>
      <w:tr>
        <w:tc>
          <w:tcPr>
            <w:tcW w:type="dxa" w:w="159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AI runtime</w:t>
            </w:r>
          </w:p>
        </w:tc>
        <w:tc>
          <w:tcPr>
            <w:tcW w:type="dxa" w:w="153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12 人日</w:t>
            </w:r>
          </w:p>
        </w:tc>
        <w:tc>
          <w:tcPr>
            <w:tcW w:type="dxa" w:w="5108"/>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模型客户端、工具定义、上下文、会话、流式响应和调用闭环</w:t>
            </w:r>
          </w:p>
        </w:tc>
      </w:tr>
      <w:tr>
        <w:tc>
          <w:tcPr>
            <w:tcW w:type="dxa" w:w="159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桌面前端</w:t>
            </w:r>
          </w:p>
        </w:tc>
        <w:tc>
          <w:tcPr>
            <w:tcW w:type="dxa" w:w="153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12 人日</w:t>
            </w:r>
          </w:p>
        </w:tc>
        <w:tc>
          <w:tcPr>
            <w:tcW w:type="dxa" w:w="5108"/>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页面、组件、状态、设置、降级提示、错误边界和交互细节</w:t>
            </w:r>
          </w:p>
        </w:tc>
      </w:tr>
      <w:tr>
        <w:tc>
          <w:tcPr>
            <w:tcW w:type="dxa" w:w="159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测试与修复</w:t>
            </w:r>
          </w:p>
        </w:tc>
        <w:tc>
          <w:tcPr>
            <w:tcW w:type="dxa" w:w="153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10 人日</w:t>
            </w:r>
          </w:p>
        </w:tc>
        <w:tc>
          <w:tcPr>
            <w:tcW w:type="dxa" w:w="5108"/>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单元、集成、构建、桌面体验、模型连通和缺陷修复</w:t>
            </w:r>
          </w:p>
        </w:tc>
      </w:tr>
      <w:tr>
        <w:tc>
          <w:tcPr>
            <w:tcW w:type="dxa" w:w="159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文档与视觉检查</w:t>
            </w:r>
          </w:p>
        </w:tc>
        <w:tc>
          <w:tcPr>
            <w:tcW w:type="dxa" w:w="153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8 人日</w:t>
            </w:r>
          </w:p>
        </w:tc>
        <w:tc>
          <w:tcPr>
            <w:tcW w:type="dxa" w:w="5108"/>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四份 DOCX 扩写、表格、图示、页码、渲染和排版检查</w:t>
            </w:r>
          </w:p>
        </w:tc>
      </w:tr>
      <w:tr>
        <w:tc>
          <w:tcPr>
            <w:tcW w:type="dxa" w:w="1597"/>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模型调用</w:t>
            </w:r>
          </w:p>
        </w:tc>
        <w:tc>
          <w:tcPr>
            <w:tcW w:type="dxa" w:w="1532"/>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少量测试额度</w:t>
            </w:r>
          </w:p>
        </w:tc>
        <w:tc>
          <w:tcPr>
            <w:tcW w:type="dxa" w:w="5108"/>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仅用于连通、工具调用和典型场景验证，不包含密钥记录</w:t>
            </w:r>
          </w:p>
        </w:tc>
      </w:tr>
      <w:tr>
        <w:tc>
          <w:tcPr>
            <w:tcW w:type="dxa" w:w="1597"/>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设备软件</w:t>
            </w:r>
          </w:p>
        </w:tc>
        <w:tc>
          <w:tcPr>
            <w:tcW w:type="dxa" w:w="1532"/>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现有开发机与开源工具</w:t>
            </w:r>
          </w:p>
        </w:tc>
        <w:tc>
          <w:tcPr>
            <w:tcW w:type="dxa" w:w="5108"/>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Windows、Node、Rust、Tauri、SQLite、Vitest 等</w:t>
            </w:r>
          </w:p>
        </w:tc>
      </w:tr>
    </w:tbl>
    <w:p>
      <w:pPr>
        <w:spacing w:line="360" w:lineRule="auto" w:after="80"/>
        <w:ind w:firstLine="0"/>
      </w:pPr>
    </w:p>
    <w:p>
      <w:pPr>
        <w:pStyle w:val="3"/>
        <w:keepNext/>
      </w:pPr>
      <w:r>
        <w:rPr>
          <w:rFonts w:ascii="Times New Roman" w:hAnsi="Times New Roman" w:eastAsia="黑体"/>
          <w:b/>
        </w:rPr>
        <w:t>3.4关键问题</w:t>
      </w:r>
    </w:p>
    <w:p>
      <w:pPr>
        <w:spacing w:line="360" w:lineRule="auto" w:after="80"/>
        <w:ind w:firstLine="420"/>
      </w:pPr>
      <w:r>
        <w:rPr>
          <w:rFonts w:ascii="Times New Roman" w:hAnsi="Times New Roman" w:eastAsia="宋体"/>
          <w:sz w:val="21"/>
        </w:rPr>
        <w:t>影响项目成败的关键问题首先是 AI agent 的真实性。项目必须展示模型基于上下文选择工具、工具执行后继续回复的闭环，而不是把自然语言拆成固定规则。为降低风险，计划要求工具定义与 capability registry 保持可逆映射，所有工具输入 schema 明确，模型结果必须经过本地服务执行。</w:t>
      </w:r>
    </w:p>
    <w:p>
      <w:pPr>
        <w:spacing w:line="360" w:lineRule="auto" w:after="80"/>
        <w:ind w:firstLine="420"/>
      </w:pPr>
      <w:r>
        <w:rPr>
          <w:rFonts w:ascii="Times New Roman" w:hAnsi="Times New Roman" w:eastAsia="宋体"/>
          <w:sz w:val="21"/>
        </w:rPr>
        <w:t>第二个关键问题是本地数据安全。日程助手处理的是个人任务、时间安排和偏好，如果备份、恢复、撤销、锁定和动作日志做得不可靠，AI 越强反而越容易造成用户不信任。因此计划把 action_logs、undo_groups、locked、manual_signal、backup.verify 等能力列为核心质量点。</w:t>
      </w:r>
    </w:p>
    <w:p>
      <w:pPr>
        <w:spacing w:line="360" w:lineRule="auto" w:after="80"/>
        <w:ind w:firstLine="420"/>
      </w:pPr>
      <w:r>
        <w:rPr>
          <w:rFonts w:ascii="Times New Roman" w:hAnsi="Times New Roman" w:eastAsia="宋体"/>
          <w:sz w:val="21"/>
        </w:rPr>
        <w:t>第三个关键问题是桌面交付。Tauri 应用不仅要能在开发服务器中运行，还要在 release 构建、sidecar 启动、安装包、首次打开、页面导航和异常提示上通过检查。若只验证前端页面而不验证桌面环境，最终产品不能称为可直接分发使用。</w:t>
      </w:r>
    </w:p>
    <w:p>
      <w:pPr>
        <w:spacing w:line="264" w:lineRule="auto" w:before="40" w:after="100"/>
        <w:ind w:firstLine="0"/>
        <w:jc w:val="center"/>
      </w:pPr>
      <w:r>
        <w:rPr>
          <w:rFonts w:ascii="Times New Roman" w:hAnsi="Times New Roman" w:eastAsia="宋体"/>
          <w:sz w:val="19"/>
        </w:rPr>
        <w:t>表 14 关键风险与对策</w:t>
      </w:r>
    </w:p>
    <w:tbl>
      <w:tblPr>
        <w:tblW w:type="dxa" w:w="8237"/>
        <w:tblLayout w:type="fixed"/>
        <w:tblLook w:firstColumn="1" w:firstRow="1" w:lastColumn="0" w:lastRow="0" w:noHBand="0" w:noVBand="1" w:val="04A0"/>
      </w:tblPr>
      <w:tblGrid>
        <w:gridCol w:w="1783"/>
        <w:gridCol w:w="2766"/>
        <w:gridCol w:w="3688"/>
      </w:tblGrid>
      <w:tr>
        <w:trPr>
          <w:tblHeader w:val="true"/>
        </w:trPr>
        <w:tc>
          <w:tcPr>
            <w:tcW w:type="dxa" w:w="1783"/>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风险</w:t>
            </w:r>
          </w:p>
        </w:tc>
        <w:tc>
          <w:tcPr>
            <w:tcW w:type="dxa" w:w="2766"/>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影响</w:t>
            </w:r>
          </w:p>
        </w:tc>
        <w:tc>
          <w:tcPr>
            <w:tcW w:type="dxa" w:w="3688"/>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应对措施</w:t>
            </w:r>
          </w:p>
        </w:tc>
      </w:tr>
      <w:tr>
        <w:tc>
          <w:tcPr>
            <w:tcW w:type="dxa" w:w="178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模型服务不可用</w:t>
            </w:r>
          </w:p>
        </w:tc>
        <w:tc>
          <w:tcPr>
            <w:tcW w:type="dxa" w:w="276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AI 页面和自动建议暂时不可用</w:t>
            </w:r>
          </w:p>
        </w:tc>
        <w:tc>
          <w:tcPr>
            <w:tcW w:type="dxa" w:w="3688"/>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提供连通性检查、离线提示和核心本地功能可用性</w:t>
            </w:r>
          </w:p>
        </w:tc>
      </w:tr>
      <w:tr>
        <w:tc>
          <w:tcPr>
            <w:tcW w:type="dxa" w:w="178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工具调用映射错误</w:t>
            </w:r>
          </w:p>
        </w:tc>
        <w:tc>
          <w:tcPr>
            <w:tcW w:type="dxa" w:w="276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模型选择的工具无法执行或执行错能力</w:t>
            </w:r>
          </w:p>
        </w:tc>
        <w:tc>
          <w:tcPr>
            <w:tcW w:type="dxa" w:w="3688"/>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保持 capabilityToToolName 与 toolToCapabilityName 可逆并纳入测试</w:t>
            </w:r>
          </w:p>
        </w:tc>
      </w:tr>
      <w:tr>
        <w:tc>
          <w:tcPr>
            <w:tcW w:type="dxa" w:w="178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锁定项被改动</w:t>
            </w:r>
          </w:p>
        </w:tc>
        <w:tc>
          <w:tcPr>
            <w:tcW w:type="dxa" w:w="276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用户手动安排失去可信度</w:t>
            </w:r>
          </w:p>
        </w:tc>
        <w:tc>
          <w:tcPr>
            <w:tcW w:type="dxa" w:w="3688"/>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领域服务和排程逻辑统一检查 locked/manual_signal</w:t>
            </w:r>
          </w:p>
        </w:tc>
      </w:tr>
      <w:tr>
        <w:tc>
          <w:tcPr>
            <w:tcW w:type="dxa" w:w="178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撤销失败</w:t>
            </w:r>
          </w:p>
        </w:tc>
        <w:tc>
          <w:tcPr>
            <w:tcW w:type="dxa" w:w="276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用户无法恢复 AI 或人工误操作</w:t>
            </w:r>
          </w:p>
        </w:tc>
        <w:tc>
          <w:tcPr>
            <w:tcW w:type="dxa" w:w="3688"/>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所有变更记录 state_before/state_after 和 undo_group</w:t>
            </w:r>
          </w:p>
        </w:tc>
      </w:tr>
      <w:tr>
        <w:tc>
          <w:tcPr>
            <w:tcW w:type="dxa" w:w="178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数据库损坏或迁移失败</w:t>
            </w:r>
          </w:p>
        </w:tc>
        <w:tc>
          <w:tcPr>
            <w:tcW w:type="dxa" w:w="276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业务数据丢失或应用无法启动</w:t>
            </w:r>
          </w:p>
        </w:tc>
        <w:tc>
          <w:tcPr>
            <w:tcW w:type="dxa" w:w="3688"/>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WAL、外键、事务迁移、备份校验和恢复点</w:t>
            </w:r>
          </w:p>
        </w:tc>
      </w:tr>
      <w:tr>
        <w:tc>
          <w:tcPr>
            <w:tcW w:type="dxa" w:w="178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桌面打包失败</w:t>
            </w:r>
          </w:p>
        </w:tc>
        <w:tc>
          <w:tcPr>
            <w:tcW w:type="dxa" w:w="276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无法形成可分发成品</w:t>
            </w:r>
          </w:p>
        </w:tc>
        <w:tc>
          <w:tcPr>
            <w:tcW w:type="dxa" w:w="3688"/>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中期验证 Tauri release，最终再做安装包检查</w:t>
            </w:r>
          </w:p>
        </w:tc>
      </w:tr>
      <w:tr>
        <w:tc>
          <w:tcPr>
            <w:tcW w:type="dxa" w:w="178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文档与实际脱节</w:t>
            </w:r>
          </w:p>
        </w:tc>
        <w:tc>
          <w:tcPr>
            <w:tcW w:type="dxa" w:w="276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课程评审难以相信工程完成度</w:t>
            </w:r>
          </w:p>
        </w:tc>
        <w:tc>
          <w:tcPr>
            <w:tcW w:type="dxa" w:w="3688"/>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文档内容基于实际模块、测试结果和视觉 QA</w:t>
            </w:r>
          </w:p>
        </w:tc>
      </w:tr>
      <w:tr>
        <w:tc>
          <w:tcPr>
            <w:tcW w:type="dxa" w:w="178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页面体验割裂</w:t>
            </w:r>
          </w:p>
        </w:tc>
        <w:tc>
          <w:tcPr>
            <w:tcW w:type="dxa" w:w="2766"/>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用户不理解 AI 状态或任务流</w:t>
            </w:r>
          </w:p>
        </w:tc>
        <w:tc>
          <w:tcPr>
            <w:tcW w:type="dxa" w:w="3688"/>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统一页面风格、错误提示、降级 banner 和设置入口</w:t>
            </w:r>
          </w:p>
        </w:tc>
      </w:tr>
      <w:tr>
        <w:tc>
          <w:tcPr>
            <w:tcW w:type="dxa" w:w="178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测试数据不足</w:t>
            </w:r>
          </w:p>
        </w:tc>
        <w:tc>
          <w:tcPr>
            <w:tcW w:type="dxa" w:w="276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边界问题无法暴露</w:t>
            </w:r>
          </w:p>
        </w:tc>
        <w:tc>
          <w:tcPr>
            <w:tcW w:type="dxa" w:w="3688"/>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准备含冲突、截止、锁定、提醒、偏好的综合数据集</w:t>
            </w:r>
          </w:p>
        </w:tc>
      </w:tr>
      <w:tr>
        <w:tc>
          <w:tcPr>
            <w:tcW w:type="dxa" w:w="1783"/>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敏感信息泄露</w:t>
            </w:r>
          </w:p>
        </w:tc>
        <w:tc>
          <w:tcPr>
            <w:tcW w:type="dxa" w:w="2766"/>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造成安全和合规问题</w:t>
            </w:r>
          </w:p>
        </w:tc>
        <w:tc>
          <w:tcPr>
            <w:tcW w:type="dxa" w:w="3688"/>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交付前执行密钥、内部调试文本、占位符和日志检查</w:t>
            </w:r>
          </w:p>
        </w:tc>
      </w:tr>
    </w:tbl>
    <w:p>
      <w:pPr>
        <w:spacing w:line="360" w:lineRule="auto" w:after="80"/>
        <w:ind w:firstLine="0"/>
      </w:pPr>
    </w:p>
    <w:p>
      <w:pPr>
        <w:spacing w:line="360" w:lineRule="auto" w:after="80"/>
        <w:ind w:firstLine="420"/>
      </w:pPr>
      <w:r>
        <w:rPr>
          <w:rFonts w:ascii="Times New Roman" w:hAnsi="Times New Roman" w:eastAsia="宋体"/>
          <w:sz w:val="21"/>
        </w:rPr>
        <w:t>风险监控需要具体触发指标，而不是等到最终验收才发现问题。比如模型工具调用连续失败、测试命令连续失败、安装包无法启动、文档页数不足、目录页码不准、备份恢复未验证等，都应触发孟天赐组织专项修复。触发后先判断是否影响交付，再安排责任人和回归检查。</w:t>
      </w:r>
    </w:p>
    <w:p>
      <w:pPr>
        <w:spacing w:line="360" w:lineRule="auto" w:after="80"/>
        <w:ind w:firstLine="420"/>
      </w:pPr>
      <w:r>
        <w:rPr>
          <w:rFonts w:ascii="Times New Roman" w:hAnsi="Times New Roman" w:eastAsia="宋体"/>
          <w:sz w:val="21"/>
        </w:rPr>
        <w:t>关键问题的处理顺序遵循用户价值和数据安全优先。若页面视觉和备份恢复同时出现问题，优先修复备份恢复；若 AI 回复自然度和工具执行可靠性同时存在问题，优先修复工具执行；若新增功能和测试失败冲突，优先恢复测试通过。这样可以保证项目不会在最后阶段被次要内容拖垮。</w:t>
      </w:r>
    </w:p>
    <w:p>
      <w:pPr>
        <w:spacing w:line="264" w:lineRule="auto" w:before="40" w:after="100"/>
        <w:ind w:firstLine="0"/>
        <w:jc w:val="center"/>
      </w:pPr>
      <w:r>
        <w:rPr>
          <w:rFonts w:ascii="Times New Roman" w:hAnsi="Times New Roman" w:eastAsia="宋体"/>
          <w:sz w:val="19"/>
        </w:rPr>
        <w:t>表 20 风险触发指标与处置</w:t>
      </w:r>
    </w:p>
    <w:tbl>
      <w:tblPr>
        <w:tblW w:type="dxa" w:w="8238"/>
        <w:tblLayout w:type="fixed"/>
        <w:tblLook w:firstColumn="1" w:firstRow="1" w:lastColumn="0" w:lastRow="0" w:noHBand="0" w:noVBand="1" w:val="04A0"/>
      </w:tblPr>
      <w:tblGrid>
        <w:gridCol w:w="1810"/>
        <w:gridCol w:w="2933"/>
        <w:gridCol w:w="3495"/>
      </w:tblGrid>
      <w:tr>
        <w:trPr>
          <w:tblHeader w:val="true"/>
        </w:trPr>
        <w:tc>
          <w:tcPr>
            <w:tcW w:type="dxa" w:w="1810"/>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触发指标</w:t>
            </w:r>
          </w:p>
        </w:tc>
        <w:tc>
          <w:tcPr>
            <w:tcW w:type="dxa" w:w="2933"/>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可能原因</w:t>
            </w:r>
          </w:p>
        </w:tc>
        <w:tc>
          <w:tcPr>
            <w:tcW w:type="dxa" w:w="3495"/>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处置要求</w:t>
            </w:r>
          </w:p>
        </w:tc>
      </w:tr>
      <w:tr>
        <w:tc>
          <w:tcPr>
            <w:tcW w:type="dxa" w:w="181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AI 工具连续失败</w:t>
            </w:r>
          </w:p>
        </w:tc>
        <w:tc>
          <w:tcPr>
            <w:tcW w:type="dxa" w:w="293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工具名映射、schema 或模型参数异常</w:t>
            </w:r>
          </w:p>
        </w:tc>
        <w:tc>
          <w:tcPr>
            <w:tcW w:type="dxa" w:w="3495"/>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回到 runtime 和 capability 测试，修复后做真实模型验证</w:t>
            </w:r>
          </w:p>
        </w:tc>
      </w:tr>
      <w:tr>
        <w:tc>
          <w:tcPr>
            <w:tcW w:type="dxa" w:w="181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排程覆盖锁定项</w:t>
            </w:r>
          </w:p>
        </w:tc>
        <w:tc>
          <w:tcPr>
            <w:tcW w:type="dxa" w:w="293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领域规则或查询字段错误</w:t>
            </w:r>
          </w:p>
        </w:tc>
        <w:tc>
          <w:tcPr>
            <w:tcW w:type="dxa" w:w="3495"/>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停止发布，修复 ScheduleService 并增加回归场景</w:t>
            </w:r>
          </w:p>
        </w:tc>
      </w:tr>
      <w:tr>
        <w:tc>
          <w:tcPr>
            <w:tcW w:type="dxa" w:w="181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撤销无法恢复</w:t>
            </w:r>
          </w:p>
        </w:tc>
        <w:tc>
          <w:tcPr>
            <w:tcW w:type="dxa" w:w="293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动作日志缺失 state_before 或恢复逻辑不完整</w:t>
            </w:r>
          </w:p>
        </w:tc>
        <w:tc>
          <w:tcPr>
            <w:tcW w:type="dxa" w:w="3495"/>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修复 UndoService 和 action_logs 记录</w:t>
            </w:r>
          </w:p>
        </w:tc>
      </w:tr>
      <w:tr>
        <w:tc>
          <w:tcPr>
            <w:tcW w:type="dxa" w:w="181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备份校验失败</w:t>
            </w:r>
          </w:p>
        </w:tc>
        <w:tc>
          <w:tcPr>
            <w:tcW w:type="dxa" w:w="293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文件复制、路径或完整性检查异常</w:t>
            </w:r>
          </w:p>
        </w:tc>
        <w:tc>
          <w:tcPr>
            <w:tcW w:type="dxa" w:w="3495"/>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禁止恢复，先修复备份流程</w:t>
            </w:r>
          </w:p>
        </w:tc>
      </w:tr>
      <w:tr>
        <w:tc>
          <w:tcPr>
            <w:tcW w:type="dxa" w:w="181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构建或类型检查失败</w:t>
            </w:r>
          </w:p>
        </w:tc>
        <w:tc>
          <w:tcPr>
            <w:tcW w:type="dxa" w:w="293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跨包接口变化未同步</w:t>
            </w:r>
          </w:p>
        </w:tc>
        <w:tc>
          <w:tcPr>
            <w:tcW w:type="dxa" w:w="3495"/>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修复类型和构建，再更新相关文档</w:t>
            </w:r>
          </w:p>
        </w:tc>
      </w:tr>
      <w:tr>
        <w:tc>
          <w:tcPr>
            <w:tcW w:type="dxa" w:w="181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安装包无法启动</w:t>
            </w:r>
          </w:p>
        </w:tc>
        <w:tc>
          <w:tcPr>
            <w:tcW w:type="dxa" w:w="293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Tauri 配置、sidecar 或资源路径异常</w:t>
            </w:r>
          </w:p>
        </w:tc>
        <w:tc>
          <w:tcPr>
            <w:tcW w:type="dxa" w:w="3495"/>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执行 release 级别调试，不以开发模式通过替代</w:t>
            </w:r>
          </w:p>
        </w:tc>
      </w:tr>
      <w:tr>
        <w:tc>
          <w:tcPr>
            <w:tcW w:type="dxa" w:w="181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文档页数不足</w:t>
            </w:r>
          </w:p>
        </w:tc>
        <w:tc>
          <w:tcPr>
            <w:tcW w:type="dxa" w:w="293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内容过少或未按模板扩写</w:t>
            </w:r>
          </w:p>
        </w:tc>
        <w:tc>
          <w:tcPr>
            <w:tcW w:type="dxa" w:w="3495"/>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补充真实工程内容并重新渲染检查</w:t>
            </w:r>
          </w:p>
        </w:tc>
      </w:tr>
      <w:tr>
        <w:tc>
          <w:tcPr>
            <w:tcW w:type="dxa" w:w="1810"/>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敏感信息命中</w:t>
            </w:r>
          </w:p>
        </w:tc>
        <w:tc>
          <w:tcPr>
            <w:tcW w:type="dxa" w:w="2933"/>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误写密钥、内部调试文本或私人数据</w:t>
            </w:r>
          </w:p>
        </w:tc>
        <w:tc>
          <w:tcPr>
            <w:tcW w:type="dxa" w:w="3495"/>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立即删除并重新生成最终材料</w:t>
            </w:r>
          </w:p>
        </w:tc>
      </w:tr>
    </w:tbl>
    <w:p>
      <w:pPr>
        <w:spacing w:line="360" w:lineRule="auto" w:after="80"/>
        <w:ind w:firstLine="0"/>
      </w:pPr>
    </w:p>
    <w:p>
      <w:pPr>
        <w:pStyle w:val="2"/>
        <w:keepNext/>
      </w:pPr>
      <w:r>
        <w:rPr>
          <w:rFonts w:ascii="Times New Roman" w:hAnsi="Times New Roman" w:eastAsia="黑体"/>
          <w:b/>
        </w:rPr>
        <w:t>4．人员组织及分工</w:t>
      </w:r>
    </w:p>
    <w:p>
      <w:pPr>
        <w:spacing w:line="360" w:lineRule="auto" w:after="80"/>
        <w:ind w:firstLine="420"/>
      </w:pPr>
      <w:r>
        <w:rPr>
          <w:rFonts w:ascii="Times New Roman" w:hAnsi="Times New Roman" w:eastAsia="宋体"/>
          <w:sz w:val="21"/>
        </w:rPr>
        <w:t>项目组采用统一分工口径：孟天赐（2410250732，队长）负责总体统筹和最终验收，杨瑞熙（2410250115）负责需求与用例，王研博（2410250646）负责存储、领域服务和能力注册，姚玮（2410250848）负责 AI runtime 与工具调用闭环，王雅娴（2410250575）负责桌面前端交互，冯留杨（2410250311）负责 Tauri 桌面后端与安装交付，李思晴（2410250609）负责测试计划和缺陷闭环，闫艺馨（2410250846）负责课程文档、图表和视觉质量。四份文档中涉及人员责任、测试执行和交付验收时均采用这一套姓名与学号口径。</w:t>
      </w:r>
    </w:p>
    <w:p>
      <w:pPr>
        <w:spacing w:line="360" w:lineRule="auto" w:after="80"/>
        <w:ind w:firstLine="420"/>
      </w:pPr>
      <w:r>
        <w:rPr>
          <w:rFonts w:ascii="Times New Roman" w:hAnsi="Times New Roman" w:eastAsia="宋体"/>
          <w:sz w:val="21"/>
        </w:rPr>
        <w:t>项目采用小组制组织方式，但不再只以“前端负责人”“测试负责人”等抽象角色记录责任，而是把每个工作包落实到具体成员。分工管理采用“责任人负责、相关人协作、孟天赐验收”的方式；跨模块事项由主责人与协作成员共同处理，最终依据测试结果、页面流程和文档检查确认是否完成。</w:t>
      </w:r>
    </w:p>
    <w:p>
      <w:pPr>
        <w:spacing w:line="360" w:lineRule="auto" w:after="80"/>
        <w:ind w:firstLine="420"/>
      </w:pPr>
      <w:r>
        <w:rPr>
          <w:rFonts w:ascii="Times New Roman" w:hAnsi="Times New Roman" w:eastAsia="宋体"/>
          <w:sz w:val="21"/>
        </w:rPr>
        <w:t>这种分工并不意味着成员之间割裂工作。AI runtime 需要后端能力配合，桌面前端需要测试和文档成员从用户视角复核，安装交付需要队长、桌面后端和测试共同确认。文档中涉及技术事实时，由对应模块责任人复核；涉及需求和验收口径时，由杨瑞熙、李思晴和孟天赐共同确认。</w:t>
      </w:r>
    </w:p>
    <w:p>
      <w:pPr>
        <w:spacing w:line="264" w:lineRule="auto" w:before="40" w:after="100"/>
        <w:ind w:firstLine="0"/>
        <w:jc w:val="center"/>
      </w:pPr>
      <w:r>
        <w:rPr>
          <w:rFonts w:ascii="Times New Roman" w:hAnsi="Times New Roman" w:eastAsia="宋体"/>
          <w:sz w:val="19"/>
        </w:rPr>
        <w:t>表 15 人员组织及具体分工</w:t>
      </w:r>
    </w:p>
    <w:tbl>
      <w:tblPr>
        <w:tblW w:type="dxa" w:w="8237"/>
        <w:tblLayout w:type="fixed"/>
        <w:tblLook w:firstColumn="1" w:firstRow="1" w:lastColumn="0" w:lastRow="0" w:noHBand="0" w:noVBand="1" w:val="04A0"/>
      </w:tblPr>
      <w:tblGrid>
        <w:gridCol w:w="1596"/>
        <w:gridCol w:w="1493"/>
        <w:gridCol w:w="3089"/>
        <w:gridCol w:w="2059"/>
      </w:tblGrid>
      <w:tr>
        <w:trPr>
          <w:tblHeader w:val="true"/>
        </w:trPr>
        <w:tc>
          <w:tcPr>
            <w:tcW w:type="dxa" w:w="1596"/>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成员</w:t>
            </w:r>
          </w:p>
        </w:tc>
        <w:tc>
          <w:tcPr>
            <w:tcW w:type="dxa" w:w="1493"/>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具体分工</w:t>
            </w:r>
          </w:p>
        </w:tc>
        <w:tc>
          <w:tcPr>
            <w:tcW w:type="dxa" w:w="3089"/>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主要职责说明</w:t>
            </w:r>
          </w:p>
        </w:tc>
        <w:tc>
          <w:tcPr>
            <w:tcW w:type="dxa" w:w="2059"/>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主要交付物</w:t>
            </w:r>
          </w:p>
        </w:tc>
      </w:tr>
      <w:tr>
        <w:tc>
          <w:tcPr>
            <w:tcW w:type="dxa" w:w="159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孟天赐（2410250732，队长）</w:t>
            </w:r>
          </w:p>
        </w:tc>
        <w:tc>
          <w:tcPr>
            <w:tcW w:type="dxa" w:w="149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队长、项目统筹、集成验收</w:t>
            </w:r>
          </w:p>
        </w:tc>
        <w:tc>
          <w:tcPr>
            <w:tcW w:type="dxa" w:w="308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负责范围控制、进度协调、关键风险处理、AI agent 与桌面端最终联调、最终交付确认。</w:t>
            </w:r>
          </w:p>
        </w:tc>
        <w:tc>
          <w:tcPr>
            <w:tcW w:type="dxa" w:w="205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项目计划、验收清单、最终演示和发布决策</w:t>
            </w:r>
          </w:p>
        </w:tc>
      </w:tr>
      <w:tr>
        <w:tc>
          <w:tcPr>
            <w:tcW w:type="dxa" w:w="159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杨瑞熙（2410250115）</w:t>
            </w:r>
          </w:p>
        </w:tc>
        <w:tc>
          <w:tcPr>
            <w:tcW w:type="dxa" w:w="149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需求分析与用例建模</w:t>
            </w:r>
          </w:p>
        </w:tc>
        <w:tc>
          <w:tcPr>
            <w:tcW w:type="dxa" w:w="308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负责用户场景整理、执行者识别、用例文档、功能需求矩阵、非功能需求和验收口径统一。</w:t>
            </w:r>
          </w:p>
        </w:tc>
        <w:tc>
          <w:tcPr>
            <w:tcW w:type="dxa" w:w="205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需求规格说明书需求章节、用例清单、需求追踪口径</w:t>
            </w:r>
          </w:p>
        </w:tc>
      </w:tr>
      <w:tr>
        <w:tc>
          <w:tcPr>
            <w:tcW w:type="dxa" w:w="159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王雅娴（2410250575）</w:t>
            </w:r>
          </w:p>
        </w:tc>
        <w:tc>
          <w:tcPr>
            <w:tcW w:type="dxa" w:w="149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桌面前端与交互实现</w:t>
            </w:r>
          </w:p>
        </w:tc>
        <w:tc>
          <w:tcPr>
            <w:tcW w:type="dxa" w:w="308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负责 Today、Tasks、Settings 等主要页面的组件拆分、表单状态、错误提示、Toast 和可用性细节。</w:t>
            </w:r>
          </w:p>
        </w:tc>
        <w:tc>
          <w:tcPr>
            <w:tcW w:type="dxa" w:w="205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React/Tauri 前端页面、交互检查记录</w:t>
            </w:r>
          </w:p>
        </w:tc>
      </w:tr>
      <w:tr>
        <w:tc>
          <w:tcPr>
            <w:tcW w:type="dxa" w:w="159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王研博（2410250646）</w:t>
            </w:r>
          </w:p>
        </w:tc>
        <w:tc>
          <w:tcPr>
            <w:tcW w:type="dxa" w:w="149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存储层、领域层与能力注册</w:t>
            </w:r>
          </w:p>
        </w:tc>
        <w:tc>
          <w:tcPr>
            <w:tcW w:type="dxa" w:w="308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负责 SQLite schema、迁移、任务事件服务、排程基础能力、动作日志、撤销和 capability registry。</w:t>
            </w:r>
          </w:p>
        </w:tc>
        <w:tc>
          <w:tcPr>
            <w:tcW w:type="dxa" w:w="205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storage/domain/capabilities 代码与单元测试</w:t>
            </w:r>
          </w:p>
        </w:tc>
      </w:tr>
      <w:tr>
        <w:tc>
          <w:tcPr>
            <w:tcW w:type="dxa" w:w="159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姚玮（2410250848）</w:t>
            </w:r>
          </w:p>
        </w:tc>
        <w:tc>
          <w:tcPr>
            <w:tcW w:type="dxa" w:w="149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AI runtime 与工具调用闭环</w:t>
            </w:r>
          </w:p>
        </w:tc>
        <w:tc>
          <w:tcPr>
            <w:tcW w:type="dxa" w:w="308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负责模型客户端、工具 schema、上下文构建、流式事件、tool_use/tool_result 回传和 sidecar AI 接口。</w:t>
            </w:r>
          </w:p>
        </w:tc>
        <w:tc>
          <w:tcPr>
            <w:tcW w:type="dxa" w:w="205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runtime/sidecar AI 能力、连通性和工具调用验证</w:t>
            </w:r>
          </w:p>
        </w:tc>
      </w:tr>
      <w:tr>
        <w:tc>
          <w:tcPr>
            <w:tcW w:type="dxa" w:w="159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冯留杨（2410250311）</w:t>
            </w:r>
          </w:p>
        </w:tc>
        <w:tc>
          <w:tcPr>
            <w:tcW w:type="dxa" w:w="149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Tauri 桌面后端与安装交付</w:t>
            </w:r>
          </w:p>
        </w:tc>
        <w:tc>
          <w:tcPr>
            <w:tcW w:type="dxa" w:w="308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负责 Tauri 命令桥接、sidecar 生命周期、桌面权限、release 构建、安装包验证和运行环境检查。</w:t>
            </w:r>
          </w:p>
        </w:tc>
        <w:tc>
          <w:tcPr>
            <w:tcW w:type="dxa" w:w="205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桌面后端、发布配置、安装验证记录</w:t>
            </w:r>
          </w:p>
        </w:tc>
      </w:tr>
      <w:tr>
        <w:tc>
          <w:tcPr>
            <w:tcW w:type="dxa" w:w="1596"/>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李思晴（2410250609）</w:t>
            </w:r>
          </w:p>
        </w:tc>
        <w:tc>
          <w:tcPr>
            <w:tcW w:type="dxa" w:w="1493"/>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测试计划、执行与缺陷闭环</w:t>
            </w:r>
          </w:p>
        </w:tc>
        <w:tc>
          <w:tcPr>
            <w:tcW w:type="dxa" w:w="308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负责自动化命令测试、功能场景测试、边界测试、回归记录、测试报告结论和缺陷跟踪。</w:t>
            </w:r>
          </w:p>
        </w:tc>
        <w:tc>
          <w:tcPr>
            <w:tcW w:type="dxa" w:w="2059"/>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测试报告、测试用例结果、回归检查记录</w:t>
            </w:r>
          </w:p>
        </w:tc>
      </w:tr>
      <w:tr>
        <w:tc>
          <w:tcPr>
            <w:tcW w:type="dxa" w:w="1596"/>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闫艺馨（2410250846）</w:t>
            </w:r>
          </w:p>
        </w:tc>
        <w:tc>
          <w:tcPr>
            <w:tcW w:type="dxa" w:w="1493"/>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课程文档、图表与视觉 QA</w:t>
            </w:r>
          </w:p>
        </w:tc>
        <w:tc>
          <w:tcPr>
            <w:tcW w:type="dxa" w:w="3089"/>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负责四份 DOCX 模板结构维护、三线表排版、图示组织、目录页码、敏感信息扫描和页面视觉检查。</w:t>
            </w:r>
          </w:p>
        </w:tc>
        <w:tc>
          <w:tcPr>
            <w:tcW w:type="dxa" w:w="2059"/>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最终 DOCX、图文排版和文档质量检查记录</w:t>
            </w:r>
          </w:p>
        </w:tc>
      </w:tr>
    </w:tbl>
    <w:p>
      <w:pPr>
        <w:spacing w:line="360" w:lineRule="auto" w:after="80"/>
        <w:ind w:firstLine="0"/>
      </w:pPr>
    </w:p>
    <w:p>
      <w:pPr>
        <w:pStyle w:val="2"/>
        <w:keepNext/>
      </w:pPr>
      <w:r>
        <w:rPr>
          <w:rFonts w:ascii="Times New Roman" w:hAnsi="Times New Roman" w:eastAsia="黑体"/>
          <w:b/>
        </w:rPr>
        <w:t>5．交付期限</w:t>
      </w:r>
    </w:p>
    <w:p>
      <w:pPr>
        <w:spacing w:line="360" w:lineRule="auto" w:after="80"/>
        <w:ind w:firstLine="420"/>
      </w:pPr>
      <w:r>
        <w:rPr>
          <w:rFonts w:ascii="Times New Roman" w:hAnsi="Times New Roman" w:eastAsia="宋体"/>
          <w:sz w:val="21"/>
        </w:rPr>
        <w:t>项目交付期限以课程提交时间为最终约束，内部设置需求冻结、设计冻结、核心功能冻结、测试冻结和文档冻结五个里程碑。冻结并不意味着完全停止修改，而是指除缺陷修复、验收阻塞项和文档校正外，不再随意扩大范围。这样可以保证最后阶段用于质量收敛，而不是继续增加未经测试的新功能。</w:t>
      </w:r>
    </w:p>
    <w:p>
      <w:pPr>
        <w:spacing w:line="360" w:lineRule="auto" w:after="80"/>
        <w:ind w:firstLine="420"/>
      </w:pPr>
      <w:r>
        <w:rPr>
          <w:rFonts w:ascii="Times New Roman" w:hAnsi="Times New Roman" w:eastAsia="宋体"/>
          <w:sz w:val="21"/>
        </w:rPr>
        <w:t>最终交付前至少完成三轮检查。第一轮是工程检查，确认测试、类型、构建和 Tauri 后端检查通过；第二轮是产品检查，从用户视角体验任务管理、日程安排、AI 对话、撤销、备份和设置；第三轮是文档检查，确认四份 DOCX 页数、结构、三线表、图文密度、参考文献、目录页码和视觉排版合格。</w:t>
      </w:r>
    </w:p>
    <w:p>
      <w:pPr>
        <w:spacing w:line="360" w:lineRule="auto" w:after="80"/>
        <w:ind w:firstLine="420"/>
      </w:pPr>
      <w:r>
        <w:rPr>
          <w:rFonts w:ascii="Times New Roman" w:hAnsi="Times New Roman" w:eastAsia="宋体"/>
          <w:sz w:val="21"/>
        </w:rPr>
        <w:t>若交付前出现阻塞问题，处理顺序为：先保证数据安全和核心本地功能，再保证 AI agent 真实闭环，然后保证桌面可安装和文档可提交。非关键展示内容可以推迟，但不能牺牲安全、撤销、备份、真实模型调用和最终视觉质量。</w:t>
      </w:r>
    </w:p>
    <w:p>
      <w:pPr>
        <w:spacing w:line="264" w:lineRule="auto" w:before="40" w:after="100"/>
        <w:ind w:firstLine="0"/>
        <w:jc w:val="center"/>
      </w:pPr>
      <w:r>
        <w:rPr>
          <w:rFonts w:ascii="Times New Roman" w:hAnsi="Times New Roman" w:eastAsia="宋体"/>
          <w:sz w:val="19"/>
        </w:rPr>
        <w:t>表 16 交付里程碑</w:t>
      </w:r>
    </w:p>
    <w:tbl>
      <w:tblPr>
        <w:tblW w:type="dxa" w:w="8235"/>
        <w:tblLayout w:type="fixed"/>
        <w:tblLook w:firstColumn="1" w:firstRow="1" w:lastColumn="0" w:lastRow="0" w:noHBand="0" w:noVBand="1" w:val="04A0"/>
      </w:tblPr>
      <w:tblGrid>
        <w:gridCol w:w="1548"/>
        <w:gridCol w:w="3963"/>
        <w:gridCol w:w="2724"/>
      </w:tblGrid>
      <w:tr>
        <w:trPr>
          <w:tblHeader w:val="true"/>
        </w:trPr>
        <w:tc>
          <w:tcPr>
            <w:tcW w:type="dxa" w:w="1548"/>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里程碑</w:t>
            </w:r>
          </w:p>
        </w:tc>
        <w:tc>
          <w:tcPr>
            <w:tcW w:type="dxa" w:w="3963"/>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完成条件</w:t>
            </w:r>
          </w:p>
        </w:tc>
        <w:tc>
          <w:tcPr>
            <w:tcW w:type="dxa" w:w="2724"/>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交付物</w:t>
            </w:r>
          </w:p>
        </w:tc>
      </w:tr>
      <w:tr>
        <w:tc>
          <w:tcPr>
            <w:tcW w:type="dxa" w:w="154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M1 需求冻结</w:t>
            </w:r>
          </w:p>
        </w:tc>
        <w:tc>
          <w:tcPr>
            <w:tcW w:type="dxa" w:w="396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用户角色、用例、功能和非功能需求确认</w:t>
            </w:r>
          </w:p>
        </w:tc>
        <w:tc>
          <w:tcPr>
            <w:tcW w:type="dxa" w:w="272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需求规格说明书初稿</w:t>
            </w:r>
          </w:p>
        </w:tc>
      </w:tr>
      <w:tr>
        <w:tc>
          <w:tcPr>
            <w:tcW w:type="dxa" w:w="154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M2 设计冻结</w:t>
            </w:r>
          </w:p>
        </w:tc>
        <w:tc>
          <w:tcPr>
            <w:tcW w:type="dxa" w:w="396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模块边界、对象模型、动态模型和数据结构确认</w:t>
            </w:r>
          </w:p>
        </w:tc>
        <w:tc>
          <w:tcPr>
            <w:tcW w:type="dxa" w:w="272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系统设计说明书初稿</w:t>
            </w:r>
          </w:p>
        </w:tc>
      </w:tr>
      <w:tr>
        <w:tc>
          <w:tcPr>
            <w:tcW w:type="dxa" w:w="154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M3 核心功能冻结</w:t>
            </w:r>
          </w:p>
        </w:tc>
        <w:tc>
          <w:tcPr>
            <w:tcW w:type="dxa" w:w="396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任务、事件、日程、AI 工具、撤销和备份贯通</w:t>
            </w:r>
          </w:p>
        </w:tc>
        <w:tc>
          <w:tcPr>
            <w:tcW w:type="dxa" w:w="272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可运行桌面应用</w:t>
            </w:r>
          </w:p>
        </w:tc>
      </w:tr>
      <w:tr>
        <w:tc>
          <w:tcPr>
            <w:tcW w:type="dxa" w:w="154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M4 测试冻结</w:t>
            </w:r>
          </w:p>
        </w:tc>
        <w:tc>
          <w:tcPr>
            <w:tcW w:type="dxa" w:w="396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主要测试命令通过，缺陷完成闭环</w:t>
            </w:r>
          </w:p>
        </w:tc>
        <w:tc>
          <w:tcPr>
            <w:tcW w:type="dxa" w:w="272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测试报告和测试证据</w:t>
            </w:r>
          </w:p>
        </w:tc>
      </w:tr>
      <w:tr>
        <w:tc>
          <w:tcPr>
            <w:tcW w:type="dxa" w:w="1548"/>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M5 文档冻结</w:t>
            </w:r>
          </w:p>
        </w:tc>
        <w:tc>
          <w:tcPr>
            <w:tcW w:type="dxa" w:w="3963"/>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四份 DOCX 均超过 20 页并完成视觉检查</w:t>
            </w:r>
          </w:p>
        </w:tc>
        <w:tc>
          <w:tcPr>
            <w:tcW w:type="dxa" w:w="272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最终提交版文档</w:t>
            </w:r>
          </w:p>
        </w:tc>
      </w:tr>
      <w:tr>
        <w:tc>
          <w:tcPr>
            <w:tcW w:type="dxa" w:w="1548"/>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M6 发布交付</w:t>
            </w:r>
          </w:p>
        </w:tc>
        <w:tc>
          <w:tcPr>
            <w:tcW w:type="dxa" w:w="3963"/>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安装包可分发，敏感信息检查通过</w:t>
            </w:r>
          </w:p>
        </w:tc>
        <w:tc>
          <w:tcPr>
            <w:tcW w:type="dxa" w:w="2724"/>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安装包、源码和最终材料</w:t>
            </w:r>
          </w:p>
        </w:tc>
      </w:tr>
    </w:tbl>
    <w:p>
      <w:pPr>
        <w:spacing w:line="360" w:lineRule="auto" w:after="80"/>
        <w:ind w:firstLine="0"/>
      </w:pPr>
    </w:p>
    <w:p>
      <w:pPr>
        <w:pStyle w:val="2"/>
        <w:keepNext/>
      </w:pPr>
      <w:r>
        <w:rPr>
          <w:rFonts w:ascii="Times New Roman" w:hAnsi="Times New Roman" w:eastAsia="黑体"/>
          <w:b/>
        </w:rPr>
        <w:t>6．专题计划要点</w:t>
      </w:r>
    </w:p>
    <w:p>
      <w:pPr>
        <w:spacing w:line="360" w:lineRule="auto" w:after="80"/>
        <w:ind w:firstLine="420"/>
      </w:pPr>
      <w:r>
        <w:rPr>
          <w:rFonts w:ascii="Times New Roman" w:hAnsi="Times New Roman" w:eastAsia="宋体"/>
          <w:sz w:val="21"/>
        </w:rPr>
        <w:t>测试计划要点是尽早建立可重复执行的质量门槛。项目至少要执行 npm test、npm run typecheck、npm run build 和 Tauri 后端 cargo check；AI agent 相关能力还要通过模型连通性、工具调用、锁定项保护、动作日志和撤销场景验证。测试报告不只记录“通过”，还要说明测试项、环境、数据、偏差、限制和建议。</w:t>
      </w:r>
    </w:p>
    <w:p>
      <w:pPr>
        <w:spacing w:line="360" w:lineRule="auto" w:after="80"/>
        <w:ind w:firstLine="420"/>
      </w:pPr>
      <w:r>
        <w:rPr>
          <w:rFonts w:ascii="Times New Roman" w:hAnsi="Times New Roman" w:eastAsia="宋体"/>
          <w:sz w:val="21"/>
        </w:rPr>
        <w:t>质量保证计划要点是把质量控制嵌入开发流程。需求变更需要回溯到用例和验收标准，设计变更需要说明对数据结构和接口的影响，代码变更需要经过测试命令和关键用户流程复查，文档变更需要重新渲染检查。对 AI 功能的质量保证尤其要关注模型失败、工具失败和用户取消三类异常。</w:t>
      </w:r>
    </w:p>
    <w:p>
      <w:pPr>
        <w:spacing w:line="360" w:lineRule="auto" w:after="80"/>
        <w:ind w:firstLine="420"/>
      </w:pPr>
      <w:r>
        <w:rPr>
          <w:rFonts w:ascii="Times New Roman" w:hAnsi="Times New Roman" w:eastAsia="宋体"/>
          <w:sz w:val="21"/>
        </w:rPr>
        <w:t>配置管理计划要点是维护源码、依赖、构建产物、文档和测试证据的一致性。源码按工作区组织，构建产物与最终提交文档分目录保存；敏感配置只保存在本地环境或示例配置中，不写入最终文档；文档模板和最终提交版分开存放，避免覆盖原模板。</w:t>
      </w:r>
    </w:p>
    <w:p>
      <w:pPr>
        <w:spacing w:line="360" w:lineRule="auto" w:after="80"/>
        <w:ind w:firstLine="420"/>
      </w:pPr>
      <w:r>
        <w:rPr>
          <w:rFonts w:ascii="Times New Roman" w:hAnsi="Times New Roman" w:eastAsia="宋体"/>
          <w:sz w:val="21"/>
        </w:rPr>
        <w:t>人员培训计划要点是分别面向普通用户和维护人员。普通用户需要学会录入任务、查看日历、让 AI 安排、撤销错误、备份恢复和理解降级提示；维护人员需要理解数据库、能力注册、sidecar、模型配置和测试命令。培训材料应以实际应用截图和真实流程为主。</w:t>
      </w:r>
    </w:p>
    <w:p>
      <w:pPr>
        <w:spacing w:line="360" w:lineRule="auto" w:after="80"/>
        <w:ind w:firstLine="420"/>
      </w:pPr>
      <w:r>
        <w:rPr>
          <w:rFonts w:ascii="Times New Roman" w:hAnsi="Times New Roman" w:eastAsia="宋体"/>
          <w:sz w:val="21"/>
        </w:rPr>
        <w:t>系统安装计划要点是把安装包验证作为交付前的正式活动。安装验证包括安装程序启动、应用首次打开、数据目录创建、sidecar 启动、页面导航、核心能力调用、模型连通性检查、备份创建和卸载或升级影响。只有这些检查通过，项目才符合“可直接分发安装包直接使用”的目标。</w:t>
      </w:r>
    </w:p>
    <w:p>
      <w:pPr>
        <w:spacing w:line="264" w:lineRule="auto" w:before="40" w:after="100"/>
        <w:ind w:firstLine="0"/>
        <w:jc w:val="center"/>
      </w:pPr>
      <w:r>
        <w:rPr>
          <w:rFonts w:ascii="Times New Roman" w:hAnsi="Times New Roman" w:eastAsia="宋体"/>
          <w:sz w:val="19"/>
        </w:rPr>
        <w:t>表 17 专题计划摘要</w:t>
      </w:r>
    </w:p>
    <w:tbl>
      <w:tblPr>
        <w:tblW w:type="dxa" w:w="8235"/>
        <w:tblLayout w:type="fixed"/>
        <w:tblLook w:firstColumn="1" w:firstRow="1" w:lastColumn="0" w:lastRow="0" w:noHBand="0" w:noVBand="1" w:val="04A0"/>
      </w:tblPr>
      <w:tblGrid>
        <w:gridCol w:w="1300"/>
        <w:gridCol w:w="3901"/>
        <w:gridCol w:w="3034"/>
      </w:tblGrid>
      <w:tr>
        <w:trPr>
          <w:tblHeader w:val="true"/>
        </w:trPr>
        <w:tc>
          <w:tcPr>
            <w:tcW w:type="dxa" w:w="1300"/>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专题</w:t>
            </w:r>
          </w:p>
        </w:tc>
        <w:tc>
          <w:tcPr>
            <w:tcW w:type="dxa" w:w="3901"/>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重点活动</w:t>
            </w:r>
          </w:p>
        </w:tc>
        <w:tc>
          <w:tcPr>
            <w:tcW w:type="dxa" w:w="3034"/>
            <w:vAlign w:val="center"/>
            <w:tcMar>
              <w:top w:w="90" w:type="dxa"/>
              <w:start w:w="110" w:type="dxa"/>
              <w:bottom w:w="90" w:type="dxa"/>
              <w:end w:w="110" w:type="dxa"/>
            </w:tcMar>
            <w:tcBorders>
              <w:top w:val="single" w:sz="10" w:space="0" w:color="000000"/>
              <w:bottom w:val="single" w:sz="8" w:space="0" w:color="000000"/>
              <w:left w:val="nil"/>
              <w:right w:val="nil"/>
            </w:tcBorders>
          </w:tcPr>
          <w:p>
            <w:pPr>
              <w:ind w:firstLine="0"/>
              <w:jc w:val="center"/>
            </w:pPr>
            <w:r>
              <w:rPr>
                <w:rFonts w:ascii="Times New Roman" w:hAnsi="Times New Roman" w:eastAsia="宋体"/>
                <w:b/>
                <w:sz w:val="17"/>
              </w:rPr>
              <w:t>输出或检查方式</w:t>
            </w:r>
          </w:p>
        </w:tc>
      </w:tr>
      <w:tr>
        <w:tc>
          <w:tcPr>
            <w:tcW w:type="dxa" w:w="130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测试计划</w:t>
            </w:r>
          </w:p>
        </w:tc>
        <w:tc>
          <w:tcPr>
            <w:tcW w:type="dxa" w:w="390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单元、集成、构建、类型、桌面、AI 连通和安装检查</w:t>
            </w:r>
          </w:p>
        </w:tc>
        <w:tc>
          <w:tcPr>
            <w:tcW w:type="dxa" w:w="3034"/>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测试报告、命令输出、页面抽查</w:t>
            </w:r>
          </w:p>
        </w:tc>
      </w:tr>
      <w:tr>
        <w:tc>
          <w:tcPr>
            <w:tcW w:type="dxa" w:w="130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质量保证</w:t>
            </w:r>
          </w:p>
        </w:tc>
        <w:tc>
          <w:tcPr>
            <w:tcW w:type="dxa" w:w="390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需求追踪、设计复核、代码检查、缺陷闭环、文档视觉 QA</w:t>
            </w:r>
          </w:p>
        </w:tc>
        <w:tc>
          <w:tcPr>
            <w:tcW w:type="dxa" w:w="303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检查清单和验收结论</w:t>
            </w:r>
          </w:p>
        </w:tc>
      </w:tr>
      <w:tr>
        <w:tc>
          <w:tcPr>
            <w:tcW w:type="dxa" w:w="130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配置管理</w:t>
            </w:r>
          </w:p>
        </w:tc>
        <w:tc>
          <w:tcPr>
            <w:tcW w:type="dxa" w:w="390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源码、依赖、构建、文档、模板、测试证据分区管理</w:t>
            </w:r>
          </w:p>
        </w:tc>
        <w:tc>
          <w:tcPr>
            <w:tcW w:type="dxa" w:w="303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目录结构和版本记录</w:t>
            </w:r>
          </w:p>
        </w:tc>
      </w:tr>
      <w:tr>
        <w:tc>
          <w:tcPr>
            <w:tcW w:type="dxa" w:w="130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人员培训</w:t>
            </w:r>
          </w:p>
        </w:tc>
        <w:tc>
          <w:tcPr>
            <w:tcW w:type="dxa" w:w="390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普通用户操作培训与维护人员技术培训</w:t>
            </w:r>
          </w:p>
        </w:tc>
        <w:tc>
          <w:tcPr>
            <w:tcW w:type="dxa" w:w="303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演示流程和操作说明</w:t>
            </w:r>
          </w:p>
        </w:tc>
      </w:tr>
      <w:tr>
        <w:tc>
          <w:tcPr>
            <w:tcW w:type="dxa" w:w="1300"/>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系统安装</w:t>
            </w:r>
          </w:p>
        </w:tc>
        <w:tc>
          <w:tcPr>
            <w:tcW w:type="dxa" w:w="3901"/>
            <w:vAlign w:val="center"/>
            <w:tcMar>
              <w:top w:w="90" w:type="dxa"/>
              <w:start w:w="110" w:type="dxa"/>
              <w:bottom w:w="90" w:type="dxa"/>
              <w:end w:w="110" w:type="dxa"/>
            </w:tcMar>
            <w:tcBorders>
              <w:top w:val="nil"/>
              <w:bottom w:val="nil"/>
              <w:left w:val="nil"/>
              <w:right w:val="nil"/>
            </w:tcBorders>
          </w:tcPr>
          <w:p>
            <w:pPr>
              <w:spacing w:line="269" w:lineRule="auto"/>
              <w:ind w:firstLine="0"/>
              <w:jc w:val="left"/>
            </w:pPr>
            <w:r>
              <w:rPr>
                <w:rFonts w:ascii="Times New Roman" w:hAnsi="Times New Roman" w:eastAsia="宋体"/>
                <w:sz w:val="17"/>
              </w:rPr>
              <w:t>release 构建、安装包、首次运行、数据目录和 sidecar 检查</w:t>
            </w:r>
          </w:p>
        </w:tc>
        <w:tc>
          <w:tcPr>
            <w:tcW w:type="dxa" w:w="3034"/>
            <w:vAlign w:val="center"/>
            <w:tcMar>
              <w:top w:w="90" w:type="dxa"/>
              <w:start w:w="110" w:type="dxa"/>
              <w:bottom w:w="90" w:type="dxa"/>
              <w:end w:w="110" w:type="dxa"/>
            </w:tcMar>
            <w:tcBorders>
              <w:top w:val="nil"/>
              <w:bottom w:val="nil"/>
              <w:left w:val="nil"/>
              <w:right w:val="nil"/>
            </w:tcBorders>
          </w:tcPr>
          <w:p>
            <w:pPr>
              <w:spacing w:line="269" w:lineRule="auto"/>
              <w:ind w:firstLine="0"/>
              <w:jc w:val="center"/>
            </w:pPr>
            <w:r>
              <w:rPr>
                <w:rFonts w:ascii="Times New Roman" w:hAnsi="Times New Roman" w:eastAsia="宋体"/>
                <w:sz w:val="17"/>
              </w:rPr>
              <w:t>安装验证记录</w:t>
            </w:r>
          </w:p>
        </w:tc>
      </w:tr>
      <w:tr>
        <w:tc>
          <w:tcPr>
            <w:tcW w:type="dxa" w:w="1300"/>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安全保密</w:t>
            </w:r>
          </w:p>
        </w:tc>
        <w:tc>
          <w:tcPr>
            <w:tcW w:type="dxa" w:w="3901"/>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left"/>
            </w:pPr>
            <w:r>
              <w:rPr>
                <w:rFonts w:ascii="Times New Roman" w:hAnsi="Times New Roman" w:eastAsia="宋体"/>
                <w:sz w:val="17"/>
              </w:rPr>
              <w:t>密钥、内部调试文本、日志、备份文件和用户数据检查</w:t>
            </w:r>
          </w:p>
        </w:tc>
        <w:tc>
          <w:tcPr>
            <w:tcW w:type="dxa" w:w="3034"/>
            <w:vAlign w:val="center"/>
            <w:tcMar>
              <w:top w:w="90" w:type="dxa"/>
              <w:start w:w="110" w:type="dxa"/>
              <w:bottom w:w="90" w:type="dxa"/>
              <w:end w:w="110" w:type="dxa"/>
            </w:tcMar>
            <w:tcBorders>
              <w:top w:val="nil"/>
              <w:bottom w:val="single" w:sz="10" w:space="0" w:color="000000"/>
              <w:left w:val="nil"/>
              <w:right w:val="nil"/>
            </w:tcBorders>
          </w:tcPr>
          <w:p>
            <w:pPr>
              <w:spacing w:line="269" w:lineRule="auto"/>
              <w:ind w:firstLine="0"/>
              <w:jc w:val="center"/>
            </w:pPr>
            <w:r>
              <w:rPr>
                <w:rFonts w:ascii="Times New Roman" w:hAnsi="Times New Roman" w:eastAsia="宋体"/>
                <w:sz w:val="17"/>
              </w:rPr>
              <w:t>敏感信息扫描结果</w:t>
            </w:r>
          </w:p>
        </w:tc>
      </w:tr>
    </w:tbl>
    <w:p>
      <w:pPr>
        <w:spacing w:line="360" w:lineRule="auto" w:after="80"/>
        <w:ind w:firstLine="0"/>
      </w:pPr>
    </w:p>
    <w:p>
      <w:pPr>
        <w:ind w:firstLine="0"/>
        <w:jc w:val="center"/>
      </w:pPr>
      <w:r>
        <w:drawing>
          <wp:inline xmlns:a="http://schemas.openxmlformats.org/drawingml/2006/main" xmlns:pic="http://schemas.openxmlformats.org/drawingml/2006/picture">
            <wp:extent cx="4800600" cy="2400300"/>
            <wp:docPr id="2" name="Picture 2"/>
            <wp:cNvGraphicFramePr>
              <a:graphicFrameLocks noChangeAspect="1"/>
            </wp:cNvGraphicFramePr>
            <a:graphic>
              <a:graphicData uri="http://schemas.openxmlformats.org/drawingml/2006/picture">
                <pic:pic>
                  <pic:nvPicPr>
                    <pic:cNvPr id="0" name="sequence.png"/>
                    <pic:cNvPicPr/>
                  </pic:nvPicPr>
                  <pic:blipFill>
                    <a:blip r:embed="rId9"/>
                    <a:stretch>
                      <a:fillRect/>
                    </a:stretch>
                  </pic:blipFill>
                  <pic:spPr>
                    <a:xfrm>
                      <a:off x="0" y="0"/>
                      <a:ext cx="4800600" cy="2400300"/>
                    </a:xfrm>
                    <a:prstGeom prst="rect"/>
                  </pic:spPr>
                </pic:pic>
              </a:graphicData>
            </a:graphic>
          </wp:inline>
        </w:drawing>
      </w:r>
    </w:p>
    <w:p>
      <w:pPr>
        <w:spacing w:line="264" w:lineRule="auto" w:before="40" w:after="100"/>
        <w:ind w:firstLine="0"/>
        <w:jc w:val="center"/>
      </w:pPr>
      <w:r>
        <w:rPr>
          <w:rFonts w:ascii="Times New Roman" w:hAnsi="Times New Roman" w:eastAsia="宋体"/>
          <w:sz w:val="19"/>
        </w:rPr>
        <w:t>图 2 AI agent 工具调用与质量保证时序图</w:t>
      </w:r>
    </w:p>
    <w:p>
      <w:pPr>
        <w:spacing w:line="360" w:lineRule="auto" w:after="80"/>
        <w:ind w:firstLine="420"/>
      </w:pPr>
      <w:r>
        <w:rPr>
          <w:rFonts w:ascii="Times New Roman" w:hAnsi="Times New Roman" w:eastAsia="宋体"/>
          <w:sz w:val="21"/>
        </w:rPr>
        <w:t>文档专题计划要求每份文档都基于对应模板复制生成，保留模板标题、目录层级和章节结构。内容扩写时应以自然段落为主，必要时使用三线表承载对比、清单和矩阵，不使用夸张颜色或复杂表格边框。图示只在有助于理解架构、用例、数据模型、时序或测试结果时使用。</w:t>
      </w:r>
    </w:p>
    <w:p>
      <w:pPr>
        <w:spacing w:line="360" w:lineRule="auto" w:after="80"/>
        <w:ind w:firstLine="420"/>
      </w:pPr>
      <w:r>
        <w:rPr>
          <w:rFonts w:ascii="Times New Roman" w:hAnsi="Times New Roman" w:eastAsia="宋体"/>
          <w:sz w:val="21"/>
        </w:rPr>
        <w:t>AI 专题计划要求将模型配置与产品能力分开验收。模型配置只证明外部服务可连接，产品能力还要证明模型会产生工具调用、工具结果能被本地能力执行、动作日志记录完整、用户可以撤销。两者缺一不可。</w:t>
      </w:r>
    </w:p>
    <w:p>
      <w:pPr>
        <w:spacing w:line="360" w:lineRule="auto" w:after="80"/>
        <w:ind w:firstLine="420"/>
      </w:pPr>
      <w:r>
        <w:rPr>
          <w:rFonts w:ascii="Times New Roman" w:hAnsi="Times New Roman" w:eastAsia="宋体"/>
          <w:sz w:val="21"/>
        </w:rPr>
        <w:t>安全专题计划要求最终交付前检查四类内容：文档中是否有密钥和内部调试文本，界面或日志中是否展示完整 token，备份文件是否包含不应提交的个人数据，安装包或源码是否夹带临时调试配置。该检查要在最后复制提交版之前执行。</w:t>
      </w:r>
    </w:p>
    <w:p>
      <w:pPr>
        <w:spacing w:line="360" w:lineRule="auto" w:after="80"/>
        <w:ind w:firstLine="420"/>
      </w:pPr>
      <w:r>
        <w:rPr>
          <w:rFonts w:ascii="Times New Roman" w:hAnsi="Times New Roman" w:eastAsia="宋体"/>
          <w:sz w:val="21"/>
        </w:rPr>
        <w:t>用户体验专题计划要求以真实用户流程检查，而不是只看单页截图。检查者应从首次打开开始，经历创建任务、创建事件、让 AI 规划、查看日历、撤销动作、创建备份、检查设置和退出重启。所有阻塞、误导或无法理解的提示都应记录并修复。</w:t>
      </w:r>
    </w:p>
    <w:sectPr>
      <w:headerReference r:id="rId3" w:type="default"/>
      <w:footerReference r:id="rId4" w:type="default"/>
      <w:footnotePr>
        <w:numFmt w:val="decimal"/>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A665E">
    <w:pPr>
      <w:pStyle w:val="11"/>
      <w:jc w:val="both"/>
    </w:pPr>
  </w:p>
  <w:p w14:paraId="745D0DBB"/>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9D6182">
    <w:pPr>
      <w:pStyle w:val="12"/>
      <w:jc w:val="both"/>
      <w:rPr>
        <w:rFonts w:hint="eastAsia"/>
      </w:rPr>
    </w:pPr>
    <w:r>
      <w:rPr>
        <w:rFonts w:hint="eastAsia"/>
      </w:rPr>
      <w:t>二、项目开发计划</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484039"/>
    <w:multiLevelType w:val="multilevel"/>
    <w:tmpl w:val="02484039"/>
    <w:lvl w:ilvl="0" w:tentative="0">
      <w:start w:val="1"/>
      <w:numFmt w:val="lowerLetter"/>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76E05371"/>
    <w:multiLevelType w:val="multilevel"/>
    <w:tmpl w:val="76E05371"/>
    <w:lvl w:ilvl="0" w:tentative="0">
      <w:start w:val="1"/>
      <w:numFmt w:val="lowerLetter"/>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5DFF422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2" w:semiHidden="0" w:name="heading 1"/>
    <w:lsdException w:unhideWhenUsed="0" w:uiPriority="2" w:semiHidden="0" w:name="heading 2"/>
    <w:lsdException w:unhideWhenUsed="0" w:uiPriority="2"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2" w:semiHidden="0" w:name="toc 1"/>
    <w:lsdException w:unhideWhenUsed="0" w:uiPriority="2" w:semiHidden="0" w:name="toc 2"/>
    <w:lsdException w:unhideWhenUsed="0" w:uiPriority="2" w:semiHidden="0" w:name="toc 3"/>
    <w:lsdException w:unhideWhenUsed="0" w:uiPriority="2" w:semiHidden="0" w:name="toc 4"/>
    <w:lsdException w:unhideWhenUsed="0" w:uiPriority="2" w:semiHidden="0" w:name="toc 5"/>
    <w:lsdException w:unhideWhenUsed="0" w:uiPriority="2" w:semiHidden="0" w:name="toc 6"/>
    <w:lsdException w:unhideWhenUsed="0" w:uiPriority="2" w:semiHidden="0" w:name="toc 7"/>
    <w:lsdException w:unhideWhenUsed="0" w:uiPriority="2" w:semiHidden="0" w:name="toc 8"/>
    <w:lsdException w:unhideWhenUsed="0" w:uiPriority="2"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723" w:semiHidden="0" w:name="Default Paragraph Font"/>
    <w:lsdException w:unhideWhenUsed="0" w:uiPriority="1624" w:semiHidden="0" w:name="Body Text"/>
    <w:lsdException w:unhideWhenUsed="0" w:uiPriority="1624"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2383"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eastAsia="宋体" w:ascii="Times New Roman" w:hAnsi="Times New Roman"/>
      <w:kern w:val="2"/>
      <w:sz w:val="21"/>
      <w:szCs w:val="24"/>
      <w:lang w:val="en-US" w:eastAsia="zh-CN" w:bidi="ar-SA"/>
    </w:rPr>
  </w:style>
  <w:style w:type="paragraph" w:styleId="2">
    <w:name w:val="heading 1"/>
    <w:basedOn w:val="1"/>
    <w:next w:val="1"/>
    <w:uiPriority w:val="2"/>
    <w:pPr>
      <w:keepNext/>
      <w:keepLines/>
      <w:spacing w:before="340" w:after="330" w:line="578" w:lineRule="auto"/>
      <w:outlineLvl w:val="0"/>
    </w:pPr>
    <w:rPr>
      <w:rFonts w:ascii="Times New Roman" w:hAnsi="Times New Roman" w:eastAsia="黑体"/>
      <w:b/>
      <w:bCs/>
      <w:kern w:val="44"/>
      <w:sz w:val="44"/>
      <w:szCs w:val="44"/>
    </w:rPr>
  </w:style>
  <w:style w:type="paragraph" w:styleId="3">
    <w:name w:val="heading 2"/>
    <w:basedOn w:val="1"/>
    <w:next w:val="1"/>
    <w:uiPriority w:val="2"/>
    <w:pPr>
      <w:keepNext/>
      <w:keepLines/>
      <w:spacing w:before="260" w:after="260" w:line="416" w:lineRule="auto"/>
      <w:outlineLvl w:val="1"/>
    </w:pPr>
    <w:rPr>
      <w:rFonts w:ascii="Times New Roman" w:hAnsi="Times New Roman" w:eastAsia="黑体"/>
      <w:b/>
      <w:bCs/>
      <w:sz w:val="32"/>
      <w:szCs w:val="32"/>
    </w:rPr>
  </w:style>
  <w:style w:type="paragraph" w:styleId="4">
    <w:name w:val="heading 3"/>
    <w:basedOn w:val="1"/>
    <w:next w:val="1"/>
    <w:uiPriority w:val="2"/>
    <w:pPr>
      <w:keepNext/>
      <w:keepLines/>
      <w:spacing w:before="260" w:after="260" w:line="416" w:lineRule="auto"/>
      <w:outlineLvl w:val="2"/>
    </w:pPr>
    <w:rPr>
      <w:rFonts w:ascii="Times New Roman" w:hAnsi="Times New Roman" w:eastAsia="黑体"/>
      <w:b/>
      <w:bCs/>
      <w:sz w:val="32"/>
      <w:szCs w:val="32"/>
    </w:rPr>
  </w:style>
  <w:style w:type="character" w:default="1" w:styleId="19">
    <w:name w:val="Default Paragraph Font"/>
    <w:uiPriority w:val="1723"/>
  </w:style>
  <w:style w:type="table" w:default="1" w:styleId="18">
    <w:name w:val="Normal Table"/>
    <w:semiHidden/>
    <w:uiPriority w:val="0"/>
    <w:tblPr>
      <w:tblCellMar>
        <w:top w:w="0" w:type="dxa"/>
        <w:left w:w="108" w:type="dxa"/>
        <w:bottom w:w="0" w:type="dxa"/>
        <w:right w:w="108" w:type="dxa"/>
      </w:tblCellMar>
    </w:tblPr>
  </w:style>
  <w:style w:type="paragraph" w:styleId="5">
    <w:name w:val="toc 7"/>
    <w:basedOn w:val="1"/>
    <w:next w:val="1"/>
    <w:uiPriority w:val="2"/>
    <w:pPr>
      <w:ind w:left="2520" w:leftChars="1200"/>
    </w:pPr>
  </w:style>
  <w:style w:type="paragraph" w:styleId="6">
    <w:name w:val="Body Text"/>
    <w:basedOn w:val="1"/>
    <w:uiPriority w:val="1624"/>
    <w:rPr>
      <w:color w:val="FF0000"/>
    </w:rPr>
  </w:style>
  <w:style w:type="paragraph" w:styleId="7">
    <w:name w:val="Body Text Indent"/>
    <w:basedOn w:val="1"/>
    <w:uiPriority w:val="1624"/>
    <w:pPr>
      <w:ind w:left="781" w:leftChars="372" w:firstLine="420" w:firstLineChars="200"/>
    </w:pPr>
  </w:style>
  <w:style w:type="paragraph" w:styleId="8">
    <w:name w:val="toc 5"/>
    <w:basedOn w:val="1"/>
    <w:next w:val="1"/>
    <w:uiPriority w:val="2"/>
    <w:pPr>
      <w:ind w:left="1680" w:leftChars="800"/>
    </w:pPr>
  </w:style>
  <w:style w:type="paragraph" w:styleId="9">
    <w:name w:val="toc 3"/>
    <w:basedOn w:val="1"/>
    <w:next w:val="1"/>
    <w:uiPriority w:val="2"/>
    <w:pPr>
      <w:ind w:left="840" w:leftChars="400"/>
    </w:pPr>
  </w:style>
  <w:style w:type="paragraph" w:styleId="10">
    <w:name w:val="toc 8"/>
    <w:basedOn w:val="1"/>
    <w:next w:val="1"/>
    <w:uiPriority w:val="2"/>
    <w:pPr>
      <w:ind w:left="2940" w:leftChars="1400"/>
    </w:pPr>
  </w:style>
  <w:style w:type="paragraph" w:styleId="11">
    <w:name w:val="footer"/>
    <w:basedOn w:val="1"/>
    <w:uiPriority w:val="0"/>
    <w:pPr>
      <w:tabs>
        <w:tab w:val="center" w:pos="4153"/>
        <w:tab w:val="right" w:pos="8306"/>
      </w:tabs>
      <w:snapToGrid w:val="0"/>
      <w:jc w:val="left"/>
    </w:pPr>
    <w:rPr>
      <w:sz w:val="18"/>
      <w:szCs w:val="18"/>
    </w:rPr>
  </w:style>
  <w:style w:type="paragraph" w:styleId="12">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3">
    <w:name w:val="toc 1"/>
    <w:basedOn w:val="1"/>
    <w:next w:val="1"/>
    <w:uiPriority w:val="2"/>
  </w:style>
  <w:style w:type="paragraph" w:styleId="14">
    <w:name w:val="toc 4"/>
    <w:basedOn w:val="1"/>
    <w:next w:val="1"/>
    <w:uiPriority w:val="2"/>
    <w:pPr>
      <w:ind w:left="1260" w:leftChars="600"/>
    </w:pPr>
  </w:style>
  <w:style w:type="paragraph" w:styleId="15">
    <w:name w:val="toc 6"/>
    <w:basedOn w:val="1"/>
    <w:next w:val="1"/>
    <w:uiPriority w:val="2"/>
    <w:pPr>
      <w:ind w:left="2100" w:leftChars="1000"/>
    </w:pPr>
  </w:style>
  <w:style w:type="paragraph" w:styleId="16">
    <w:name w:val="toc 2"/>
    <w:basedOn w:val="1"/>
    <w:next w:val="1"/>
    <w:uiPriority w:val="2"/>
    <w:pPr>
      <w:ind w:left="420" w:leftChars="200"/>
    </w:pPr>
  </w:style>
  <w:style w:type="paragraph" w:styleId="17">
    <w:name w:val="toc 9"/>
    <w:basedOn w:val="1"/>
    <w:next w:val="1"/>
    <w:uiPriority w:val="2"/>
    <w:pPr>
      <w:ind w:left="3360" w:leftChars="1600"/>
    </w:pPr>
  </w:style>
  <w:style w:type="character" w:styleId="20">
    <w:name w:val="Hyperlink"/>
    <w:basedOn w:val="19"/>
    <w:uiPriority w:val="2383"/>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1.png"/><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二、项目开发计划</Template>
  <Company>北京北大天正科技发展有限公司</Company>
  <Pages>3</Pages>
  <Words>316</Words>
  <Characters>1802</Characters>
  <Lines>15</Lines>
  <Paragraphs>3</Paragraphs>
  <TotalTime>0</TotalTime>
  <ScaleCrop>false</ScaleCrop>
  <LinksUpToDate>false</LinksUpToDate>
  <CharactersWithSpaces>2212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2002-01-16T13:33:00Z</dcterms:created>
  <dc:creator>Hoyle</dc:creator>
  <cp:lastModifiedBy>天赐</cp:lastModifiedBy>
  <cp:lastPrinted>2001-02-09T04:16:00Z</cp:lastPrinted>
  <dcterms:modified xsi:type="dcterms:W3CDTF">2026-06-04T05:43:10Z</dcterms:modified>
  <dc:title>二、项目开发计划</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176B7B26AC1149E1A42760A1F314C7BB_13</vt:lpwstr>
  </property>
</Properties>
</file>