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9B600">
      <w:pPr>
        <w:ind w:left="0" w:leftChars="0" w:firstLine="0" w:firstLineChars="0"/>
      </w:pPr>
    </w:p>
    <w:p w14:paraId="6D9A99BC"/>
    <w:p w14:paraId="15D44E19"/>
    <w:p w14:paraId="3CACF91D">
      <w:pPr>
        <w:spacing w:after="360" w:line="360" w:lineRule="auto"/>
        <w:ind w:left="0" w:leftChars="0" w:firstLine="0" w:firstLineChars="0"/>
        <w:jc w:val="center"/>
        <w:rPr>
          <w:rFonts w:hint="eastAsia" w:ascii="黑体" w:hAnsi="黑体" w:eastAsia="黑体"/>
          <w:b/>
          <w:sz w:val="52"/>
          <w:szCs w:val="52"/>
          <w:lang w:eastAsia="zh-CN"/>
        </w:rPr>
      </w:pPr>
      <w:r>
        <w:rPr>
          <w:rFonts w:ascii="黑体" w:hAnsi="黑体" w:eastAsia="黑体"/>
          <w:b/>
          <w:sz w:val="52"/>
          <w:szCs w:val="52"/>
        </w:rPr>
        <w:t>非遗之手·触控传承——</w:t>
      </w:r>
      <w:r>
        <w:rPr>
          <w:rFonts w:hint="eastAsia" w:ascii="黑体" w:hAnsi="黑体" w:eastAsia="黑体"/>
          <w:b/>
          <w:sz w:val="52"/>
          <w:szCs w:val="52"/>
          <w:lang w:eastAsia="zh-CN"/>
        </w:rPr>
        <w:t>基于官瓷记忆数字化传承教学与算法记忆</w:t>
      </w:r>
    </w:p>
    <w:p w14:paraId="51E8196E">
      <w:pPr>
        <w:spacing w:after="360" w:line="360" w:lineRule="auto"/>
        <w:ind w:left="0" w:leftChars="0" w:firstLine="0" w:firstLineChars="0"/>
        <w:jc w:val="center"/>
        <w:rPr>
          <w:rFonts w:hint="eastAsia" w:ascii="黑体" w:hAnsi="黑体" w:eastAsia="黑体"/>
          <w:b/>
          <w:sz w:val="52"/>
          <w:szCs w:val="52"/>
          <w:lang w:eastAsia="zh-CN"/>
        </w:rPr>
      </w:pPr>
      <w:r>
        <w:rPr>
          <w:rFonts w:hint="eastAsia" w:ascii="黑体" w:hAnsi="黑体" w:eastAsia="黑体"/>
          <w:b/>
          <w:sz w:val="52"/>
          <w:szCs w:val="52"/>
          <w:lang w:eastAsia="zh-CN"/>
        </w:rPr>
        <w:t>模型的非遗教学传承</w:t>
      </w:r>
    </w:p>
    <w:p w14:paraId="078805A7">
      <w:pPr>
        <w:spacing w:after="360" w:line="360" w:lineRule="auto"/>
        <w:ind w:left="0" w:leftChars="0" w:firstLine="0" w:firstLineChars="0"/>
        <w:jc w:val="center"/>
        <w:rPr>
          <w:sz w:val="52"/>
          <w:szCs w:val="52"/>
        </w:rPr>
      </w:pPr>
      <w:r>
        <w:rPr>
          <w:rFonts w:hint="eastAsia" w:ascii="黑体" w:hAnsi="黑体" w:eastAsia="黑体"/>
          <w:b/>
          <w:sz w:val="52"/>
          <w:szCs w:val="52"/>
          <w:lang w:eastAsia="zh-CN"/>
        </w:rPr>
        <w:t>项目</w:t>
      </w:r>
      <w:r>
        <w:rPr>
          <w:rFonts w:ascii="黑体" w:hAnsi="黑体" w:eastAsia="黑体"/>
          <w:b/>
          <w:sz w:val="52"/>
          <w:szCs w:val="52"/>
        </w:rPr>
        <w:t>计划书</w:t>
      </w:r>
    </w:p>
    <w:p w14:paraId="16CCE583">
      <w:pPr>
        <w:spacing w:line="360" w:lineRule="auto"/>
        <w:jc w:val="center"/>
      </w:pPr>
      <w:r>
        <w:rPr>
          <w:rFonts w:ascii="宋体" w:hAnsi="宋体" w:eastAsia="宋体"/>
          <w:b w:val="0"/>
          <w:sz w:val="30"/>
        </w:rPr>
        <w:t>高教主赛道</w:t>
      </w:r>
    </w:p>
    <w:p w14:paraId="515EC21E"/>
    <w:p w14:paraId="3D9F47ED"/>
    <w:p w14:paraId="031B1D14"/>
    <w:p w14:paraId="25B5756C"/>
    <w:p w14:paraId="78E74A86"/>
    <w:p w14:paraId="270025DA"/>
    <w:p w14:paraId="3461CDB2">
      <w:pPr>
        <w:ind w:left="0" w:leftChars="0" w:firstLine="0" w:firstLineChars="0"/>
      </w:pPr>
    </w:p>
    <w:p w14:paraId="6F19F3BC"/>
    <w:p w14:paraId="6C787643">
      <w:pPr>
        <w:spacing w:line="360" w:lineRule="auto"/>
        <w:jc w:val="center"/>
      </w:pPr>
      <w:r>
        <w:rPr>
          <w:rFonts w:ascii="宋体" w:hAnsi="宋体" w:eastAsia="宋体"/>
          <w:b w:val="0"/>
          <w:sz w:val="28"/>
        </w:rPr>
        <w:t>参赛单位：</w:t>
      </w:r>
      <w:r>
        <w:rPr>
          <w:rFonts w:hint="eastAsia" w:ascii="宋体" w:hAnsi="宋体" w:eastAsia="宋体"/>
          <w:b w:val="0"/>
          <w:sz w:val="28"/>
          <w:u w:val="single"/>
          <w:lang w:val="en-US" w:eastAsia="zh-CN"/>
        </w:rPr>
        <w:t>河南大学人工智能学院</w:t>
      </w:r>
    </w:p>
    <w:p w14:paraId="42A53242">
      <w:pPr>
        <w:spacing w:line="360" w:lineRule="auto"/>
        <w:jc w:val="center"/>
        <w:rPr>
          <w:rFonts w:hint="default" w:eastAsia="宋体"/>
          <w:lang w:val="en-US" w:eastAsia="zh-CN"/>
        </w:rPr>
      </w:pPr>
      <w:r>
        <w:rPr>
          <w:rFonts w:hint="eastAsia" w:ascii="宋体" w:hAnsi="宋体" w:eastAsia="宋体"/>
          <w:b w:val="0"/>
          <w:sz w:val="28"/>
          <w:lang w:val="en-US" w:eastAsia="zh-CN"/>
        </w:rPr>
        <w:t>项目</w:t>
      </w:r>
      <w:r>
        <w:rPr>
          <w:rFonts w:ascii="宋体" w:hAnsi="宋体" w:eastAsia="宋体"/>
          <w:b w:val="0"/>
          <w:sz w:val="28"/>
        </w:rPr>
        <w:t>负责人</w:t>
      </w:r>
      <w:r>
        <w:rPr>
          <w:rFonts w:hint="eastAsia" w:ascii="宋体" w:hAnsi="宋体" w:eastAsia="宋体"/>
          <w:b w:val="0"/>
          <w:sz w:val="28"/>
          <w:lang w:eastAsia="zh-CN"/>
        </w:rPr>
        <w:t>：</w:t>
      </w:r>
      <w:r>
        <w:rPr>
          <w:rFonts w:hint="eastAsia" w:ascii="宋体" w:hAnsi="宋体" w:eastAsia="宋体"/>
          <w:b w:val="0"/>
          <w:sz w:val="28"/>
          <w:u w:val="single"/>
          <w:lang w:val="en-US" w:eastAsia="zh-CN"/>
        </w:rPr>
        <w:t>樊淳叶</w:t>
      </w:r>
    </w:p>
    <w:p w14:paraId="0353E3A6">
      <w:pPr>
        <w:spacing w:line="360" w:lineRule="auto"/>
        <w:jc w:val="center"/>
      </w:pPr>
      <w:r>
        <w:rPr>
          <w:rFonts w:ascii="宋体" w:hAnsi="宋体" w:eastAsia="宋体"/>
          <w:b w:val="0"/>
          <w:sz w:val="28"/>
        </w:rPr>
        <w:t>2026年</w:t>
      </w:r>
      <w:r>
        <w:rPr>
          <w:rFonts w:hint="eastAsia" w:ascii="宋体" w:hAnsi="宋体" w:eastAsia="宋体"/>
          <w:b w:val="0"/>
          <w:sz w:val="28"/>
          <w:lang w:val="en-US" w:eastAsia="zh-CN"/>
        </w:rPr>
        <w:t>9</w:t>
      </w:r>
      <w:r>
        <w:rPr>
          <w:rFonts w:ascii="宋体" w:hAnsi="宋体" w:eastAsia="宋体"/>
          <w:b w:val="0"/>
          <w:sz w:val="28"/>
        </w:rPr>
        <w:t>月</w:t>
      </w:r>
      <w:r>
        <w:rPr>
          <w:rFonts w:hint="eastAsia" w:ascii="宋体" w:hAnsi="宋体" w:eastAsia="宋体"/>
          <w:b w:val="0"/>
          <w:sz w:val="28"/>
          <w:lang w:val="en-US" w:eastAsia="zh-CN"/>
        </w:rPr>
        <w:t>4</w:t>
      </w:r>
      <w:r>
        <w:rPr>
          <w:rFonts w:ascii="宋体" w:hAnsi="宋体" w:eastAsia="宋体"/>
          <w:b w:val="0"/>
          <w:sz w:val="28"/>
        </w:rPr>
        <w:t>日</w:t>
      </w:r>
    </w:p>
    <w:p w14:paraId="66A595F8">
      <w:pPr>
        <w:spacing w:after="360"/>
        <w:jc w:val="left"/>
        <w:rPr>
          <w:rFonts w:ascii="黑体" w:hAnsi="黑体" w:eastAsia="黑体"/>
          <w:b/>
          <w:sz w:val="32"/>
        </w:rPr>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pPr>
    </w:p>
    <w:p w14:paraId="18EB8FE4">
      <w:pPr>
        <w:spacing w:after="360"/>
        <w:jc w:val="left"/>
      </w:pPr>
      <w:r>
        <w:rPr>
          <w:rFonts w:ascii="黑体" w:hAnsi="黑体" w:eastAsia="黑体"/>
          <w:b/>
          <w:sz w:val="32"/>
        </w:rPr>
        <w:t>目录</w:t>
      </w:r>
    </w:p>
    <w:p w14:paraId="0859E4CA">
      <w:pPr>
        <w:tabs>
          <w:tab w:val="right" w:leader="dot" w:pos="8787"/>
        </w:tabs>
        <w:spacing w:line="360" w:lineRule="auto"/>
        <w:jc w:val="left"/>
        <w:rPr>
          <w:rFonts w:hint="eastAsia" w:eastAsia="宋体"/>
          <w:lang w:val="en-US" w:eastAsia="zh-CN"/>
        </w:rPr>
      </w:pPr>
      <w:r>
        <w:rPr>
          <w:rFonts w:ascii="宋体" w:hAnsi="宋体" w:eastAsia="宋体"/>
          <w:b/>
          <w:sz w:val="28"/>
        </w:rPr>
        <w:t>项目摘要</w:t>
      </w:r>
      <w:r>
        <w:rPr>
          <w:rFonts w:ascii="宋体" w:hAnsi="宋体" w:eastAsia="宋体"/>
          <w:b/>
          <w:sz w:val="28"/>
        </w:rPr>
        <w:tab/>
      </w:r>
      <w:r>
        <w:rPr>
          <w:rFonts w:hint="eastAsia" w:ascii="宋体" w:hAnsi="宋体" w:eastAsia="宋体"/>
          <w:b/>
          <w:sz w:val="28"/>
          <w:lang w:val="en-US" w:eastAsia="zh-CN"/>
        </w:rPr>
        <w:t>4</w:t>
      </w:r>
    </w:p>
    <w:p w14:paraId="371A59D8">
      <w:pPr>
        <w:tabs>
          <w:tab w:val="right" w:leader="dot" w:pos="8787"/>
        </w:tabs>
        <w:spacing w:line="360" w:lineRule="auto"/>
        <w:jc w:val="left"/>
        <w:rPr>
          <w:rFonts w:hint="eastAsia" w:eastAsia="宋体"/>
          <w:lang w:val="en-US" w:eastAsia="zh-CN"/>
        </w:rPr>
      </w:pPr>
      <w:r>
        <w:rPr>
          <w:rFonts w:ascii="宋体" w:hAnsi="宋体" w:eastAsia="宋体"/>
          <w:b/>
          <w:sz w:val="28"/>
        </w:rPr>
        <w:t>一、项目背景与必要性</w:t>
      </w:r>
      <w:r>
        <w:rPr>
          <w:rFonts w:ascii="宋体" w:hAnsi="宋体" w:eastAsia="宋体"/>
          <w:b/>
          <w:sz w:val="28"/>
        </w:rPr>
        <w:tab/>
      </w:r>
      <w:r>
        <w:rPr>
          <w:rFonts w:hint="eastAsia" w:ascii="宋体" w:hAnsi="宋体" w:eastAsia="宋体"/>
          <w:b/>
          <w:sz w:val="28"/>
          <w:lang w:val="en-US" w:eastAsia="zh-CN"/>
        </w:rPr>
        <w:t>5</w:t>
      </w:r>
    </w:p>
    <w:p w14:paraId="43B83DED">
      <w:pPr>
        <w:tabs>
          <w:tab w:val="right" w:leader="dot" w:pos="8787"/>
        </w:tabs>
        <w:spacing w:line="360" w:lineRule="auto"/>
        <w:ind w:left="420"/>
        <w:jc w:val="left"/>
        <w:rPr>
          <w:rFonts w:hint="eastAsia" w:eastAsia="宋体"/>
          <w:lang w:val="en-US" w:eastAsia="zh-CN"/>
        </w:rPr>
      </w:pPr>
      <w:r>
        <w:rPr>
          <w:rFonts w:ascii="宋体" w:hAnsi="宋体" w:eastAsia="宋体"/>
          <w:b w:val="0"/>
          <w:sz w:val="24"/>
        </w:rPr>
        <w:t>1.1非遗传承的核心痛点亟待破解</w:t>
      </w:r>
      <w:r>
        <w:rPr>
          <w:rFonts w:ascii="宋体" w:hAnsi="宋体" w:eastAsia="宋体"/>
          <w:b w:val="0"/>
          <w:sz w:val="24"/>
        </w:rPr>
        <w:tab/>
      </w:r>
      <w:r>
        <w:rPr>
          <w:rFonts w:hint="eastAsia" w:ascii="宋体" w:hAnsi="宋体" w:eastAsia="宋体"/>
          <w:b w:val="0"/>
          <w:sz w:val="24"/>
          <w:lang w:val="en-US" w:eastAsia="zh-CN"/>
        </w:rPr>
        <w:t>5</w:t>
      </w:r>
    </w:p>
    <w:p w14:paraId="1F727106">
      <w:pPr>
        <w:tabs>
          <w:tab w:val="right" w:leader="dot" w:pos="8787"/>
        </w:tabs>
        <w:spacing w:line="360" w:lineRule="auto"/>
        <w:ind w:left="420"/>
        <w:jc w:val="left"/>
        <w:rPr>
          <w:rFonts w:hint="eastAsia" w:eastAsia="宋体"/>
          <w:lang w:val="en-US" w:eastAsia="zh-CN"/>
        </w:rPr>
      </w:pPr>
      <w:r>
        <w:rPr>
          <w:rFonts w:ascii="宋体" w:hAnsi="宋体" w:eastAsia="宋体"/>
          <w:b w:val="0"/>
          <w:sz w:val="24"/>
        </w:rPr>
        <w:t>1.2时代发展的必然趋势与政策导向</w:t>
      </w:r>
      <w:r>
        <w:rPr>
          <w:rFonts w:ascii="宋体" w:hAnsi="宋体" w:eastAsia="宋体"/>
          <w:b w:val="0"/>
          <w:sz w:val="24"/>
        </w:rPr>
        <w:tab/>
      </w:r>
      <w:r>
        <w:rPr>
          <w:rFonts w:hint="eastAsia" w:ascii="宋体" w:hAnsi="宋体" w:eastAsia="宋体"/>
          <w:b w:val="0"/>
          <w:sz w:val="24"/>
          <w:lang w:val="en-US" w:eastAsia="zh-CN"/>
        </w:rPr>
        <w:t>6</w:t>
      </w:r>
    </w:p>
    <w:p w14:paraId="5308AF29">
      <w:pPr>
        <w:tabs>
          <w:tab w:val="right" w:leader="dot" w:pos="8787"/>
        </w:tabs>
        <w:spacing w:line="360" w:lineRule="auto"/>
        <w:ind w:left="420"/>
        <w:jc w:val="left"/>
        <w:rPr>
          <w:rFonts w:hint="eastAsia" w:eastAsia="宋体"/>
          <w:lang w:val="en-US" w:eastAsia="zh-CN"/>
        </w:rPr>
      </w:pPr>
      <w:r>
        <w:rPr>
          <w:rFonts w:ascii="宋体" w:hAnsi="宋体" w:eastAsia="宋体"/>
          <w:b w:val="0"/>
          <w:sz w:val="24"/>
        </w:rPr>
        <w:t>1.3项目实施的核心意义</w:t>
      </w:r>
      <w:r>
        <w:rPr>
          <w:rFonts w:ascii="宋体" w:hAnsi="宋体" w:eastAsia="宋体"/>
          <w:b w:val="0"/>
          <w:sz w:val="24"/>
        </w:rPr>
        <w:tab/>
      </w:r>
      <w:r>
        <w:rPr>
          <w:rFonts w:hint="eastAsia" w:ascii="宋体" w:hAnsi="宋体" w:eastAsia="宋体"/>
          <w:b w:val="0"/>
          <w:sz w:val="24"/>
          <w:lang w:val="en-US" w:eastAsia="zh-CN"/>
        </w:rPr>
        <w:t>6</w:t>
      </w:r>
    </w:p>
    <w:p w14:paraId="7ADFC619">
      <w:pPr>
        <w:tabs>
          <w:tab w:val="right" w:leader="dot" w:pos="8787"/>
        </w:tabs>
        <w:spacing w:line="360" w:lineRule="auto"/>
        <w:jc w:val="left"/>
        <w:rPr>
          <w:rFonts w:hint="eastAsia" w:eastAsia="宋体"/>
          <w:lang w:val="en-US" w:eastAsia="zh-CN"/>
        </w:rPr>
      </w:pPr>
      <w:r>
        <w:rPr>
          <w:rFonts w:ascii="宋体" w:hAnsi="宋体" w:eastAsia="宋体"/>
          <w:b/>
          <w:sz w:val="28"/>
        </w:rPr>
        <w:t>二、项目核心定位与总体目标</w:t>
      </w:r>
      <w:r>
        <w:rPr>
          <w:rFonts w:ascii="宋体" w:hAnsi="宋体" w:eastAsia="宋体"/>
          <w:b/>
          <w:sz w:val="28"/>
        </w:rPr>
        <w:tab/>
      </w:r>
      <w:r>
        <w:rPr>
          <w:rFonts w:hint="eastAsia" w:ascii="宋体" w:hAnsi="宋体" w:eastAsia="宋体"/>
          <w:b/>
          <w:sz w:val="28"/>
          <w:lang w:val="en-US" w:eastAsia="zh-CN"/>
        </w:rPr>
        <w:t>7</w:t>
      </w:r>
    </w:p>
    <w:p w14:paraId="69058BCC">
      <w:pPr>
        <w:tabs>
          <w:tab w:val="right" w:leader="dot" w:pos="8787"/>
        </w:tabs>
        <w:spacing w:line="360" w:lineRule="auto"/>
        <w:ind w:left="420"/>
        <w:jc w:val="left"/>
        <w:rPr>
          <w:rFonts w:hint="eastAsia" w:eastAsia="宋体"/>
          <w:lang w:val="en-US" w:eastAsia="zh-CN"/>
        </w:rPr>
      </w:pPr>
      <w:r>
        <w:rPr>
          <w:rFonts w:ascii="宋体" w:hAnsi="宋体" w:eastAsia="宋体"/>
          <w:b w:val="0"/>
          <w:sz w:val="24"/>
        </w:rPr>
        <w:t>2.1核心定位</w:t>
      </w:r>
      <w:r>
        <w:rPr>
          <w:rFonts w:ascii="宋体" w:hAnsi="宋体" w:eastAsia="宋体"/>
          <w:b w:val="0"/>
          <w:sz w:val="24"/>
        </w:rPr>
        <w:tab/>
      </w:r>
      <w:r>
        <w:rPr>
          <w:rFonts w:hint="eastAsia" w:ascii="宋体" w:hAnsi="宋体" w:eastAsia="宋体"/>
          <w:b w:val="0"/>
          <w:sz w:val="24"/>
          <w:lang w:val="en-US" w:eastAsia="zh-CN"/>
        </w:rPr>
        <w:t>7</w:t>
      </w:r>
    </w:p>
    <w:p w14:paraId="7782F213">
      <w:pPr>
        <w:tabs>
          <w:tab w:val="right" w:leader="dot" w:pos="8787"/>
        </w:tabs>
        <w:spacing w:line="360" w:lineRule="auto"/>
        <w:ind w:left="420"/>
        <w:jc w:val="left"/>
        <w:rPr>
          <w:rFonts w:hint="eastAsia" w:eastAsia="宋体"/>
          <w:lang w:val="en-US" w:eastAsia="zh-CN"/>
        </w:rPr>
      </w:pPr>
      <w:r>
        <w:rPr>
          <w:rFonts w:ascii="宋体" w:hAnsi="宋体" w:eastAsia="宋体"/>
          <w:b w:val="0"/>
          <w:sz w:val="24"/>
        </w:rPr>
        <w:t>2.2总体目标</w:t>
      </w:r>
      <w:r>
        <w:rPr>
          <w:rFonts w:ascii="宋体" w:hAnsi="宋体" w:eastAsia="宋体"/>
          <w:b w:val="0"/>
          <w:sz w:val="24"/>
        </w:rPr>
        <w:tab/>
      </w:r>
      <w:r>
        <w:rPr>
          <w:rFonts w:hint="eastAsia" w:ascii="宋体" w:hAnsi="宋体" w:eastAsia="宋体"/>
          <w:b w:val="0"/>
          <w:sz w:val="24"/>
          <w:lang w:val="en-US" w:eastAsia="zh-CN"/>
        </w:rPr>
        <w:t>7</w:t>
      </w:r>
    </w:p>
    <w:p w14:paraId="67F56251">
      <w:pPr>
        <w:tabs>
          <w:tab w:val="right" w:leader="dot" w:pos="8787"/>
        </w:tabs>
        <w:spacing w:line="360" w:lineRule="auto"/>
        <w:jc w:val="left"/>
        <w:rPr>
          <w:rFonts w:hint="eastAsia" w:eastAsia="宋体"/>
          <w:lang w:val="en-US" w:eastAsia="zh-CN"/>
        </w:rPr>
      </w:pPr>
      <w:r>
        <w:rPr>
          <w:rFonts w:ascii="宋体" w:hAnsi="宋体" w:eastAsia="宋体"/>
          <w:b/>
          <w:sz w:val="28"/>
        </w:rPr>
        <w:t>第三章实地调研走访</w:t>
      </w:r>
      <w:r>
        <w:rPr>
          <w:rFonts w:ascii="宋体" w:hAnsi="宋体" w:eastAsia="宋体"/>
          <w:b/>
          <w:sz w:val="28"/>
        </w:rPr>
        <w:tab/>
      </w:r>
      <w:r>
        <w:rPr>
          <w:rFonts w:hint="eastAsia" w:ascii="宋体" w:hAnsi="宋体" w:eastAsia="宋体"/>
          <w:b/>
          <w:sz w:val="28"/>
          <w:lang w:val="en-US" w:eastAsia="zh-CN"/>
        </w:rPr>
        <w:t>8</w:t>
      </w:r>
    </w:p>
    <w:p w14:paraId="748CF369">
      <w:pPr>
        <w:tabs>
          <w:tab w:val="right" w:leader="dot" w:pos="8787"/>
        </w:tabs>
        <w:spacing w:line="360" w:lineRule="auto"/>
        <w:ind w:left="420"/>
        <w:jc w:val="left"/>
        <w:rPr>
          <w:rFonts w:hint="eastAsia" w:eastAsia="宋体"/>
          <w:lang w:val="en-US" w:eastAsia="zh-CN"/>
        </w:rPr>
      </w:pPr>
      <w:r>
        <w:rPr>
          <w:rFonts w:ascii="宋体" w:hAnsi="宋体" w:eastAsia="宋体"/>
          <w:b w:val="0"/>
          <w:sz w:val="24"/>
        </w:rPr>
        <w:t>3.1开封市宋煌官瓷研发中心（河南省开封市龙亭区卜里寨中心街）</w:t>
      </w:r>
      <w:r>
        <w:rPr>
          <w:rFonts w:ascii="宋体" w:hAnsi="宋体" w:eastAsia="宋体"/>
          <w:b w:val="0"/>
          <w:sz w:val="24"/>
        </w:rPr>
        <w:tab/>
      </w:r>
      <w:r>
        <w:rPr>
          <w:rFonts w:hint="eastAsia" w:ascii="宋体" w:hAnsi="宋体" w:eastAsia="宋体"/>
          <w:b w:val="0"/>
          <w:sz w:val="24"/>
          <w:lang w:val="en-US" w:eastAsia="zh-CN"/>
        </w:rPr>
        <w:t>9</w:t>
      </w:r>
    </w:p>
    <w:p w14:paraId="099285AE">
      <w:pPr>
        <w:tabs>
          <w:tab w:val="right" w:leader="dot" w:pos="8787"/>
        </w:tabs>
        <w:spacing w:line="360" w:lineRule="auto"/>
        <w:ind w:left="420"/>
        <w:jc w:val="left"/>
        <w:rPr>
          <w:rFonts w:hint="eastAsia" w:eastAsia="宋体"/>
          <w:lang w:val="en-US" w:eastAsia="zh-CN"/>
        </w:rPr>
      </w:pPr>
      <w:r>
        <w:rPr>
          <w:rFonts w:ascii="宋体" w:hAnsi="宋体" w:eastAsia="宋体"/>
          <w:b w:val="0"/>
          <w:sz w:val="24"/>
        </w:rPr>
        <w:t>3.2学校陶瓷博物馆暨美育基地</w:t>
      </w:r>
      <w:r>
        <w:rPr>
          <w:rFonts w:ascii="宋体" w:hAnsi="宋体" w:eastAsia="宋体"/>
          <w:b w:val="0"/>
          <w:sz w:val="24"/>
        </w:rPr>
        <w:tab/>
      </w:r>
      <w:r>
        <w:rPr>
          <w:rFonts w:ascii="宋体" w:hAnsi="宋体" w:eastAsia="宋体"/>
          <w:b w:val="0"/>
          <w:sz w:val="24"/>
        </w:rPr>
        <w:t>1</w:t>
      </w:r>
      <w:r>
        <w:rPr>
          <w:rFonts w:hint="eastAsia" w:ascii="宋体" w:hAnsi="宋体" w:eastAsia="宋体"/>
          <w:b w:val="0"/>
          <w:sz w:val="24"/>
          <w:lang w:val="en-US" w:eastAsia="zh-CN"/>
        </w:rPr>
        <w:t>1</w:t>
      </w:r>
    </w:p>
    <w:p w14:paraId="6AE34B93">
      <w:pPr>
        <w:tabs>
          <w:tab w:val="right" w:leader="dot" w:pos="8787"/>
        </w:tabs>
        <w:spacing w:line="360" w:lineRule="auto"/>
        <w:jc w:val="left"/>
        <w:rPr>
          <w:rFonts w:hint="default" w:eastAsia="宋体"/>
          <w:lang w:val="en-US" w:eastAsia="zh-CN"/>
        </w:rPr>
      </w:pPr>
      <w:r>
        <w:rPr>
          <w:rFonts w:ascii="宋体" w:hAnsi="宋体" w:eastAsia="宋体"/>
          <w:b/>
          <w:sz w:val="28"/>
        </w:rPr>
        <w:t>四、核心技术体系与创新点</w:t>
      </w:r>
      <w:r>
        <w:rPr>
          <w:rFonts w:ascii="宋体" w:hAnsi="宋体" w:eastAsia="宋体"/>
          <w:b/>
          <w:sz w:val="28"/>
        </w:rPr>
        <w:tab/>
      </w:r>
      <w:r>
        <w:rPr>
          <w:rFonts w:hint="eastAsia" w:ascii="宋体" w:hAnsi="宋体" w:eastAsia="宋体"/>
          <w:b/>
          <w:sz w:val="28"/>
          <w:lang w:val="en-US" w:eastAsia="zh-CN"/>
        </w:rPr>
        <w:t>13</w:t>
      </w:r>
    </w:p>
    <w:p w14:paraId="05916676">
      <w:pPr>
        <w:tabs>
          <w:tab w:val="right" w:leader="dot" w:pos="8787"/>
        </w:tabs>
        <w:spacing w:line="360" w:lineRule="auto"/>
        <w:ind w:left="420"/>
        <w:jc w:val="left"/>
        <w:rPr>
          <w:rFonts w:hint="default" w:eastAsia="宋体"/>
          <w:lang w:val="en-US" w:eastAsia="zh-CN"/>
        </w:rPr>
      </w:pPr>
      <w:r>
        <w:rPr>
          <w:rFonts w:ascii="宋体" w:hAnsi="宋体" w:eastAsia="宋体"/>
          <w:b w:val="0"/>
          <w:sz w:val="24"/>
        </w:rPr>
        <w:t>4.1核心技术体系（三层架构）</w:t>
      </w:r>
      <w:r>
        <w:rPr>
          <w:rFonts w:ascii="宋体" w:hAnsi="宋体" w:eastAsia="宋体"/>
          <w:b w:val="0"/>
          <w:sz w:val="24"/>
        </w:rPr>
        <w:tab/>
      </w:r>
      <w:r>
        <w:rPr>
          <w:rFonts w:hint="eastAsia" w:ascii="宋体" w:hAnsi="宋体" w:eastAsia="宋体"/>
          <w:b w:val="0"/>
          <w:sz w:val="24"/>
          <w:lang w:val="en-US" w:eastAsia="zh-CN"/>
        </w:rPr>
        <w:t>13</w:t>
      </w:r>
    </w:p>
    <w:p w14:paraId="48EFD23A">
      <w:pPr>
        <w:tabs>
          <w:tab w:val="right" w:leader="dot" w:pos="8787"/>
        </w:tabs>
        <w:spacing w:line="360" w:lineRule="auto"/>
        <w:ind w:left="420"/>
        <w:jc w:val="left"/>
        <w:rPr>
          <w:rFonts w:hint="default" w:eastAsia="宋体"/>
          <w:lang w:val="en-US" w:eastAsia="zh-CN"/>
        </w:rPr>
      </w:pPr>
      <w:r>
        <w:rPr>
          <w:rFonts w:ascii="宋体" w:hAnsi="宋体" w:eastAsia="宋体"/>
          <w:b w:val="0"/>
          <w:sz w:val="24"/>
        </w:rPr>
        <w:t>4.2核心创新点</w:t>
      </w:r>
      <w:r>
        <w:rPr>
          <w:rFonts w:ascii="宋体" w:hAnsi="宋体" w:eastAsia="宋体"/>
          <w:b w:val="0"/>
          <w:sz w:val="24"/>
        </w:rPr>
        <w:tab/>
      </w:r>
      <w:r>
        <w:rPr>
          <w:rFonts w:hint="eastAsia" w:ascii="宋体" w:hAnsi="宋体" w:eastAsia="宋体"/>
          <w:b w:val="0"/>
          <w:sz w:val="24"/>
          <w:lang w:val="en-US" w:eastAsia="zh-CN"/>
        </w:rPr>
        <w:t>16</w:t>
      </w:r>
    </w:p>
    <w:p w14:paraId="309F089A">
      <w:pPr>
        <w:tabs>
          <w:tab w:val="right" w:leader="dot" w:pos="8787"/>
        </w:tabs>
        <w:spacing w:line="360" w:lineRule="auto"/>
        <w:ind w:left="420"/>
        <w:jc w:val="left"/>
        <w:rPr>
          <w:rFonts w:hint="default" w:eastAsia="宋体"/>
          <w:lang w:val="en-US" w:eastAsia="zh-CN"/>
        </w:rPr>
      </w:pPr>
      <w:r>
        <w:rPr>
          <w:rFonts w:ascii="宋体" w:hAnsi="宋体" w:eastAsia="宋体"/>
          <w:b w:val="0"/>
          <w:sz w:val="24"/>
        </w:rPr>
        <w:t>4.3导师科研基础与项目技术支撑</w:t>
      </w:r>
      <w:r>
        <w:rPr>
          <w:rFonts w:ascii="宋体" w:hAnsi="宋体" w:eastAsia="宋体"/>
          <w:b w:val="0"/>
          <w:sz w:val="24"/>
        </w:rPr>
        <w:tab/>
      </w:r>
      <w:r>
        <w:rPr>
          <w:rFonts w:hint="eastAsia" w:ascii="宋体" w:hAnsi="宋体" w:eastAsia="宋体"/>
          <w:b w:val="0"/>
          <w:sz w:val="24"/>
          <w:lang w:val="en-US" w:eastAsia="zh-CN"/>
        </w:rPr>
        <w:t>17</w:t>
      </w:r>
    </w:p>
    <w:p w14:paraId="63938430">
      <w:pPr>
        <w:tabs>
          <w:tab w:val="right" w:leader="dot" w:pos="8787"/>
        </w:tabs>
        <w:spacing w:line="360" w:lineRule="auto"/>
        <w:jc w:val="left"/>
        <w:rPr>
          <w:rFonts w:hint="default" w:eastAsia="宋体"/>
          <w:lang w:val="en-US" w:eastAsia="zh-CN"/>
        </w:rPr>
      </w:pPr>
      <w:r>
        <w:rPr>
          <w:rFonts w:ascii="宋体" w:hAnsi="宋体" w:eastAsia="宋体"/>
          <w:b/>
          <w:sz w:val="28"/>
        </w:rPr>
        <w:t>五、硬件系统技术实现与创新点</w:t>
      </w:r>
      <w:r>
        <w:rPr>
          <w:rFonts w:ascii="宋体" w:hAnsi="宋体" w:eastAsia="宋体"/>
          <w:b/>
          <w:sz w:val="28"/>
        </w:rPr>
        <w:tab/>
      </w:r>
      <w:r>
        <w:rPr>
          <w:rFonts w:hint="eastAsia" w:ascii="宋体" w:hAnsi="宋体" w:eastAsia="宋体"/>
          <w:b/>
          <w:sz w:val="28"/>
          <w:lang w:val="en-US" w:eastAsia="zh-CN"/>
        </w:rPr>
        <w:t>21</w:t>
      </w:r>
    </w:p>
    <w:p w14:paraId="5F72C734">
      <w:pPr>
        <w:tabs>
          <w:tab w:val="right" w:leader="dot" w:pos="8787"/>
        </w:tabs>
        <w:spacing w:line="360" w:lineRule="auto"/>
        <w:ind w:left="420"/>
        <w:jc w:val="left"/>
        <w:rPr>
          <w:rFonts w:hint="default" w:eastAsia="宋体"/>
          <w:lang w:val="en-US" w:eastAsia="zh-CN"/>
        </w:rPr>
      </w:pPr>
      <w:r>
        <w:rPr>
          <w:rFonts w:ascii="宋体" w:hAnsi="宋体" w:eastAsia="宋体"/>
          <w:b w:val="0"/>
          <w:sz w:val="24"/>
        </w:rPr>
        <w:t>5.1总体技术方案</w:t>
      </w:r>
      <w:r>
        <w:rPr>
          <w:rFonts w:ascii="宋体" w:hAnsi="宋体" w:eastAsia="宋体"/>
          <w:b w:val="0"/>
          <w:sz w:val="24"/>
        </w:rPr>
        <w:tab/>
      </w:r>
      <w:r>
        <w:rPr>
          <w:rFonts w:hint="eastAsia" w:ascii="宋体" w:hAnsi="宋体" w:eastAsia="宋体"/>
          <w:b w:val="0"/>
          <w:sz w:val="24"/>
          <w:lang w:val="en-US" w:eastAsia="zh-CN"/>
        </w:rPr>
        <w:t>21</w:t>
      </w:r>
    </w:p>
    <w:p w14:paraId="0C956EBF">
      <w:pPr>
        <w:tabs>
          <w:tab w:val="right" w:leader="dot" w:pos="8787"/>
        </w:tabs>
        <w:spacing w:line="360" w:lineRule="auto"/>
        <w:ind w:left="420"/>
        <w:jc w:val="left"/>
        <w:rPr>
          <w:rFonts w:hint="default" w:eastAsia="宋体"/>
          <w:lang w:val="en-US" w:eastAsia="zh-CN"/>
        </w:rPr>
      </w:pPr>
      <w:r>
        <w:rPr>
          <w:rFonts w:ascii="宋体" w:hAnsi="宋体" w:eastAsia="宋体"/>
          <w:b w:val="0"/>
          <w:sz w:val="24"/>
        </w:rPr>
        <w:t>5.2硬件模块实现</w:t>
      </w:r>
      <w:r>
        <w:rPr>
          <w:rFonts w:ascii="宋体" w:hAnsi="宋体" w:eastAsia="宋体"/>
          <w:b w:val="0"/>
          <w:sz w:val="24"/>
        </w:rPr>
        <w:tab/>
      </w:r>
      <w:r>
        <w:rPr>
          <w:rFonts w:hint="eastAsia" w:ascii="宋体" w:hAnsi="宋体" w:eastAsia="宋体"/>
          <w:b w:val="0"/>
          <w:sz w:val="24"/>
          <w:lang w:val="en-US" w:eastAsia="zh-CN"/>
        </w:rPr>
        <w:t>22</w:t>
      </w:r>
    </w:p>
    <w:p w14:paraId="4BE50BDA">
      <w:pPr>
        <w:tabs>
          <w:tab w:val="right" w:leader="dot" w:pos="8787"/>
        </w:tabs>
        <w:spacing w:line="360" w:lineRule="auto"/>
        <w:ind w:left="420"/>
        <w:jc w:val="left"/>
        <w:rPr>
          <w:rFonts w:hint="default" w:eastAsia="宋体"/>
          <w:lang w:val="en-US" w:eastAsia="zh-CN"/>
        </w:rPr>
      </w:pPr>
      <w:r>
        <w:rPr>
          <w:rFonts w:ascii="宋体" w:hAnsi="宋体" w:eastAsia="宋体"/>
          <w:b w:val="0"/>
          <w:sz w:val="24"/>
        </w:rPr>
        <w:t>5.3硬件创新点</w:t>
      </w:r>
      <w:r>
        <w:rPr>
          <w:rFonts w:ascii="宋体" w:hAnsi="宋体" w:eastAsia="宋体"/>
          <w:b w:val="0"/>
          <w:sz w:val="24"/>
        </w:rPr>
        <w:tab/>
      </w:r>
      <w:r>
        <w:rPr>
          <w:rFonts w:hint="eastAsia" w:ascii="宋体" w:hAnsi="宋体" w:eastAsia="宋体"/>
          <w:b w:val="0"/>
          <w:sz w:val="24"/>
          <w:lang w:val="en-US" w:eastAsia="zh-CN"/>
        </w:rPr>
        <w:t>23</w:t>
      </w:r>
    </w:p>
    <w:p w14:paraId="32820B52">
      <w:pPr>
        <w:tabs>
          <w:tab w:val="right" w:leader="dot" w:pos="8787"/>
        </w:tabs>
        <w:spacing w:line="360" w:lineRule="auto"/>
        <w:ind w:left="420"/>
        <w:jc w:val="left"/>
        <w:rPr>
          <w:rFonts w:hint="default" w:eastAsia="宋体"/>
          <w:lang w:val="en-US" w:eastAsia="zh-CN"/>
        </w:rPr>
      </w:pPr>
      <w:r>
        <w:rPr>
          <w:rFonts w:ascii="宋体" w:hAnsi="宋体" w:eastAsia="宋体"/>
          <w:b w:val="0"/>
          <w:sz w:val="24"/>
        </w:rPr>
        <w:t>5.4系统扩展性</w:t>
      </w:r>
      <w:r>
        <w:rPr>
          <w:rFonts w:ascii="宋体" w:hAnsi="宋体" w:eastAsia="宋体"/>
          <w:b w:val="0"/>
          <w:sz w:val="24"/>
        </w:rPr>
        <w:tab/>
      </w:r>
      <w:r>
        <w:rPr>
          <w:rFonts w:hint="eastAsia" w:ascii="宋体" w:hAnsi="宋体" w:eastAsia="宋体"/>
          <w:b w:val="0"/>
          <w:sz w:val="24"/>
          <w:lang w:val="en-US" w:eastAsia="zh-CN"/>
        </w:rPr>
        <w:t>25</w:t>
      </w:r>
    </w:p>
    <w:p w14:paraId="7C55D1F3">
      <w:pPr>
        <w:tabs>
          <w:tab w:val="right" w:leader="dot" w:pos="8787"/>
        </w:tabs>
        <w:spacing w:line="360" w:lineRule="auto"/>
        <w:jc w:val="left"/>
        <w:rPr>
          <w:rFonts w:hint="default" w:eastAsia="宋体"/>
          <w:lang w:val="en-US" w:eastAsia="zh-CN"/>
        </w:rPr>
      </w:pPr>
      <w:r>
        <w:rPr>
          <w:rFonts w:ascii="宋体" w:hAnsi="宋体" w:eastAsia="宋体"/>
          <w:b/>
          <w:sz w:val="28"/>
        </w:rPr>
        <w:t>六、产品与服务矩阵</w:t>
      </w:r>
      <w:r>
        <w:rPr>
          <w:rFonts w:ascii="宋体" w:hAnsi="宋体" w:eastAsia="宋体"/>
          <w:b/>
          <w:sz w:val="28"/>
        </w:rPr>
        <w:tab/>
      </w:r>
      <w:r>
        <w:rPr>
          <w:rFonts w:hint="eastAsia" w:ascii="宋体" w:hAnsi="宋体" w:eastAsia="宋体"/>
          <w:b/>
          <w:sz w:val="28"/>
          <w:lang w:val="en-US" w:eastAsia="zh-CN"/>
        </w:rPr>
        <w:t>25</w:t>
      </w:r>
    </w:p>
    <w:p w14:paraId="2BE23538">
      <w:pPr>
        <w:tabs>
          <w:tab w:val="right" w:leader="dot" w:pos="8787"/>
        </w:tabs>
        <w:spacing w:line="360" w:lineRule="auto"/>
        <w:jc w:val="left"/>
        <w:rPr>
          <w:rFonts w:hint="default" w:eastAsia="宋体"/>
          <w:lang w:val="en-US" w:eastAsia="zh-CN"/>
        </w:rPr>
      </w:pPr>
      <w:r>
        <w:rPr>
          <w:rFonts w:ascii="宋体" w:hAnsi="宋体" w:eastAsia="宋体"/>
          <w:b/>
          <w:sz w:val="28"/>
        </w:rPr>
        <w:t>七、项目设备迭代与更新规划</w:t>
      </w:r>
      <w:r>
        <w:rPr>
          <w:rFonts w:ascii="宋体" w:hAnsi="宋体" w:eastAsia="宋体"/>
          <w:b/>
          <w:sz w:val="28"/>
        </w:rPr>
        <w:tab/>
      </w:r>
      <w:r>
        <w:rPr>
          <w:rFonts w:hint="eastAsia" w:ascii="宋体" w:hAnsi="宋体" w:eastAsia="宋体"/>
          <w:b/>
          <w:sz w:val="28"/>
          <w:lang w:val="en-US" w:eastAsia="zh-CN"/>
        </w:rPr>
        <w:t>26</w:t>
      </w:r>
    </w:p>
    <w:p w14:paraId="7BC65F37">
      <w:pPr>
        <w:tabs>
          <w:tab w:val="right" w:leader="dot" w:pos="8787"/>
        </w:tabs>
        <w:spacing w:line="360" w:lineRule="auto"/>
        <w:ind w:left="420"/>
        <w:jc w:val="left"/>
        <w:rPr>
          <w:rFonts w:hint="default" w:eastAsia="宋体"/>
          <w:lang w:val="en-US" w:eastAsia="zh-CN"/>
        </w:rPr>
      </w:pPr>
      <w:r>
        <w:rPr>
          <w:rFonts w:ascii="宋体" w:hAnsi="宋体" w:eastAsia="宋体"/>
          <w:b w:val="0"/>
          <w:sz w:val="24"/>
        </w:rPr>
        <w:t>7.1硬件迭代总体思路</w:t>
      </w:r>
      <w:r>
        <w:rPr>
          <w:rFonts w:ascii="宋体" w:hAnsi="宋体" w:eastAsia="宋体"/>
          <w:b w:val="0"/>
          <w:sz w:val="24"/>
        </w:rPr>
        <w:tab/>
      </w:r>
      <w:r>
        <w:rPr>
          <w:rFonts w:hint="eastAsia" w:ascii="宋体" w:hAnsi="宋体" w:eastAsia="宋体"/>
          <w:b w:val="0"/>
          <w:sz w:val="24"/>
          <w:lang w:val="en-US" w:eastAsia="zh-CN"/>
        </w:rPr>
        <w:t>27</w:t>
      </w:r>
    </w:p>
    <w:p w14:paraId="39CC230D">
      <w:pPr>
        <w:tabs>
          <w:tab w:val="right" w:leader="dot" w:pos="8787"/>
        </w:tabs>
        <w:spacing w:line="360" w:lineRule="auto"/>
        <w:ind w:left="420"/>
        <w:jc w:val="left"/>
        <w:rPr>
          <w:rFonts w:hint="default" w:eastAsia="宋体"/>
          <w:lang w:val="en-US" w:eastAsia="zh-CN"/>
        </w:rPr>
      </w:pPr>
      <w:r>
        <w:rPr>
          <w:rFonts w:ascii="宋体" w:hAnsi="宋体" w:eastAsia="宋体"/>
          <w:b w:val="0"/>
          <w:sz w:val="24"/>
        </w:rPr>
        <w:t>7.2ESP32-S3与STM32单片机协同架构迭代优势</w:t>
      </w:r>
      <w:r>
        <w:rPr>
          <w:rFonts w:ascii="宋体" w:hAnsi="宋体" w:eastAsia="宋体"/>
          <w:b w:val="0"/>
          <w:sz w:val="24"/>
        </w:rPr>
        <w:tab/>
      </w:r>
      <w:r>
        <w:rPr>
          <w:rFonts w:hint="eastAsia" w:ascii="宋体" w:hAnsi="宋体" w:eastAsia="宋体"/>
          <w:b w:val="0"/>
          <w:sz w:val="24"/>
          <w:lang w:val="en-US" w:eastAsia="zh-CN"/>
        </w:rPr>
        <w:t>27</w:t>
      </w:r>
    </w:p>
    <w:p w14:paraId="0FB4303B">
      <w:pPr>
        <w:tabs>
          <w:tab w:val="right" w:leader="dot" w:pos="8787"/>
        </w:tabs>
        <w:spacing w:line="360" w:lineRule="auto"/>
        <w:ind w:left="420"/>
        <w:jc w:val="left"/>
        <w:rPr>
          <w:rFonts w:hint="default" w:eastAsia="宋体"/>
          <w:lang w:val="en-US" w:eastAsia="zh-CN"/>
        </w:rPr>
      </w:pPr>
      <w:r>
        <w:rPr>
          <w:rFonts w:ascii="宋体" w:hAnsi="宋体" w:eastAsia="宋体"/>
          <w:b w:val="0"/>
          <w:sz w:val="24"/>
        </w:rPr>
        <w:t>7.3ESP32-S3与STM32协同架构迭代创新点</w:t>
      </w:r>
      <w:r>
        <w:rPr>
          <w:rFonts w:ascii="宋体" w:hAnsi="宋体" w:eastAsia="宋体"/>
          <w:b w:val="0"/>
          <w:sz w:val="24"/>
        </w:rPr>
        <w:tab/>
      </w:r>
      <w:r>
        <w:rPr>
          <w:rFonts w:hint="eastAsia" w:ascii="宋体" w:hAnsi="宋体" w:eastAsia="宋体"/>
          <w:b w:val="0"/>
          <w:sz w:val="24"/>
          <w:lang w:val="en-US" w:eastAsia="zh-CN"/>
        </w:rPr>
        <w:t>29</w:t>
      </w:r>
    </w:p>
    <w:p w14:paraId="2759239E">
      <w:pPr>
        <w:tabs>
          <w:tab w:val="right" w:leader="dot" w:pos="8787"/>
        </w:tabs>
        <w:spacing w:line="360" w:lineRule="auto"/>
        <w:ind w:left="420"/>
        <w:jc w:val="left"/>
        <w:rPr>
          <w:rFonts w:hint="default" w:eastAsia="宋体"/>
          <w:lang w:val="en-US" w:eastAsia="zh-CN"/>
        </w:rPr>
      </w:pPr>
      <w:r>
        <w:rPr>
          <w:rFonts w:ascii="宋体" w:hAnsi="宋体" w:eastAsia="宋体"/>
          <w:b w:val="0"/>
          <w:sz w:val="24"/>
        </w:rPr>
        <w:t>7.4分阶段硬件迭代实施内容</w:t>
      </w:r>
      <w:r>
        <w:rPr>
          <w:rFonts w:ascii="宋体" w:hAnsi="宋体" w:eastAsia="宋体"/>
          <w:b w:val="0"/>
          <w:sz w:val="24"/>
        </w:rPr>
        <w:tab/>
      </w:r>
      <w:r>
        <w:rPr>
          <w:rFonts w:hint="eastAsia" w:ascii="宋体" w:hAnsi="宋体" w:eastAsia="宋体"/>
          <w:b w:val="0"/>
          <w:sz w:val="24"/>
          <w:lang w:val="en-US" w:eastAsia="zh-CN"/>
        </w:rPr>
        <w:t>29</w:t>
      </w:r>
    </w:p>
    <w:p w14:paraId="6052B2ED">
      <w:pPr>
        <w:tabs>
          <w:tab w:val="right" w:leader="dot" w:pos="8787"/>
        </w:tabs>
        <w:spacing w:line="360" w:lineRule="auto"/>
        <w:ind w:left="420"/>
        <w:jc w:val="left"/>
        <w:rPr>
          <w:rFonts w:hint="eastAsia" w:eastAsia="宋体"/>
          <w:lang w:val="en-US" w:eastAsia="zh-CN"/>
        </w:rPr>
      </w:pPr>
      <w:r>
        <w:rPr>
          <w:rFonts w:ascii="宋体" w:hAnsi="宋体" w:eastAsia="宋体"/>
          <w:b w:val="0"/>
          <w:sz w:val="24"/>
        </w:rPr>
        <w:t>7.5设备迭代风险与更新替换机制</w:t>
      </w:r>
      <w:r>
        <w:rPr>
          <w:rFonts w:ascii="宋体" w:hAnsi="宋体" w:eastAsia="宋体"/>
          <w:b w:val="0"/>
          <w:sz w:val="24"/>
        </w:rPr>
        <w:tab/>
      </w:r>
      <w:r>
        <w:rPr>
          <w:rFonts w:ascii="宋体" w:hAnsi="宋体" w:eastAsia="宋体"/>
          <w:b w:val="0"/>
          <w:sz w:val="24"/>
        </w:rPr>
        <w:t>3</w:t>
      </w:r>
      <w:r>
        <w:rPr>
          <w:rFonts w:hint="eastAsia" w:ascii="宋体" w:hAnsi="宋体" w:eastAsia="宋体"/>
          <w:b w:val="0"/>
          <w:sz w:val="24"/>
          <w:lang w:val="en-US" w:eastAsia="zh-CN"/>
        </w:rPr>
        <w:t>0</w:t>
      </w:r>
    </w:p>
    <w:p w14:paraId="0C78CAB0">
      <w:pPr>
        <w:tabs>
          <w:tab w:val="right" w:leader="dot" w:pos="8787"/>
        </w:tabs>
        <w:spacing w:line="360" w:lineRule="auto"/>
        <w:jc w:val="left"/>
        <w:rPr>
          <w:rFonts w:hint="eastAsia" w:eastAsia="宋体"/>
          <w:lang w:val="en-US" w:eastAsia="zh-CN"/>
        </w:rPr>
      </w:pPr>
      <w:r>
        <w:rPr>
          <w:rFonts w:ascii="宋体" w:hAnsi="宋体" w:eastAsia="宋体"/>
          <w:b/>
          <w:sz w:val="28"/>
        </w:rPr>
        <w:t>八、项目研发与实施计划</w:t>
      </w:r>
      <w:r>
        <w:rPr>
          <w:rFonts w:ascii="宋体" w:hAnsi="宋体" w:eastAsia="宋体"/>
          <w:b/>
          <w:sz w:val="28"/>
        </w:rPr>
        <w:tab/>
      </w:r>
      <w:r>
        <w:rPr>
          <w:rFonts w:ascii="宋体" w:hAnsi="宋体" w:eastAsia="宋体"/>
          <w:b/>
          <w:sz w:val="28"/>
        </w:rPr>
        <w:t>3</w:t>
      </w:r>
      <w:r>
        <w:rPr>
          <w:rFonts w:hint="eastAsia" w:ascii="宋体" w:hAnsi="宋体" w:eastAsia="宋体"/>
          <w:b/>
          <w:sz w:val="28"/>
          <w:lang w:val="en-US" w:eastAsia="zh-CN"/>
        </w:rPr>
        <w:t>1</w:t>
      </w:r>
    </w:p>
    <w:p w14:paraId="30C83797">
      <w:pPr>
        <w:tabs>
          <w:tab w:val="right" w:leader="dot" w:pos="8787"/>
        </w:tabs>
        <w:spacing w:line="360" w:lineRule="auto"/>
        <w:ind w:left="420"/>
        <w:jc w:val="left"/>
        <w:rPr>
          <w:rFonts w:hint="eastAsia" w:eastAsia="宋体"/>
          <w:lang w:val="en-US" w:eastAsia="zh-CN"/>
        </w:rPr>
      </w:pPr>
      <w:r>
        <w:rPr>
          <w:rFonts w:ascii="宋体" w:hAnsi="宋体" w:eastAsia="宋体"/>
          <w:b w:val="0"/>
          <w:sz w:val="24"/>
        </w:rPr>
        <w:t>8.1项目团队构成</w:t>
      </w:r>
      <w:r>
        <w:rPr>
          <w:rFonts w:ascii="宋体" w:hAnsi="宋体" w:eastAsia="宋体"/>
          <w:b w:val="0"/>
          <w:sz w:val="24"/>
        </w:rPr>
        <w:tab/>
      </w:r>
      <w:r>
        <w:rPr>
          <w:rFonts w:ascii="宋体" w:hAnsi="宋体" w:eastAsia="宋体"/>
          <w:b w:val="0"/>
          <w:sz w:val="24"/>
        </w:rPr>
        <w:t>3</w:t>
      </w:r>
      <w:r>
        <w:rPr>
          <w:rFonts w:hint="eastAsia" w:ascii="宋体" w:hAnsi="宋体" w:eastAsia="宋体"/>
          <w:b w:val="0"/>
          <w:sz w:val="24"/>
          <w:lang w:val="en-US" w:eastAsia="zh-CN"/>
        </w:rPr>
        <w:t>1</w:t>
      </w:r>
    </w:p>
    <w:p w14:paraId="796A53BB">
      <w:pPr>
        <w:tabs>
          <w:tab w:val="right" w:leader="dot" w:pos="8787"/>
        </w:tabs>
        <w:spacing w:line="360" w:lineRule="auto"/>
        <w:ind w:left="420"/>
        <w:jc w:val="left"/>
        <w:rPr>
          <w:rFonts w:hint="eastAsia" w:eastAsia="宋体"/>
          <w:lang w:val="en-US" w:eastAsia="zh-CN"/>
        </w:rPr>
      </w:pPr>
      <w:r>
        <w:rPr>
          <w:rFonts w:ascii="宋体" w:hAnsi="宋体" w:eastAsia="宋体"/>
          <w:b w:val="0"/>
          <w:sz w:val="24"/>
        </w:rPr>
        <w:t>8.2分阶段实施计划</w:t>
      </w:r>
      <w:r>
        <w:rPr>
          <w:rFonts w:ascii="宋体" w:hAnsi="宋体" w:eastAsia="宋体"/>
          <w:b w:val="0"/>
          <w:sz w:val="24"/>
        </w:rPr>
        <w:tab/>
      </w:r>
      <w:r>
        <w:rPr>
          <w:rFonts w:ascii="宋体" w:hAnsi="宋体" w:eastAsia="宋体"/>
          <w:b w:val="0"/>
          <w:sz w:val="24"/>
        </w:rPr>
        <w:t>3</w:t>
      </w:r>
      <w:r>
        <w:rPr>
          <w:rFonts w:hint="eastAsia" w:ascii="宋体" w:hAnsi="宋体" w:eastAsia="宋体"/>
          <w:b w:val="0"/>
          <w:sz w:val="24"/>
          <w:lang w:val="en-US" w:eastAsia="zh-CN"/>
        </w:rPr>
        <w:t>2</w:t>
      </w:r>
    </w:p>
    <w:p w14:paraId="1DFA3F05">
      <w:pPr>
        <w:tabs>
          <w:tab w:val="right" w:leader="dot" w:pos="8787"/>
        </w:tabs>
        <w:spacing w:line="360" w:lineRule="auto"/>
        <w:jc w:val="left"/>
        <w:rPr>
          <w:rFonts w:hint="eastAsia" w:eastAsia="宋体"/>
          <w:lang w:val="en-US" w:eastAsia="zh-CN"/>
        </w:rPr>
      </w:pPr>
      <w:r>
        <w:rPr>
          <w:rFonts w:ascii="宋体" w:hAnsi="宋体" w:eastAsia="宋体"/>
          <w:b/>
          <w:sz w:val="28"/>
        </w:rPr>
        <w:t>九、核心竞争优势</w:t>
      </w:r>
      <w:r>
        <w:rPr>
          <w:rFonts w:ascii="宋体" w:hAnsi="宋体" w:eastAsia="宋体"/>
          <w:b/>
          <w:sz w:val="28"/>
        </w:rPr>
        <w:tab/>
      </w:r>
      <w:r>
        <w:rPr>
          <w:rFonts w:ascii="宋体" w:hAnsi="宋体" w:eastAsia="宋体"/>
          <w:b/>
          <w:sz w:val="28"/>
        </w:rPr>
        <w:t>3</w:t>
      </w:r>
      <w:r>
        <w:rPr>
          <w:rFonts w:hint="eastAsia" w:ascii="宋体" w:hAnsi="宋体" w:eastAsia="宋体"/>
          <w:b/>
          <w:sz w:val="28"/>
          <w:lang w:val="en-US" w:eastAsia="zh-CN"/>
        </w:rPr>
        <w:t>4</w:t>
      </w:r>
    </w:p>
    <w:p w14:paraId="0D398754">
      <w:pPr>
        <w:tabs>
          <w:tab w:val="right" w:leader="dot" w:pos="8787"/>
        </w:tabs>
        <w:spacing w:line="360" w:lineRule="auto"/>
        <w:jc w:val="left"/>
        <w:rPr>
          <w:rFonts w:hint="eastAsia" w:eastAsia="宋体"/>
          <w:lang w:val="en-US" w:eastAsia="zh-CN"/>
        </w:rPr>
      </w:pPr>
      <w:r>
        <w:rPr>
          <w:rFonts w:ascii="宋体" w:hAnsi="宋体" w:eastAsia="宋体"/>
          <w:b/>
          <w:sz w:val="28"/>
        </w:rPr>
        <w:t>十、合作需求与支持方向</w:t>
      </w:r>
      <w:r>
        <w:rPr>
          <w:rFonts w:ascii="宋体" w:hAnsi="宋体" w:eastAsia="宋体"/>
          <w:b/>
          <w:sz w:val="28"/>
        </w:rPr>
        <w:tab/>
      </w:r>
      <w:r>
        <w:rPr>
          <w:rFonts w:ascii="宋体" w:hAnsi="宋体" w:eastAsia="宋体"/>
          <w:b/>
          <w:sz w:val="28"/>
        </w:rPr>
        <w:t>3</w:t>
      </w:r>
      <w:r>
        <w:rPr>
          <w:rFonts w:hint="eastAsia" w:ascii="宋体" w:hAnsi="宋体" w:eastAsia="宋体"/>
          <w:b/>
          <w:sz w:val="28"/>
          <w:lang w:val="en-US" w:eastAsia="zh-CN"/>
        </w:rPr>
        <w:t>5</w:t>
      </w:r>
    </w:p>
    <w:p w14:paraId="6532D0C4">
      <w:pPr>
        <w:tabs>
          <w:tab w:val="right" w:leader="dot" w:pos="8787"/>
        </w:tabs>
        <w:spacing w:line="360" w:lineRule="auto"/>
        <w:ind w:left="420"/>
        <w:jc w:val="left"/>
        <w:rPr>
          <w:rFonts w:hint="default" w:eastAsia="宋体"/>
          <w:lang w:val="en-US" w:eastAsia="zh-CN"/>
        </w:rPr>
      </w:pPr>
      <w:r>
        <w:rPr>
          <w:rFonts w:ascii="宋体" w:hAnsi="宋体" w:eastAsia="宋体"/>
          <w:b w:val="0"/>
          <w:sz w:val="24"/>
        </w:rPr>
        <w:t>10.1专业指导需求</w:t>
      </w:r>
      <w:r>
        <w:rPr>
          <w:rFonts w:ascii="宋体" w:hAnsi="宋体" w:eastAsia="宋体"/>
          <w:b w:val="0"/>
          <w:sz w:val="24"/>
        </w:rPr>
        <w:tab/>
      </w:r>
      <w:r>
        <w:rPr>
          <w:rFonts w:hint="eastAsia" w:ascii="宋体" w:hAnsi="宋体" w:eastAsia="宋体"/>
          <w:b w:val="0"/>
          <w:sz w:val="24"/>
          <w:lang w:val="en-US" w:eastAsia="zh-CN"/>
        </w:rPr>
        <w:t>35</w:t>
      </w:r>
    </w:p>
    <w:p w14:paraId="5927C0C1">
      <w:pPr>
        <w:tabs>
          <w:tab w:val="right" w:leader="dot" w:pos="8787"/>
        </w:tabs>
        <w:spacing w:line="360" w:lineRule="auto"/>
        <w:ind w:left="420"/>
        <w:jc w:val="left"/>
        <w:rPr>
          <w:rFonts w:hint="default" w:eastAsia="宋体"/>
          <w:lang w:val="en-US" w:eastAsia="zh-CN"/>
        </w:rPr>
      </w:pPr>
      <w:r>
        <w:rPr>
          <w:rFonts w:ascii="宋体" w:hAnsi="宋体" w:eastAsia="宋体"/>
          <w:b w:val="0"/>
          <w:sz w:val="24"/>
        </w:rPr>
        <w:t>10.2合作与赞助需求</w:t>
      </w:r>
      <w:r>
        <w:rPr>
          <w:rFonts w:ascii="宋体" w:hAnsi="宋体" w:eastAsia="宋体"/>
          <w:b w:val="0"/>
          <w:sz w:val="24"/>
        </w:rPr>
        <w:tab/>
      </w:r>
      <w:r>
        <w:rPr>
          <w:rFonts w:hint="eastAsia" w:ascii="宋体" w:hAnsi="宋体" w:eastAsia="宋体"/>
          <w:b w:val="0"/>
          <w:sz w:val="24"/>
          <w:lang w:val="en-US" w:eastAsia="zh-CN"/>
        </w:rPr>
        <w:t>35</w:t>
      </w:r>
    </w:p>
    <w:p w14:paraId="353B0679">
      <w:pPr>
        <w:tabs>
          <w:tab w:val="right" w:leader="dot" w:pos="8787"/>
        </w:tabs>
        <w:spacing w:line="360" w:lineRule="auto"/>
        <w:jc w:val="left"/>
        <w:rPr>
          <w:rFonts w:hint="default" w:eastAsia="宋体"/>
          <w:lang w:val="en-US" w:eastAsia="zh-CN"/>
        </w:rPr>
      </w:pPr>
      <w:r>
        <w:rPr>
          <w:rFonts w:ascii="宋体" w:hAnsi="宋体" w:eastAsia="宋体"/>
          <w:b/>
          <w:sz w:val="28"/>
        </w:rPr>
        <w:t>十一、风险评估与应对措施</w:t>
      </w:r>
      <w:r>
        <w:rPr>
          <w:rFonts w:ascii="宋体" w:hAnsi="宋体" w:eastAsia="宋体"/>
          <w:b/>
          <w:sz w:val="28"/>
        </w:rPr>
        <w:tab/>
      </w:r>
      <w:r>
        <w:rPr>
          <w:rFonts w:hint="eastAsia" w:ascii="宋体" w:hAnsi="宋体" w:eastAsia="宋体"/>
          <w:b/>
          <w:sz w:val="28"/>
          <w:lang w:val="en-US" w:eastAsia="zh-CN"/>
        </w:rPr>
        <w:t>36</w:t>
      </w:r>
    </w:p>
    <w:p w14:paraId="4B74747E">
      <w:pPr>
        <w:tabs>
          <w:tab w:val="right" w:leader="dot" w:pos="8787"/>
        </w:tabs>
        <w:spacing w:line="360" w:lineRule="auto"/>
        <w:jc w:val="left"/>
        <w:rPr>
          <w:rFonts w:hint="default" w:eastAsia="宋体"/>
          <w:lang w:val="en-US" w:eastAsia="zh-CN"/>
        </w:rPr>
      </w:pPr>
      <w:r>
        <w:rPr>
          <w:rFonts w:ascii="宋体" w:hAnsi="宋体" w:eastAsia="宋体"/>
          <w:b/>
          <w:sz w:val="28"/>
        </w:rPr>
        <w:t>十二、预期效益</w:t>
      </w:r>
      <w:r>
        <w:rPr>
          <w:rFonts w:ascii="宋体" w:hAnsi="宋体" w:eastAsia="宋体"/>
          <w:b/>
          <w:sz w:val="28"/>
        </w:rPr>
        <w:tab/>
      </w:r>
      <w:r>
        <w:rPr>
          <w:rFonts w:hint="eastAsia" w:ascii="宋体" w:hAnsi="宋体" w:eastAsia="宋体"/>
          <w:b/>
          <w:sz w:val="28"/>
          <w:lang w:val="en-US" w:eastAsia="zh-CN"/>
        </w:rPr>
        <w:t>38</w:t>
      </w:r>
    </w:p>
    <w:p w14:paraId="75106B7F">
      <w:pPr>
        <w:tabs>
          <w:tab w:val="right" w:leader="dot" w:pos="8787"/>
        </w:tabs>
        <w:spacing w:line="360" w:lineRule="auto"/>
        <w:ind w:left="420"/>
        <w:jc w:val="left"/>
        <w:rPr>
          <w:rFonts w:hint="default" w:eastAsia="宋体"/>
          <w:lang w:val="en-US" w:eastAsia="zh-CN"/>
        </w:rPr>
      </w:pPr>
      <w:r>
        <w:rPr>
          <w:rFonts w:ascii="宋体" w:hAnsi="宋体" w:eastAsia="宋体"/>
          <w:b w:val="0"/>
          <w:sz w:val="24"/>
        </w:rPr>
        <w:t>12.1社会效益</w:t>
      </w:r>
      <w:r>
        <w:rPr>
          <w:rFonts w:ascii="宋体" w:hAnsi="宋体" w:eastAsia="宋体"/>
          <w:b w:val="0"/>
          <w:sz w:val="24"/>
        </w:rPr>
        <w:tab/>
      </w:r>
      <w:r>
        <w:rPr>
          <w:rFonts w:hint="eastAsia" w:ascii="宋体" w:hAnsi="宋体" w:eastAsia="宋体"/>
          <w:b w:val="0"/>
          <w:sz w:val="24"/>
          <w:lang w:val="en-US" w:eastAsia="zh-CN"/>
        </w:rPr>
        <w:t>38</w:t>
      </w:r>
    </w:p>
    <w:p w14:paraId="08A4D86B">
      <w:pPr>
        <w:tabs>
          <w:tab w:val="right" w:leader="dot" w:pos="8787"/>
        </w:tabs>
        <w:spacing w:line="360" w:lineRule="auto"/>
        <w:ind w:left="420"/>
        <w:jc w:val="left"/>
        <w:rPr>
          <w:rFonts w:hint="default" w:eastAsia="宋体"/>
          <w:lang w:val="en-US" w:eastAsia="zh-CN"/>
        </w:rPr>
      </w:pPr>
      <w:r>
        <w:rPr>
          <w:rFonts w:ascii="宋体" w:hAnsi="宋体" w:eastAsia="宋体"/>
          <w:b w:val="0"/>
          <w:sz w:val="24"/>
        </w:rPr>
        <w:t>12.2教育效益</w:t>
      </w:r>
      <w:r>
        <w:rPr>
          <w:rFonts w:ascii="宋体" w:hAnsi="宋体" w:eastAsia="宋体"/>
          <w:b w:val="0"/>
          <w:sz w:val="24"/>
        </w:rPr>
        <w:tab/>
      </w:r>
      <w:r>
        <w:rPr>
          <w:rFonts w:hint="eastAsia" w:ascii="宋体" w:hAnsi="宋体" w:eastAsia="宋体"/>
          <w:b w:val="0"/>
          <w:sz w:val="24"/>
          <w:lang w:val="en-US" w:eastAsia="zh-CN"/>
        </w:rPr>
        <w:t>38</w:t>
      </w:r>
    </w:p>
    <w:p w14:paraId="529FB403">
      <w:pPr>
        <w:tabs>
          <w:tab w:val="right" w:leader="dot" w:pos="8787"/>
        </w:tabs>
        <w:spacing w:line="360" w:lineRule="auto"/>
        <w:ind w:left="420"/>
        <w:jc w:val="left"/>
        <w:rPr>
          <w:rFonts w:hint="default" w:eastAsia="宋体"/>
          <w:lang w:val="en-US" w:eastAsia="zh-CN"/>
        </w:rPr>
      </w:pPr>
      <w:r>
        <w:rPr>
          <w:rFonts w:ascii="宋体" w:hAnsi="宋体" w:eastAsia="宋体"/>
          <w:b w:val="0"/>
          <w:sz w:val="24"/>
        </w:rPr>
        <w:t>12.3市场效益</w:t>
      </w:r>
      <w:r>
        <w:rPr>
          <w:rFonts w:ascii="宋体" w:hAnsi="宋体" w:eastAsia="宋体"/>
          <w:b w:val="0"/>
          <w:sz w:val="24"/>
        </w:rPr>
        <w:tab/>
      </w:r>
      <w:r>
        <w:rPr>
          <w:rFonts w:hint="eastAsia" w:ascii="宋体" w:hAnsi="宋体" w:eastAsia="宋体"/>
          <w:b w:val="0"/>
          <w:sz w:val="24"/>
          <w:lang w:val="en-US" w:eastAsia="zh-CN"/>
        </w:rPr>
        <w:t>39</w:t>
      </w:r>
    </w:p>
    <w:p w14:paraId="0CA04BAD">
      <w:pPr>
        <w:tabs>
          <w:tab w:val="right" w:leader="dot" w:pos="8787"/>
        </w:tabs>
        <w:spacing w:line="360" w:lineRule="auto"/>
        <w:jc w:val="left"/>
        <w:rPr>
          <w:rFonts w:hint="default" w:eastAsia="宋体"/>
          <w:lang w:val="en-US" w:eastAsia="zh-CN"/>
        </w:rPr>
      </w:pPr>
      <w:r>
        <w:rPr>
          <w:rFonts w:ascii="宋体" w:hAnsi="宋体" w:eastAsia="宋体"/>
          <w:b/>
          <w:sz w:val="28"/>
        </w:rPr>
        <w:t>附录</w:t>
      </w:r>
      <w:r>
        <w:rPr>
          <w:rFonts w:ascii="宋体" w:hAnsi="宋体" w:eastAsia="宋体"/>
          <w:b/>
          <w:sz w:val="28"/>
        </w:rPr>
        <w:tab/>
      </w:r>
      <w:r>
        <w:rPr>
          <w:rFonts w:hint="eastAsia" w:ascii="宋体" w:hAnsi="宋体" w:eastAsia="宋体"/>
          <w:b/>
          <w:sz w:val="28"/>
          <w:lang w:val="en-US" w:eastAsia="zh-CN"/>
        </w:rPr>
        <w:t>39</w:t>
      </w:r>
    </w:p>
    <w:p w14:paraId="778FFA38">
      <w:pPr>
        <w:tabs>
          <w:tab w:val="right" w:leader="dot" w:pos="8787"/>
        </w:tabs>
        <w:spacing w:line="360" w:lineRule="auto"/>
        <w:ind w:left="420"/>
        <w:jc w:val="left"/>
        <w:rPr>
          <w:rFonts w:hint="eastAsia" w:eastAsia="宋体"/>
          <w:lang w:val="en-US" w:eastAsia="zh-CN"/>
        </w:rPr>
      </w:pPr>
      <w:r>
        <w:rPr>
          <w:rFonts w:ascii="宋体" w:hAnsi="宋体" w:eastAsia="宋体"/>
          <w:b w:val="0"/>
          <w:sz w:val="24"/>
        </w:rPr>
        <w:t>附录1拟覆盖非遗品类清单</w:t>
      </w:r>
      <w:r>
        <w:rPr>
          <w:rFonts w:ascii="宋体" w:hAnsi="宋体" w:eastAsia="宋体"/>
          <w:b w:val="0"/>
          <w:sz w:val="24"/>
        </w:rPr>
        <w:tab/>
      </w:r>
      <w:r>
        <w:rPr>
          <w:rFonts w:ascii="宋体" w:hAnsi="宋体" w:eastAsia="宋体"/>
          <w:b w:val="0"/>
          <w:sz w:val="24"/>
        </w:rPr>
        <w:t>4</w:t>
      </w:r>
      <w:r>
        <w:rPr>
          <w:rFonts w:hint="eastAsia" w:ascii="宋体" w:hAnsi="宋体" w:eastAsia="宋体"/>
          <w:b w:val="0"/>
          <w:sz w:val="24"/>
          <w:lang w:val="en-US" w:eastAsia="zh-CN"/>
        </w:rPr>
        <w:t>0</w:t>
      </w:r>
    </w:p>
    <w:p w14:paraId="3C27DCDF">
      <w:pPr>
        <w:tabs>
          <w:tab w:val="right" w:leader="dot" w:pos="8787"/>
        </w:tabs>
        <w:spacing w:line="360" w:lineRule="auto"/>
        <w:ind w:left="420"/>
        <w:jc w:val="left"/>
        <w:rPr>
          <w:rFonts w:hint="eastAsia" w:eastAsia="宋体"/>
          <w:lang w:val="en-US" w:eastAsia="zh-CN"/>
        </w:rPr>
      </w:pPr>
      <w:r>
        <w:rPr>
          <w:rFonts w:ascii="宋体" w:hAnsi="宋体" w:eastAsia="宋体"/>
          <w:b w:val="0"/>
          <w:sz w:val="24"/>
        </w:rPr>
        <w:t>附录2核心技术参数参考</w:t>
      </w:r>
      <w:r>
        <w:rPr>
          <w:rFonts w:ascii="宋体" w:hAnsi="宋体" w:eastAsia="宋体"/>
          <w:b w:val="0"/>
          <w:sz w:val="24"/>
        </w:rPr>
        <w:tab/>
      </w:r>
      <w:r>
        <w:rPr>
          <w:rFonts w:ascii="宋体" w:hAnsi="宋体" w:eastAsia="宋体"/>
          <w:b w:val="0"/>
          <w:sz w:val="24"/>
        </w:rPr>
        <w:t>4</w:t>
      </w:r>
      <w:r>
        <w:rPr>
          <w:rFonts w:hint="eastAsia" w:ascii="宋体" w:hAnsi="宋体" w:eastAsia="宋体"/>
          <w:b w:val="0"/>
          <w:sz w:val="24"/>
          <w:lang w:val="en-US" w:eastAsia="zh-CN"/>
        </w:rPr>
        <w:t>0</w:t>
      </w:r>
    </w:p>
    <w:p w14:paraId="29DB2F78">
      <w:pPr>
        <w:tabs>
          <w:tab w:val="right" w:leader="dot" w:pos="8787"/>
        </w:tabs>
        <w:spacing w:line="360" w:lineRule="auto"/>
        <w:ind w:left="420"/>
        <w:jc w:val="left"/>
        <w:rPr>
          <w:rFonts w:hint="eastAsia" w:eastAsia="宋体"/>
          <w:lang w:val="en-US" w:eastAsia="zh-CN"/>
        </w:rPr>
      </w:pPr>
      <w:r>
        <w:rPr>
          <w:rFonts w:ascii="宋体" w:hAnsi="宋体" w:eastAsia="宋体"/>
          <w:b w:val="0"/>
          <w:sz w:val="24"/>
        </w:rPr>
        <w:t>附录3拟合作非遗传承人（意向）</w:t>
      </w:r>
      <w:r>
        <w:rPr>
          <w:rFonts w:ascii="宋体" w:hAnsi="宋体" w:eastAsia="宋体"/>
          <w:b w:val="0"/>
          <w:sz w:val="24"/>
        </w:rPr>
        <w:tab/>
      </w:r>
      <w:r>
        <w:rPr>
          <w:rFonts w:ascii="宋体" w:hAnsi="宋体" w:eastAsia="宋体"/>
          <w:b w:val="0"/>
          <w:sz w:val="24"/>
        </w:rPr>
        <w:t>4</w:t>
      </w:r>
      <w:r>
        <w:rPr>
          <w:rFonts w:hint="eastAsia" w:ascii="宋体" w:hAnsi="宋体" w:eastAsia="宋体"/>
          <w:b w:val="0"/>
          <w:sz w:val="24"/>
          <w:lang w:val="en-US" w:eastAsia="zh-CN"/>
        </w:rPr>
        <w:t>0</w:t>
      </w:r>
    </w:p>
    <w:p w14:paraId="4AD759DD">
      <w:pPr>
        <w:keepNext w:val="0"/>
        <w:keepLines w:val="0"/>
        <w:widowControl/>
        <w:suppressLineNumbers w:val="0"/>
        <w:jc w:val="left"/>
        <w:rPr>
          <w:rFonts w:ascii="宋体" w:hAnsi="宋体" w:eastAsia="宋体" w:cs="宋体"/>
          <w:kern w:val="0"/>
          <w:sz w:val="24"/>
          <w:szCs w:val="24"/>
          <w:lang w:val="en-US" w:eastAsia="zh-CN" w:bidi="ar"/>
        </w:rPr>
        <w:sectPr>
          <w:footerReference r:id="rId7" w:type="default"/>
          <w:pgSz w:w="11906" w:h="16838"/>
          <w:pgMar w:top="1440" w:right="1800" w:bottom="1440" w:left="1800" w:header="851" w:footer="992" w:gutter="0"/>
          <w:pgNumType w:fmt="decimal"/>
          <w:cols w:space="425" w:num="1"/>
          <w:docGrid w:type="lines" w:linePitch="312" w:charSpace="0"/>
        </w:sectPr>
      </w:pPr>
    </w:p>
    <w:p w14:paraId="219979A4">
      <w:pPr>
        <w:keepNext w:val="0"/>
        <w:keepLines w:val="0"/>
        <w:widowControl/>
        <w:suppressLineNumbers w:val="0"/>
        <w:jc w:val="center"/>
        <w:rPr>
          <w:rFonts w:hint="eastAsia" w:ascii="黑体" w:hAnsi="黑体" w:eastAsia="黑体" w:cs="黑体"/>
          <w:b/>
          <w:bCs/>
          <w:kern w:val="0"/>
          <w:sz w:val="36"/>
          <w:szCs w:val="36"/>
          <w:lang w:val="en-US" w:eastAsia="zh-CN" w:bidi="ar"/>
        </w:rPr>
      </w:pPr>
      <w:r>
        <w:rPr>
          <w:rFonts w:hint="eastAsia" w:ascii="黑体" w:hAnsi="黑体" w:eastAsia="黑体" w:cs="黑体"/>
          <w:b/>
          <w:bCs/>
          <w:kern w:val="0"/>
          <w:sz w:val="36"/>
          <w:szCs w:val="36"/>
          <w:lang w:val="en-US" w:eastAsia="zh-CN" w:bidi="ar"/>
        </w:rPr>
        <w:t>非遗之手·触控传承——基于官瓷记忆数字化传承教学与算法记忆模型的非遗教学传承</w:t>
      </w:r>
    </w:p>
    <w:p w14:paraId="6B7BBE13">
      <w:pPr>
        <w:keepNext w:val="0"/>
        <w:keepLines w:val="0"/>
        <w:widowControl/>
        <w:suppressLineNumbers w:val="0"/>
        <w:jc w:val="center"/>
        <w:rPr>
          <w:rFonts w:hint="eastAsia" w:ascii="黑体" w:hAnsi="黑体" w:eastAsia="黑体" w:cs="黑体"/>
          <w:b/>
          <w:bCs/>
          <w:kern w:val="0"/>
          <w:sz w:val="36"/>
          <w:szCs w:val="36"/>
          <w:lang w:val="en-US" w:eastAsia="zh-CN" w:bidi="ar"/>
        </w:rPr>
      </w:pPr>
      <w:bookmarkStart w:id="0" w:name="_GoBack"/>
      <w:bookmarkEnd w:id="0"/>
      <w:r>
        <w:rPr>
          <w:rFonts w:hint="eastAsia" w:ascii="黑体" w:hAnsi="黑体" w:eastAsia="黑体" w:cs="黑体"/>
          <w:b/>
          <w:bCs/>
          <w:kern w:val="0"/>
          <w:sz w:val="36"/>
          <w:szCs w:val="36"/>
          <w:lang w:val="en-US" w:eastAsia="zh-CN" w:bidi="ar"/>
        </w:rPr>
        <w:t>项目计划书</w:t>
      </w:r>
    </w:p>
    <w:p w14:paraId="4A9AC27D">
      <w:pPr>
        <w:pStyle w:val="2"/>
        <w:keepNext w:val="0"/>
        <w:keepLines w:val="0"/>
        <w:widowControl/>
        <w:suppressLineNumbers w:val="0"/>
      </w:pPr>
      <w:r>
        <w:t>项目摘要</w:t>
      </w:r>
    </w:p>
    <w:p w14:paraId="49F9051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中华非物质文化遗产承载着世代匠人的智慧积淀，但大量手工技艺高度依赖传承人“口传心授”，技艺动作细节、手感力度、节奏韵律难以通过文字、照片完整留存，伴随传承人老龄化，诸多技艺面临传承断层风险。传统非遗教学模式下，一位传承人难以同时对多名学习者开展精细化动作纠错，缺少统一客观的技艺评判标准，极大限制非遗技艺规模化普及与活态发展。</w:t>
      </w:r>
    </w:p>
    <w:p w14:paraId="10FB2758">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本项目聚焦非遗活态传承与标准化教学现实痛点，以\</w:t>
      </w:r>
      <w:r>
        <w:rPr>
          <w:rStyle w:val="10"/>
          <w:rFonts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“非遗技艺数字化记忆、标准化建模、智能化教学”\</w:t>
      </w:r>
      <w:r>
        <w:rPr>
          <w:rStyle w:val="10"/>
          <w:rFonts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为核心目标，依托AI算法、深度学习、机器视觉、智能传感硬件技术，搭建面向非遗传承场景专属的算法记忆模型，打造一套服务非遗传承人、各类院校、公共文化场馆、研学机构的非遗教学传承创新整体解决方案。</w:t>
      </w:r>
    </w:p>
    <w:p w14:paraId="313C10AE">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核心研发非遗算法记忆模型，深度融合人体动作识别算法、自然语言语义解析算法与深度学习技术。通过专业设备采集非遗传承人的标准技艺动作、口传教学语料、完整技艺流程细节、工艺文化内涵等多维度核心数据，构建高精度非遗技艺记忆数据库与智能化教学模型，真正实现非遗技艺的数字化永久留存、工艺流程标准化拆解、课堂实操智能化教学指导。模型可完成学习者与传承人标准动作的精准比对、实操错误实时矫正反馈，同步输出技艺背后的文化内涵解读，</w:t>
      </w:r>
      <w:r>
        <w:rPr>
          <w:rStyle w:val="9"/>
          <w:rFonts w:ascii="宋体" w:hAnsi="宋体" w:eastAsia="宋体" w:cs="宋体"/>
          <w:b w:val="0"/>
          <w:kern w:val="0"/>
          <w:sz w:val="24"/>
          <w:szCs w:val="24"/>
          <w:lang w:val="en-US" w:eastAsia="zh-CN" w:bidi="ar"/>
        </w:rPr>
        <w:t>动作识别精度≥95%，语义响应延迟≤0.5s</w:t>
      </w:r>
      <w:r>
        <w:rPr>
          <w:rFonts w:ascii="宋体" w:hAnsi="宋体" w:eastAsia="宋体" w:cs="宋体"/>
          <w:b w:val="0"/>
          <w:kern w:val="0"/>
          <w:sz w:val="24"/>
          <w:szCs w:val="24"/>
          <w:lang w:val="en-US" w:eastAsia="zh-CN" w:bidi="ar"/>
        </w:rPr>
        <w:t>，能够广泛适配传统手工艺、戏曲身段、民俗技艺等多元非遗教学场景。</w:t>
      </w:r>
    </w:p>
    <w:p w14:paraId="3B4B1E5B">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在视觉采集链路层面，项目新增USB工业摄像头完整处理链路。摄像头模块选用GW1型号，具备480P/720P/1080P多档位分辨率输入、广角无畸变镜头、高帧率无拖影成像能力，专门采集学习者手部、手臂关键操作画面，提取动作关键帧数据；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主控芯片完成输入图像降采样、抽帧、本地缓存与轻量特征筛选工作，结合体感手套传感器采集的数据完成本地初步判断，随后将结构化动作数据、压缩关键帧摘要、本地初筛结论上传云端，开展更深层次识别分析并生成个性化学习报告。</w:t>
      </w:r>
    </w:p>
    <w:p w14:paraId="7E867D00">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在硬件交互层面，项目配套研发动作捕捉数据采集模块与BLE低功耗蓝牙通信模块。动作捕捉硬件实时采集学习者手部姿态、关节弯曲角度、运动轨迹、动作节奏、发力状态等多维数据，交由主控芯片完成滤波、降噪、数据规整基础处理，通过BLE低功耗蓝牙无线传输至手机小程序端。学习者、授课教师可在小程序端实时查看训练数据、留存练习记录，支持后续复盘分析。无线通信方案摒弃传统有线束缚，彻底消除线材对双手实操动作的干涉，既满足现场动作训练、实时教学反馈的使用需求，也为算法模型持续迭代源源不断输入真实场景训练数据。</w:t>
      </w:r>
    </w:p>
    <w:p w14:paraId="7BA4144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项目团队采用\</w:t>
      </w:r>
      <w:r>
        <w:rPr>
          <w:rStyle w:val="10"/>
          <w:rFonts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“分散开发+集中联调”\</w:t>
      </w:r>
      <w:r>
        <w:rPr>
          <w:rStyle w:val="10"/>
          <w:rFonts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高效研发模式，组建覆盖算法研发、非遗数据采集、教学课程适配、软硬件平台开发多方向的复合型专业团队，搭建起“模型核心+教学载体+服务支撑”完整产品服务矩阵，针对性破解非遗传承领域“口传心授难留存、技艺标准难统一、教学指导难精准”三大核心困境，推动非遗文化走向专业化传承、标准化教学、年轻化传播。</w:t>
      </w:r>
    </w:p>
    <w:p w14:paraId="4F349A3E">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现诚挚邀请非遗保护、人工智能算法、教育教学领域专家为本项目提供专业咨询与技术指导；同时面向政府文化教育主管部门、非遗特色院校、公共文化场馆、科技企业寻求政策引导、专项资金、技术赋能、场地试点等多维度支持，多方协同促进项目落地推广，助力中华优秀非遗文化实现高质量活态传承，提升国民文化自信。</w:t>
      </w:r>
    </w:p>
    <w:p w14:paraId="42CB9E7B">
      <w:pPr>
        <w:pStyle w:val="2"/>
        <w:keepNext w:val="0"/>
        <w:keepLines w:val="0"/>
        <w:widowControl/>
        <w:suppressLineNumbers w:val="0"/>
      </w:pPr>
      <w:r>
        <w:t>一、项目背景与必要性</w:t>
      </w:r>
    </w:p>
    <w:p w14:paraId="6A864F64">
      <w:pPr>
        <w:pStyle w:val="3"/>
        <w:keepNext w:val="0"/>
        <w:keepLines w:val="0"/>
        <w:widowControl/>
        <w:suppressLineNumbers w:val="0"/>
      </w:pPr>
      <w:r>
        <w:t>1.1非遗传承的核心痛点亟待破解</w:t>
      </w:r>
    </w:p>
    <w:p w14:paraId="593434E0">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非物质文化遗产是中华优秀传统文化的重要载体，是各族人民世代相传的精神财富，涵盖手工技艺、传统戏曲、民俗礼仪等丰富门类。但当前非遗技艺的传承教学模式仍存在三大难以回避的现实困境。</w:t>
      </w:r>
    </w:p>
    <w:p w14:paraId="10E8B108">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第一，技艺留存碎片化，失传风险突出。绝大多数传统技艺依靠传承人“口传心授、手把手示范”完成代际传递，技艺的手部发力大小、动作快慢、细微角度变化等精髓信息，很难依靠文字文档、静态图片完整记录。随着老一辈非遗传承人年龄增长、精力衰退，部分独门技艺仅保存在匠人的个人经验之中，一旦缺少数字化手段及时固化，就会面临技艺流失、后继无人的严峻风险。</w:t>
      </w:r>
    </w:p>
    <w:p w14:paraId="21B57B8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第二，教学标准缺失，难以规模化推广。不同传承人在长年实践中会形成个人技艺习惯，同一门非遗技艺，不同师傅传授的动作细节、处理手法存在差异，行业缺少统一可量化的教学标准与客观评判依据。传统模式适合小规模师徒制，却无法支撑院校课堂、社会研学的大规模标准化教学，限制非遗技艺走进大众教育场景。</w:t>
      </w:r>
    </w:p>
    <w:p w14:paraId="19B457D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第三，教学指导精准度不足，学习门槛高。线下教学场景中，传承人精力有限，同一时间只能关注少量学员，很难捕捉每一位学习者手部细微动作偏差；只能依靠肉眼观察、成品好坏评判学习效果，无法对动作偏差进行量化描述。学习者只能够依靠反复模仿感悟，学习周期漫长，新人成才率偏低，教学效率与教学效果存在明显天花板。</w:t>
      </w:r>
    </w:p>
    <w:p w14:paraId="27FA8B49">
      <w:pPr>
        <w:pStyle w:val="3"/>
        <w:keepNext w:val="0"/>
        <w:keepLines w:val="0"/>
        <w:widowControl/>
        <w:suppressLineNumbers w:val="0"/>
      </w:pPr>
      <w:r>
        <w:t>1.2时代发展的必然趋势与政策导向</w:t>
      </w:r>
    </w:p>
    <w:p w14:paraId="2BCB6D8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人工智能、深度学习、机器视觉、嵌入式智能硬件技术快速迭代，为非遗保护传承开辟数字化全新路径。“科技+非遗+教育”跨界深度融合，已经成为非遗活态传承的主流发展趋势。国家相继印发《关于进一步加强非物质文化遗产保护工作的意见》《“十四五”文化发展规划》等顶层政策文件，明确提出要大力推动非遗活态传承，充分利用数字智能技术，实现非遗技艺数字化保存，创新非遗教学传播形式。政策层面为本项目的研发、试点落地提供优良的政策环境，也释放出巨大的市场机遇。</w:t>
      </w:r>
    </w:p>
    <w:p w14:paraId="7A514B96">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各地文旅、教育部门持续推进非遗进校园、非遗进社区工作，中小学美育、高校通识教育对非遗实操教学资源需求持续上涨。但市场上现存产品大多集中于非遗数字博物馆、线上图文展览，真正面向实操训练、动作纠错、标准化教学的数字化产品供给缺口较大，本项目恰好可以填补这一市场空白。</w:t>
      </w:r>
    </w:p>
    <w:p w14:paraId="2D607B03">
      <w:pPr>
        <w:pStyle w:val="3"/>
        <w:keepNext w:val="0"/>
        <w:keepLines w:val="0"/>
        <w:widowControl/>
        <w:suppressLineNumbers w:val="0"/>
      </w:pPr>
      <w:r>
        <w:t>1.3项目实施的核心意义</w:t>
      </w:r>
    </w:p>
    <w:p w14:paraId="0DDD6608">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文化价值</w:t>
      </w:r>
      <w:r>
        <w:rPr>
          <w:rFonts w:ascii="宋体" w:hAnsi="宋体" w:eastAsia="宋体" w:cs="宋体"/>
          <w:b w:val="0"/>
          <w:kern w:val="0"/>
          <w:sz w:val="24"/>
          <w:szCs w:val="24"/>
          <w:lang w:val="en-US" w:eastAsia="zh-CN" w:bidi="ar"/>
        </w:rPr>
        <w:t>：依托算法记忆模型完成非遗技艺动作、工艺经验、文化内涵的高精度数字化留存，把匠人大脑中只可意会的实操经验转化为可存储、可复现的数字资源，缓解传承人老龄化带来的技艺失传危机，助力中华优秀传统文化活态延续，增强大众文化认同感与文化自信。</w:t>
      </w:r>
    </w:p>
    <w:p w14:paraId="3629B80C">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教育价值</w:t>
      </w:r>
      <w:r>
        <w:rPr>
          <w:rFonts w:ascii="宋体" w:hAnsi="宋体" w:eastAsia="宋体" w:cs="宋体"/>
          <w:b w:val="0"/>
          <w:kern w:val="0"/>
          <w:sz w:val="24"/>
          <w:szCs w:val="24"/>
          <w:lang w:val="en-US" w:eastAsia="zh-CN" w:bidi="ar"/>
        </w:rPr>
        <w:t>：搭建标准化、智能化非遗实操教学新模式，建立量化可参考的技艺评判体系，降低非遗技艺的学习门槛。赋能中小学美育、高校非遗通识课程、社会研学活动，推动非遗教学广泛走进院校、社区，助力非遗技艺普惠式规模化普及。</w:t>
      </w:r>
    </w:p>
    <w:p w14:paraId="1C2FBC30">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行业价值</w:t>
      </w:r>
      <w:r>
        <w:rPr>
          <w:rFonts w:ascii="宋体" w:hAnsi="宋体" w:eastAsia="宋体" w:cs="宋体"/>
          <w:b w:val="0"/>
          <w:kern w:val="0"/>
          <w:sz w:val="24"/>
          <w:szCs w:val="24"/>
          <w:lang w:val="en-US" w:eastAsia="zh-CN" w:bidi="ar"/>
        </w:rPr>
        <w:t>：打造国内“算法记忆+非遗实操教学”创新示范样本，形成一套可复制、可迁移、可推广的标准化教学解决方案。为整个非遗传承行业提供数字化转型新思路，推动非遗保护行业向着规范化、数字化方向转型升级。</w:t>
      </w:r>
    </w:p>
    <w:p w14:paraId="4B815956">
      <w:pPr>
        <w:pStyle w:val="2"/>
        <w:keepNext w:val="0"/>
        <w:keepLines w:val="0"/>
        <w:widowControl/>
        <w:suppressLineNumbers w:val="0"/>
      </w:pPr>
      <w:r>
        <w:t>二、项目核心定位与总体目标</w:t>
      </w:r>
    </w:p>
    <w:p w14:paraId="65B5FE17">
      <w:pPr>
        <w:pStyle w:val="3"/>
        <w:keepNext w:val="0"/>
        <w:keepLines w:val="0"/>
        <w:widowControl/>
        <w:suppressLineNumbers w:val="0"/>
      </w:pPr>
      <w:r>
        <w:t>2.1核心定位</w:t>
      </w:r>
    </w:p>
    <w:p w14:paraId="0449267C">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非遗技艺数字化记忆标杆</w:t>
      </w:r>
      <w:r>
        <w:rPr>
          <w:rFonts w:ascii="宋体" w:hAnsi="宋体" w:eastAsia="宋体" w:cs="宋体"/>
          <w:b w:val="0"/>
          <w:kern w:val="0"/>
          <w:sz w:val="24"/>
          <w:szCs w:val="24"/>
          <w:lang w:val="en-US" w:eastAsia="zh-CN" w:bidi="ar"/>
        </w:rPr>
        <w:t>：以AI算法技术为底座，搭建高精度非遗算法记忆模型，实现非遗技艺动作、工艺流程、文化内涵多维度精准数字化留存，建设可不断扩充迭代的非遗技艺数字记忆库。</w:t>
      </w:r>
    </w:p>
    <w:p w14:paraId="2BBBE465">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非遗标准化教学创新载体</w:t>
      </w:r>
      <w:r>
        <w:rPr>
          <w:rFonts w:ascii="宋体" w:hAnsi="宋体" w:eastAsia="宋体" w:cs="宋体"/>
          <w:b w:val="0"/>
          <w:kern w:val="0"/>
          <w:sz w:val="24"/>
          <w:szCs w:val="24"/>
          <w:lang w:val="en-US" w:eastAsia="zh-CN" w:bidi="ar"/>
        </w:rPr>
        <w:t>：以算法记忆模型作为核心引擎，构建完整标准化非遗教学体系，覆盖技艺拆解示范、实时精准动作指导、客观考核评价全流程，为各类教学场景提供一体化教学赋能。</w:t>
      </w:r>
    </w:p>
    <w:p w14:paraId="5464DEDF">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“算法+非遗+教育”融合示范</w:t>
      </w:r>
      <w:r>
        <w:rPr>
          <w:rFonts w:ascii="宋体" w:hAnsi="宋体" w:eastAsia="宋体" w:cs="宋体"/>
          <w:b w:val="0"/>
          <w:kern w:val="0"/>
          <w:sz w:val="24"/>
          <w:szCs w:val="24"/>
          <w:lang w:val="en-US" w:eastAsia="zh-CN" w:bidi="ar"/>
        </w:rPr>
        <w:t>：联动非遗传承人、大中小院校、公共文化场馆、研学机构，打造集技艺数字记忆、实操教学传承、大众文化传播于一体的产业生态，成为国内非遗教学数字化创新标杆示范项目。</w:t>
      </w:r>
    </w:p>
    <w:p w14:paraId="04C3683E">
      <w:pPr>
        <w:pStyle w:val="3"/>
        <w:keepNext w:val="0"/>
        <w:keepLines w:val="0"/>
        <w:widowControl/>
        <w:suppressLineNumbers w:val="0"/>
      </w:pPr>
      <w:r>
        <w:t>2.2总体目标</w:t>
      </w:r>
    </w:p>
    <w:p w14:paraId="05307149">
      <w:pPr>
        <w:pStyle w:val="4"/>
        <w:keepNext w:val="0"/>
        <w:keepLines w:val="0"/>
        <w:widowControl/>
        <w:suppressLineNumbers w:val="0"/>
      </w:pPr>
      <w:r>
        <w:t>2.2.1短期目标（1年内）</w:t>
      </w:r>
    </w:p>
    <w:p w14:paraId="17591A5E">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完成非遗算法记忆模型V1.0版本研发，搭建完整基础算法架构，打通数据采集、模型训练、动作比对、教学反馈完整链路，实现动作识别、技艺记忆、基础教学矫正指导核心功能，保障动作识别精度≥95%。</w:t>
      </w:r>
    </w:p>
    <w:p w14:paraId="33A3A30A">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落地对接3</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5项河南本地代表性非遗品类，例如剪纸、刺绣、朱仙镇木板年画、开封官瓷等，完成非遗传承人标准技艺动作、口述教学语料采集整理，搭建初始版本非遗技艺记忆数据库。</w:t>
      </w:r>
    </w:p>
    <w:p w14:paraId="3F38DDCA">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完成与5</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10家非遗院校、公共文化场馆、研学基地的试点合作，落地首批非遗数字化教学试点场景，完成模型多场景教学适配测试；积累核心注册用户1000人以上，收集大量真实教学反馈，完成模型第一轮迭代优化。</w:t>
      </w:r>
    </w:p>
    <w:p w14:paraId="36EDCBB7">
      <w:pPr>
        <w:pStyle w:val="4"/>
        <w:keepNext w:val="0"/>
        <w:keepLines w:val="0"/>
        <w:widowControl/>
        <w:suppressLineNumbers w:val="0"/>
      </w:pPr>
      <w:r>
        <w:t>2.2.2中期目标（2</w:t>
      </w:r>
      <w:r>
        <w:noBreakHyphen/>
      </w:r>
      <w:r>
        <w:t>3年）</w:t>
      </w:r>
    </w:p>
    <w:p w14:paraId="211EF80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将算法记忆模型迭代升级至V2.0版本，进一步优化动作识别精度，深化语义解析能力，新增技艺标准化考核评价、学习者画像、个性化教学路径推荐功能，项目覆盖非遗品类扩充至20项以上。</w:t>
      </w:r>
    </w:p>
    <w:p w14:paraId="1CD3B7C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扩大线下试点覆盖范围，线下教学终端覆盖省内主要城市非遗院校、文化馆、博物馆；线上教学小程序、平台累计用户突破10万人。</w:t>
      </w:r>
    </w:p>
    <w:p w14:paraId="391DC0FD">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输出成套标准化非遗算法记忆教学课程体系，项目成果落地100所以上中小学、非遗培训机构课堂；打磨成熟可落地的教学服务模式，搭建稳定可持续的盈利体系，成为河南省内“算法+非遗教学”代表性标杆项目。</w:t>
      </w:r>
    </w:p>
    <w:p w14:paraId="4091FBF1">
      <w:pPr>
        <w:pStyle w:val="4"/>
        <w:keepNext w:val="0"/>
        <w:keepLines w:val="0"/>
        <w:widowControl/>
        <w:suppressLineNumbers w:val="0"/>
      </w:pPr>
      <w:r>
        <w:t>2.2.3长期目标（3年以上）</w:t>
      </w:r>
    </w:p>
    <w:p w14:paraId="7AD2FEE6">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将算法记忆模型迭代至V3.0版本，实现技艺记忆高度精准化、教学指导高度个性化、文化解读深度化，能够灵活适配手工艺、戏曲、民俗等各类非遗品类的教学需求。</w:t>
      </w:r>
    </w:p>
    <w:p w14:paraId="6DF813E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将项目成熟模式向全国范围复制推广，落地合作院校、文化场馆数量突破1000家，成长为国内非遗教学传承数字化领域领军项目。</w:t>
      </w:r>
    </w:p>
    <w:p w14:paraId="2261C35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构建集技艺数字记忆、实操教学传承、大众文化传播、青年传承人培育于一体的完整非遗数字教学生态；联合行业机构、高校牵头探索制定“算法记忆+非遗教学”相关行业标准，引领行业规范化发展。</w:t>
      </w:r>
    </w:p>
    <w:p w14:paraId="2E1D63FC">
      <w:pPr>
        <w:pStyle w:val="2"/>
        <w:keepNext w:val="0"/>
        <w:keepLines w:val="0"/>
        <w:widowControl/>
        <w:suppressLineNumbers w:val="0"/>
      </w:pPr>
      <w:r>
        <w:t>第三章实地调研走访</w:t>
      </w:r>
    </w:p>
    <w:p w14:paraId="1396589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中华传统陶瓷技艺沉淀千百年历史文化底蕴，开封官瓷作为中原极具代表性的非遗门类，在当代传承推广过程中遭遇多重现实阻碍。传统师徒口传心授模式高度依赖匠人个人实操经验，修坯、施釉等工序的手部动作、力度手感，很难形成标准化书面资料保存，老一辈匠人的宝贵工艺经验存在随时间流逝逐步流失的风险。</w:t>
      </w:r>
    </w:p>
    <w:p w14:paraId="60873EB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与此同时面向青年群体的陶瓷美育普及工作短板显著。传统技艺资源与校园美育课堂衔接不够紧密；实操教学受到场地空间、窑炉设备、专业匠人师资多重限制，很难开展大规模普惠教学；现有美育内容大多局限于作品观赏、历史理论科普，缺少可以还原复刻匠人实操手法的数字化教学工具，青年学习者很难沉浸式体验完整制瓷实操流程。</w:t>
      </w:r>
    </w:p>
    <w:p w14:paraId="72DADE7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为为本项目非遗官瓷数字化教学系统方案设计获取真实可信一手调研依据，项目团队采用双向实地调研思路，分别从非遗产业一线工坊、校园美育实践两大场景开展实地走访调研。一方面深入非遗工坊生产一线，完整观摩官瓷全套制作工序，和非遗从业者面对面深度访谈，挖掘技艺传承现存痛点难点；另一方面走访学校陶瓷博物馆暨美育基地，调研陶瓷美育现有开展模式、硬件条件、课程落地现状，梳理校园陶瓷美育现存短板。</w:t>
      </w:r>
    </w:p>
    <w:p w14:paraId="3D1D2BD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兼顾非遗技艺保护的现实诉求与青年美育教学的实际需求，把调研发现的现实痛点转化为本项目功能设计出发点，保障数字化教学系统贴合真实落地场景，既服务非遗技艺活态留存，又适配校园美育普及教学实际需要。</w:t>
      </w:r>
    </w:p>
    <w:p w14:paraId="1EEB85DA">
      <w:pPr>
        <w:pStyle w:val="3"/>
        <w:keepNext w:val="0"/>
        <w:keepLines w:val="0"/>
        <w:widowControl/>
        <w:suppressLineNumbers w:val="0"/>
      </w:pPr>
      <w:r>
        <w:t>3.1开封市宋煌官瓷研发中心（河南省开封市龙亭区卜里寨中心街）</w:t>
      </w:r>
    </w:p>
    <w:p w14:paraId="477E53FC">
      <w:pPr>
        <w:keepNext w:val="0"/>
        <w:keepLines w:val="0"/>
        <w:widowControl/>
        <w:suppressLineNumbers w:val="0"/>
        <w:spacing w:line="360" w:lineRule="auto"/>
        <w:ind w:firstLine="48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为夯实项目现实基础，避免数字化方案脱离非遗真实生产传承场景，项目团队前往开封市宋煌官瓷研发中心开展实地调研走访。本次调研坚持问题导向，以实地观摩完整工艺流程、访谈非遗匠人、收集一线传承人的真实诉求为核心目标，走访生产车间、实操教学区、作品展厅全业务场景，力求本项目数字化方案真正解决非遗传承现实问题，而不是纸上谈兵的理论构想。</w:t>
      </w:r>
    </w:p>
    <w:p w14:paraId="66A53505">
      <w:pPr>
        <w:spacing w:line="360" w:lineRule="auto"/>
        <w:ind w:firstLine="480"/>
        <w:jc w:val="left"/>
        <w:rPr>
          <w:rFonts w:hint="eastAsia" w:eastAsia="宋体"/>
          <w:lang w:eastAsia="zh-CN"/>
        </w:rPr>
      </w:pPr>
      <w:r>
        <w:rPr>
          <w:rFonts w:hint="eastAsia" w:ascii="宋体" w:hAnsi="宋体" w:eastAsia="宋体"/>
          <w:b w:val="0"/>
          <w:sz w:val="24"/>
          <w:lang w:eastAsia="zh-CN"/>
        </w:rPr>
        <w:drawing>
          <wp:inline distT="0" distB="0" distL="114300" distR="114300">
            <wp:extent cx="2403475" cy="1352550"/>
            <wp:effectExtent l="0" t="0" r="4445" b="3810"/>
            <wp:docPr id="1" name="图片 1" descr="5474cfec7fcb6692950c2ea09bc6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474cfec7fcb6692950c2ea09bc66468"/>
                    <pic:cNvPicPr>
                      <a:picLocks noChangeAspect="1"/>
                    </pic:cNvPicPr>
                  </pic:nvPicPr>
                  <pic:blipFill>
                    <a:blip r:embed="rId10"/>
                    <a:stretch>
                      <a:fillRect/>
                    </a:stretch>
                  </pic:blipFill>
                  <pic:spPr>
                    <a:xfrm>
                      <a:off x="0" y="0"/>
                      <a:ext cx="2403475" cy="1352550"/>
                    </a:xfrm>
                    <a:prstGeom prst="rect">
                      <a:avLst/>
                    </a:prstGeom>
                  </pic:spPr>
                </pic:pic>
              </a:graphicData>
            </a:graphic>
          </wp:inline>
        </w:drawing>
      </w:r>
    </w:p>
    <w:p w14:paraId="4EE0ED03">
      <w:pPr>
        <w:spacing w:line="360" w:lineRule="auto"/>
        <w:ind w:firstLine="480"/>
        <w:jc w:val="left"/>
        <w:rPr>
          <w:rFonts w:ascii="宋体" w:hAnsi="宋体" w:eastAsia="宋体" w:cs="宋体"/>
          <w:kern w:val="0"/>
          <w:sz w:val="24"/>
          <w:szCs w:val="24"/>
          <w:lang w:val="en-US" w:eastAsia="zh-CN" w:bidi="ar"/>
        </w:rPr>
      </w:pPr>
      <w:r>
        <w:rPr>
          <w:rFonts w:hint="eastAsia" w:ascii="宋体" w:hAnsi="宋体" w:eastAsia="宋体"/>
          <w:b w:val="0"/>
          <w:sz w:val="24"/>
          <w:lang w:val="en-US" w:eastAsia="zh-CN"/>
        </w:rPr>
        <w:t>图3-1 考察图片</w:t>
      </w:r>
    </w:p>
    <w:p w14:paraId="2AF60B8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团队依次参观研发中心生产工坊、烧制窑炉、工艺实操教学区以及作品荣誉展厅，完整观摩宋煌官瓷从原料筛选处理、手工塑形、精细修坯、均匀上釉、自然阴干再到高温烧制出窑整套制作流程。与工业化流水线陶瓷生产不同，官瓷每一道工序高度依靠匠人长年积累的手工实操经验。修坯环节刀具行进速度、手部施加力度轻重，施釉工序釉料涂刷厚薄均匀程度，全部依靠匠人的手感把控。大量工艺细节只可意会，很难依靠书面文字精准描述。</w:t>
      </w:r>
    </w:p>
    <w:p w14:paraId="64B6B011">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团队现场观察匠人实操后发现，官瓷技艺核心精髓蕴藏在手部、手臂细微动态动作当中。静态照片、文字笔记只能够记录最终成品，无法完整还原整套工艺动态操作细节，这也是传统非遗保护工作长期面临的一大难题。</w:t>
      </w:r>
    </w:p>
    <w:p w14:paraId="105C0FA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团队与研发中心非遗匠人、一线教学人员开展面对面深度交流，充分了解官瓷延续至今的师徒口传心授模式。时至今日官瓷技艺传授依旧沿袭传统师徒制，依靠匠人现场示范、学徒近距离观摩模仿开展教学，行业缺少成熟标准化实操教材，也没有数字化辅助教学工具。实际带教过程中，匠人可以评判成品好坏，但是很难对学员动作偏差给出量化描述；学徒只能肉眼观察模仿，很难及时发现自身手法距离标准技艺的细微差距。直接造成非遗学徒学习周期漫长，上手门槛高，新人成才率有限。</w:t>
      </w:r>
    </w:p>
    <w:p w14:paraId="5B1CF7EF">
      <w:pPr>
        <w:keepNext w:val="0"/>
        <w:keepLines w:val="0"/>
        <w:widowControl/>
        <w:suppressLineNumbers w:val="0"/>
        <w:spacing w:line="360" w:lineRule="auto"/>
        <w:ind w:firstLine="48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同时传承人反馈，官瓷技艺传承队伍整体规模较小，资深匠人数量稀缺。老一辈匠人掌握大量独家工艺经验，但个人精力有限，可以收徒授课人数十分有限。开展面向社会大众的非遗研学科普，仅依靠少数匠人人力，无法实现大范围技艺普及推广。</w:t>
      </w:r>
    </w:p>
    <w:p w14:paraId="56A3FE3F">
      <w:pPr>
        <w:spacing w:line="360" w:lineRule="auto"/>
        <w:ind w:firstLine="480"/>
        <w:jc w:val="left"/>
        <w:rPr>
          <w:rFonts w:hint="eastAsia" w:eastAsia="宋体"/>
          <w:lang w:eastAsia="zh-CN"/>
        </w:rPr>
      </w:pPr>
      <w:r>
        <w:rPr>
          <w:rFonts w:hint="eastAsia" w:ascii="宋体" w:hAnsi="宋体" w:eastAsia="宋体"/>
          <w:b w:val="0"/>
          <w:sz w:val="24"/>
          <w:lang w:eastAsia="zh-CN"/>
        </w:rPr>
        <w:drawing>
          <wp:inline distT="0" distB="0" distL="114300" distR="114300">
            <wp:extent cx="2404745" cy="1353820"/>
            <wp:effectExtent l="0" t="0" r="3175" b="2540"/>
            <wp:docPr id="2" name="图片 2" descr="9f68b28d505fe5f3d2c2b6072552ed24"/>
            <wp:cNvGraphicFramePr/>
            <a:graphic xmlns:a="http://schemas.openxmlformats.org/drawingml/2006/main">
              <a:graphicData uri="http://schemas.openxmlformats.org/drawingml/2006/picture">
                <pic:pic xmlns:pic="http://schemas.openxmlformats.org/drawingml/2006/picture">
                  <pic:nvPicPr>
                    <pic:cNvPr id="2" name="图片 2" descr="9f68b28d505fe5f3d2c2b6072552ed24"/>
                    <pic:cNvPicPr/>
                  </pic:nvPicPr>
                  <pic:blipFill>
                    <a:blip r:embed="rId11"/>
                    <a:stretch>
                      <a:fillRect/>
                    </a:stretch>
                  </pic:blipFill>
                  <pic:spPr>
                    <a:xfrm>
                      <a:off x="0" y="0"/>
                      <a:ext cx="2404745" cy="1353820"/>
                    </a:xfrm>
                    <a:prstGeom prst="rect">
                      <a:avLst/>
                    </a:prstGeom>
                  </pic:spPr>
                </pic:pic>
              </a:graphicData>
            </a:graphic>
          </wp:inline>
        </w:drawing>
      </w:r>
    </w:p>
    <w:p w14:paraId="172F489E">
      <w:pPr>
        <w:spacing w:line="360" w:lineRule="auto"/>
        <w:ind w:firstLine="480"/>
        <w:jc w:val="left"/>
        <w:rPr>
          <w:rFonts w:ascii="宋体" w:hAnsi="宋体" w:eastAsia="宋体" w:cs="宋体"/>
          <w:kern w:val="0"/>
          <w:sz w:val="24"/>
          <w:szCs w:val="24"/>
          <w:lang w:val="en-US" w:eastAsia="zh-CN" w:bidi="ar"/>
        </w:rPr>
      </w:pPr>
      <w:r>
        <w:rPr>
          <w:rFonts w:hint="eastAsia" w:ascii="宋体" w:hAnsi="宋体" w:eastAsia="宋体"/>
          <w:b w:val="0"/>
          <w:sz w:val="24"/>
          <w:lang w:val="en-US" w:eastAsia="zh-CN"/>
        </w:rPr>
        <w:t>图3-2 官瓷生产工坊</w:t>
      </w:r>
      <w:r>
        <w:rPr>
          <w:rFonts w:hint="eastAsia" w:ascii="宋体" w:hAnsi="宋体" w:eastAsia="宋体" w:cs="宋体"/>
          <w:b w:val="0"/>
          <w:kern w:val="0"/>
          <w:sz w:val="24"/>
          <w:szCs w:val="24"/>
          <w:lang w:val="en-US" w:eastAsia="zh-CN" w:bidi="ar"/>
        </w:rPr>
        <w:t>】</w:t>
      </w:r>
    </w:p>
    <w:p w14:paraId="3BCFCCA1">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经过本次实地走访，团队梳理官瓷非遗传承多重现实难题：第一，核心工艺动态留存困难，大量关键技艺依附老匠人实操经验，动态手法动作缺少完善数字化保存手段，伴随老一辈匠人年龄增长，部分独门工艺存在技艺流失潜在风险。第二，传统师徒教学模式存在明显局限，单一匠人带教人数受限，缺少客观辅助纠错手段，教学效率有限，不利于技艺大范围传播推广。第三，适配实操教学的数字化资源严重匮乏，现有相关资料大多集中在历史介绍、成品赏析层面，缺少针对制瓷动手环节的辅助教学方案，难以适配社会研学、校园普及现实需要，制约官瓷非遗面向青年群体传播推广。</w:t>
      </w:r>
    </w:p>
    <w:p w14:paraId="3DC5C04C">
      <w:pPr>
        <w:keepNext w:val="0"/>
        <w:keepLines w:val="0"/>
        <w:widowControl/>
        <w:suppressLineNumbers w:val="0"/>
        <w:spacing w:line="360" w:lineRule="auto"/>
        <w:ind w:firstLine="48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调研过程中团队完整记录工艺现场情况，采集实拍素材，认真倾听传承人的现实诉求，充分摸清非遗一线现实困境。本次调研获取一手资料为本项目非遗官瓷数字化教学系统的功能设计、场景定位打下扎实现实依据，保障系统功能紧紧围绕传承人真实痛点展开，避免项目方案脱离实际应用场景。调研成果支撑后续工艺动作采集、算法模型调试、系统功能开发、项目落地试点等各项工作，保障项目成果落地之后，切实为宋煌官瓷非遗保存、教学、传播贡献力量。</w:t>
      </w:r>
    </w:p>
    <w:p w14:paraId="13564B07">
      <w:pPr>
        <w:spacing w:line="360" w:lineRule="auto"/>
        <w:ind w:firstLine="480"/>
        <w:jc w:val="left"/>
        <w:rPr>
          <w:rFonts w:hint="eastAsia" w:eastAsia="宋体"/>
          <w:lang w:eastAsia="zh-CN"/>
        </w:rPr>
      </w:pPr>
      <w:r>
        <w:rPr>
          <w:rFonts w:hint="eastAsia" w:ascii="宋体" w:hAnsi="宋体" w:eastAsia="宋体"/>
          <w:b w:val="0"/>
          <w:sz w:val="24"/>
          <w:lang w:eastAsia="zh-CN"/>
        </w:rPr>
        <w:drawing>
          <wp:inline distT="0" distB="0" distL="114300" distR="114300">
            <wp:extent cx="2404745" cy="1353820"/>
            <wp:effectExtent l="0" t="0" r="3175" b="2540"/>
            <wp:docPr id="3" name="图片 3" descr="0ce54632a1b35014eaeaac5bcc6bcc00"/>
            <wp:cNvGraphicFramePr/>
            <a:graphic xmlns:a="http://schemas.openxmlformats.org/drawingml/2006/main">
              <a:graphicData uri="http://schemas.openxmlformats.org/drawingml/2006/picture">
                <pic:pic xmlns:pic="http://schemas.openxmlformats.org/drawingml/2006/picture">
                  <pic:nvPicPr>
                    <pic:cNvPr id="3" name="图片 3" descr="0ce54632a1b35014eaeaac5bcc6bcc00"/>
                    <pic:cNvPicPr/>
                  </pic:nvPicPr>
                  <pic:blipFill>
                    <a:blip r:embed="rId12"/>
                    <a:stretch>
                      <a:fillRect/>
                    </a:stretch>
                  </pic:blipFill>
                  <pic:spPr>
                    <a:xfrm>
                      <a:off x="0" y="0"/>
                      <a:ext cx="2404745" cy="1353820"/>
                    </a:xfrm>
                    <a:prstGeom prst="rect">
                      <a:avLst/>
                    </a:prstGeom>
                  </pic:spPr>
                </pic:pic>
              </a:graphicData>
            </a:graphic>
          </wp:inline>
        </w:drawing>
      </w:r>
    </w:p>
    <w:p w14:paraId="5291B3A9">
      <w:pPr>
        <w:spacing w:line="360" w:lineRule="auto"/>
        <w:ind w:firstLine="480"/>
        <w:jc w:val="left"/>
        <w:rPr>
          <w:rFonts w:ascii="宋体" w:hAnsi="宋体" w:eastAsia="宋体" w:cs="宋体"/>
          <w:kern w:val="0"/>
          <w:sz w:val="24"/>
          <w:szCs w:val="24"/>
          <w:lang w:val="en-US" w:eastAsia="zh-CN" w:bidi="ar"/>
        </w:rPr>
      </w:pPr>
      <w:r>
        <w:rPr>
          <w:rFonts w:hint="eastAsia" w:ascii="宋体" w:hAnsi="宋体" w:eastAsia="宋体"/>
          <w:b w:val="0"/>
          <w:sz w:val="24"/>
          <w:lang w:val="en-US" w:eastAsia="zh-CN"/>
        </w:rPr>
        <w:t>图3-3 调研团队合影</w:t>
      </w:r>
    </w:p>
    <w:p w14:paraId="4154B152">
      <w:pPr>
        <w:pStyle w:val="3"/>
        <w:keepNext w:val="0"/>
        <w:keepLines w:val="0"/>
        <w:widowControl/>
        <w:suppressLineNumbers w:val="0"/>
      </w:pPr>
      <w:r>
        <w:t>3.2学校陶瓷博物馆暨美育基地</w:t>
      </w:r>
    </w:p>
    <w:p w14:paraId="23372B8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为充分调研校园场景陶瓷美育发展现状，挖掘现有美育模式优势与现存短板，探索非遗官瓷技艺融入校园美育可行路径，项目团队前往学校陶瓷博物馆暨美育基地开展实地调研。该基地集展览展示、实践教学、创作工坊、文化体验多重功能，是开展陶瓷文化普及美育的重要实体平台，面向全体学习者开放，承担艺术作品展览、美育主题活动、手工创作体验、文化讲座沙龙等工作。</w:t>
      </w:r>
    </w:p>
    <w:p w14:paraId="5A5A6770">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调研期间，团队实地参观基地展厅、陶瓷创作工坊、烧制设备区、研讨交流空间，全面掌握基地硬件配套设施与日常运行模式。展厅陈列各类陶瓷艺术作品，依托实物展品科普陶瓷发展历史、不同流派陶瓷艺术特色，为陶瓷文化传播提供可视化学习素材；创作工坊配备陶瓷创作、烧制相关硬件设备，支持小规模手工实践体验活动，为参与者搭建近距离接触陶瓷工艺的实践空间。基地常态化开展作品展、艺术沙龙、专题讲座、手工体验等多元化美育活动，打造文化浸润+实践体验相结合的美育环境，为陶瓷类传统文化进校园提供实体载体。</w:t>
      </w:r>
    </w:p>
    <w:p w14:paraId="70140AAB">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通过实地走访与座谈交流，项目团队梳理出现有校园陶瓷美育模式存在的现实短板：第一，基地美育资源偏向作品观赏、历史文化科普，侧重成果展示，对于陶瓷完整实操工艺流程教学覆盖不足。参观者可以欣赏精美陶瓷成品，却很难系统学习修坯、施釉等核心手工操作手法。第二，实践教学受硬件场地、匠人师资条件约束。工坊设备空间有限，难以同时支撑大规模学生群体实操训练；专业制瓷匠人资源稀缺，很难长期驻场开展实操授课，手工体验活动只能覆盖小部分参与者，无法实现普惠大范围教学。第三，现有美育体系缺少数字化实操教学工具作为补充。当下学习形式以线下讲座、实物观展、短期手工体验为主，缺少可以复现匠人标准操作动作的数字化教学载体，学习者难以反复观摩、对照练习制瓷关键工序，制约陶瓷技艺美育普及效果。</w:t>
      </w:r>
    </w:p>
    <w:p w14:paraId="4FB45699">
      <w:pPr>
        <w:keepNext w:val="0"/>
        <w:keepLines w:val="0"/>
        <w:widowControl/>
        <w:suppressLineNumbers w:val="0"/>
        <w:spacing w:line="360" w:lineRule="auto"/>
        <w:ind w:firstLine="48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综合调研情况来看，学校陶瓷博物馆暨美育基地具备良好美育硬件基础与文化氛围，但实操教学覆盖面受限、数字化教学资源不足等痛点客观存在，为本项目落地提供绝佳应用场景。本套非遗官瓷数字化教学系统，可以作为基地现有美育体系有力补充。依托数字化手段留存复现非遗匠人的标准制瓷动作，弥补线下匠人师资不足的短板，帮助更多学习者不必完全依赖工坊硬件，就能够观摩练习官瓷实操工艺，拓宽陶瓷美育受众边界。调研得到的美育场景现状，为本项目系统功能设计、使用场景定位、落地试点方案提供重要参考，推动非遗官瓷技艺和校园美育场景深度融合。</w:t>
      </w:r>
    </w:p>
    <w:p w14:paraId="75424EBC">
      <w:pPr>
        <w:spacing w:line="360" w:lineRule="auto"/>
        <w:ind w:firstLine="480"/>
        <w:jc w:val="left"/>
        <w:rPr>
          <w:rFonts w:hint="eastAsia" w:eastAsia="宋体"/>
          <w:lang w:eastAsia="zh-CN"/>
        </w:rPr>
      </w:pPr>
      <w:r>
        <w:rPr>
          <w:rFonts w:hint="eastAsia" w:ascii="宋体" w:hAnsi="宋体" w:eastAsia="宋体"/>
          <w:b w:val="0"/>
          <w:sz w:val="24"/>
          <w:lang w:eastAsia="zh-CN"/>
        </w:rPr>
        <w:drawing>
          <wp:inline distT="0" distB="0" distL="114300" distR="114300">
            <wp:extent cx="2404745" cy="1353820"/>
            <wp:effectExtent l="0" t="0" r="3175" b="2540"/>
            <wp:docPr id="4" name="图片 4" descr="98d32fd8a884fb9e59fcf2c635db894b"/>
            <wp:cNvGraphicFramePr/>
            <a:graphic xmlns:a="http://schemas.openxmlformats.org/drawingml/2006/main">
              <a:graphicData uri="http://schemas.openxmlformats.org/drawingml/2006/picture">
                <pic:pic xmlns:pic="http://schemas.openxmlformats.org/drawingml/2006/picture">
                  <pic:nvPicPr>
                    <pic:cNvPr id="4" name="图片 4" descr="98d32fd8a884fb9e59fcf2c635db894b"/>
                    <pic:cNvPicPr/>
                  </pic:nvPicPr>
                  <pic:blipFill>
                    <a:blip r:embed="rId13"/>
                    <a:srcRect l="8452" t="11614" r="10622" b="632"/>
                    <a:stretch>
                      <a:fillRect/>
                    </a:stretch>
                  </pic:blipFill>
                  <pic:spPr>
                    <a:xfrm>
                      <a:off x="0" y="0"/>
                      <a:ext cx="2404745" cy="1353820"/>
                    </a:xfrm>
                    <a:prstGeom prst="rect">
                      <a:avLst/>
                    </a:prstGeom>
                  </pic:spPr>
                </pic:pic>
              </a:graphicData>
            </a:graphic>
          </wp:inline>
        </w:drawing>
      </w:r>
    </w:p>
    <w:p w14:paraId="7B466E68">
      <w:pPr>
        <w:spacing w:line="360" w:lineRule="auto"/>
        <w:ind w:firstLine="480"/>
        <w:jc w:val="left"/>
        <w:rPr>
          <w:rFonts w:hint="default" w:eastAsia="宋体"/>
          <w:lang w:val="en-US" w:eastAsia="zh-CN"/>
        </w:rPr>
      </w:pPr>
      <w:r>
        <w:rPr>
          <w:rFonts w:hint="eastAsia" w:ascii="宋体" w:hAnsi="宋体" w:eastAsia="宋体"/>
          <w:b w:val="0"/>
          <w:sz w:val="24"/>
          <w:lang w:val="en-US" w:eastAsia="zh-CN"/>
        </w:rPr>
        <w:t>图3-4 团队与老师合影</w:t>
      </w:r>
    </w:p>
    <w:p w14:paraId="5DB22015">
      <w:pPr>
        <w:keepNext w:val="0"/>
        <w:keepLines w:val="0"/>
        <w:widowControl/>
        <w:suppressLineNumbers w:val="0"/>
        <w:spacing w:line="360" w:lineRule="auto"/>
        <w:ind w:firstLine="480"/>
        <w:jc w:val="left"/>
        <w:rPr>
          <w:rFonts w:ascii="宋体" w:hAnsi="宋体" w:eastAsia="宋体" w:cs="宋体"/>
          <w:kern w:val="0"/>
          <w:sz w:val="24"/>
          <w:szCs w:val="24"/>
          <w:lang w:val="en-US" w:eastAsia="zh-CN" w:bidi="ar"/>
        </w:rPr>
      </w:pPr>
    </w:p>
    <w:p w14:paraId="4A27F625">
      <w:pPr>
        <w:pStyle w:val="2"/>
        <w:keepNext w:val="0"/>
        <w:keepLines w:val="0"/>
        <w:widowControl/>
        <w:suppressLineNumbers w:val="0"/>
      </w:pPr>
      <w:r>
        <w:t>四、核心技术体系与创新点</w:t>
      </w:r>
    </w:p>
    <w:p w14:paraId="09D4477C">
      <w:pPr>
        <w:pStyle w:val="3"/>
        <w:keepNext w:val="0"/>
        <w:keepLines w:val="0"/>
        <w:widowControl/>
        <w:suppressLineNumbers w:val="0"/>
      </w:pPr>
      <w:r>
        <w:t>4.1核心技术体系（三层架构）</w:t>
      </w:r>
    </w:p>
    <w:p w14:paraId="708288EA">
      <w:pPr>
        <w:pStyle w:val="4"/>
        <w:keepNext w:val="0"/>
        <w:keepLines w:val="0"/>
        <w:widowControl/>
        <w:suppressLineNumbers w:val="0"/>
      </w:pPr>
      <w:r>
        <w:t>4.1.1算法记忆模型核心层（核心大脑）</w:t>
      </w:r>
    </w:p>
    <w:p w14:paraId="75CC2BBC">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非遗算法记忆模型是整套项目的核心大脑，融合多类AI算法技术，搭建完整技艺记忆与教学指导体系，划分为三大功能模块：</w:t>
      </w:r>
    </w:p>
    <w:p w14:paraId="6EECC441">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数据采集与预处理模块</w:t>
      </w:r>
      <w:r>
        <w:rPr>
          <w:rFonts w:ascii="宋体" w:hAnsi="宋体" w:eastAsia="宋体" w:cs="宋体"/>
          <w:b w:val="0"/>
          <w:kern w:val="0"/>
          <w:sz w:val="24"/>
          <w:szCs w:val="24"/>
          <w:lang w:val="en-US" w:eastAsia="zh-CN" w:bidi="ar"/>
        </w:rPr>
        <w:t>：借助动作捕捉硬件、录音收音设备，采集非遗传承人的标准技艺动作（关节角度、手部力度、运动节奏）、口传心授教学语料、完整技艺流程细节等原始数据。通过降噪、归一化、异常数据过滤等预处理手段，清洗形成标准化高质量非遗技艺数据集。</w:t>
      </w:r>
    </w:p>
    <w:p w14:paraId="1B3968CF">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算法建模模块</w:t>
      </w:r>
      <w:r>
        <w:rPr>
          <w:rFonts w:ascii="宋体" w:hAnsi="宋体" w:eastAsia="宋体" w:cs="宋体"/>
          <w:b w:val="0"/>
          <w:kern w:val="0"/>
          <w:sz w:val="24"/>
          <w:szCs w:val="24"/>
          <w:lang w:val="en-US" w:eastAsia="zh-CN" w:bidi="ar"/>
        </w:rPr>
        <w:t>：融合人体动作识别算法、自然语言语义解析算法、深度学习算法搭建非遗技艺记忆模型，实现技艺动作高精度记忆、工艺流程智能拆解、非遗文化语义解读，自动提取不同非遗技艺核心特征，构建非遗技艺知识图谱。</w:t>
      </w:r>
    </w:p>
    <w:p w14:paraId="2CD08400">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教学指导模块</w:t>
      </w:r>
      <w:r>
        <w:rPr>
          <w:rFonts w:ascii="宋体" w:hAnsi="宋体" w:eastAsia="宋体" w:cs="宋体"/>
          <w:b w:val="0"/>
          <w:kern w:val="0"/>
          <w:sz w:val="24"/>
          <w:szCs w:val="24"/>
          <w:lang w:val="en-US" w:eastAsia="zh-CN" w:bidi="ar"/>
        </w:rPr>
        <w:t>：基于训练完成的记忆模型，实时比对学习者实操动作与传承人标准动作，精准定位动作偏差位置、偏差幅度，输出针对性矫正建议；同步解析动作背后对应的文化内涵、工艺操作要点，实现“实操技艺教学+非遗文化解读”一体化输出。</w:t>
      </w:r>
    </w:p>
    <w:p w14:paraId="43897A3A">
      <w:pPr>
        <w:pStyle w:val="4"/>
        <w:keepNext w:val="0"/>
        <w:keepLines w:val="0"/>
        <w:widowControl/>
        <w:suppressLineNumbers w:val="0"/>
      </w:pPr>
      <w:r>
        <w:t>4.1.2数据支撑层（基础保障）</w:t>
      </w:r>
    </w:p>
    <w:p w14:paraId="3439629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搭建分布式非遗技艺记忆数据库，整合多品类非遗标准动作数据集、教学口述语料、非遗文化背景资料、工艺流程拆解文档，实现数据分类存储、高速检索、版本迭代更新，持续为算法记忆模型供给高质量训练数据。数据来源包含非遗传承人合作采集、公共文化场馆资源对接、行业专家审核补充三大渠道，每一批录入数据库的数据，均经过非遗专家校验，保障技艺内容原汁原味，不偏离非遗本源。</w:t>
      </w:r>
    </w:p>
    <w:p w14:paraId="4FD65636">
      <w:pPr>
        <w:pStyle w:val="4"/>
        <w:keepNext w:val="0"/>
        <w:keepLines w:val="0"/>
        <w:widowControl/>
        <w:suppressLineNumbers w:val="0"/>
      </w:pPr>
      <w:r>
        <w:t>4.1.3教学交互层（落地载体）</w:t>
      </w:r>
    </w:p>
    <w:p w14:paraId="751832C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搭建多终端协同教学交互体系，打通算法记忆模型和各类真实教学场景，实现技术成果落地使用：</w:t>
      </w:r>
    </w:p>
    <w:p w14:paraId="6F928420">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线上教学平台（小程序/APP）</w:t>
      </w:r>
      <w:r>
        <w:rPr>
          <w:rFonts w:ascii="宋体" w:hAnsi="宋体" w:eastAsia="宋体" w:cs="宋体"/>
          <w:b w:val="0"/>
          <w:kern w:val="0"/>
          <w:sz w:val="24"/>
          <w:szCs w:val="24"/>
          <w:lang w:val="en-US" w:eastAsia="zh-CN" w:bidi="ar"/>
        </w:rPr>
        <w:t>：学习者可以上传练习动作视频，模型完成线上比对，输出动作矫正建议；平台配套技艺教学演示视频、模型拆解动画、非遗文化知识问答、个人学习记录存档功能，支持学习者碎片化远程自主练习。</w:t>
      </w:r>
    </w:p>
    <w:p w14:paraId="5438F2AA">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线下教学终端</w:t>
      </w:r>
      <w:r>
        <w:rPr>
          <w:rFonts w:ascii="宋体" w:hAnsi="宋体" w:eastAsia="宋体" w:cs="宋体"/>
          <w:b w:val="0"/>
          <w:kern w:val="0"/>
          <w:sz w:val="24"/>
          <w:szCs w:val="24"/>
          <w:lang w:val="en-US" w:eastAsia="zh-CN" w:bidi="ar"/>
        </w:rPr>
        <w:t>：适配非遗院校、文化馆、研学机构线下课堂，接入动作捕捉硬件，实时采集课堂学员动作，完成模型比对纠错；同时面向授课教师开放管理后台，查看全班学习统计数据，精准定位集体易错工序，动态调整课堂教学重点，实现课堂精准化教学。</w:t>
      </w:r>
    </w:p>
    <w:p w14:paraId="548A3579">
      <w:pPr>
        <w:pStyle w:val="4"/>
        <w:keepNext w:val="0"/>
        <w:keepLines w:val="0"/>
        <w:widowControl/>
        <w:suppressLineNumbers w:val="0"/>
      </w:pPr>
      <w:r>
        <w:t>4.1.4动作捕捉与蓝牙通信模块</w:t>
      </w:r>
    </w:p>
    <w:p w14:paraId="5962351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为实现学习者动作数据的实时采集与移动端无线传输，本项目设计动作捕捉与BLE低功耗蓝牙通信模块，作为算法记忆模型与实体教学设备之间的数据连接通道，同时也是线下实操教学场景的核心数据入口。</w:t>
      </w:r>
    </w:p>
    <w:p w14:paraId="0EF1E4C8">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动作捕捉部分以轻量化体感手套为载体，集成柔性弯曲传感器、六轴IMU姿态传感器，实时采集学习者训练过程中的手部运动全维度数据，包括手指各关节弯曲角度、手腕扭转姿态、手掌运动方向、动作行进节奏、发力轻重趋势等核心信息。传感数据首先发送至主控芯片进行读取、基础滤波及数据规整，剔除环境抖动、误触产生的异常数据，再按照统一的结构化数据格式发送至蓝牙通信模块。相比传统视觉捕捉方案，体感手套不受光线、遮挡影响，在非遗工坊、户外研学等复杂场景下依然可以稳定采集数据，更适配手工技艺精细动作的捕捉需求。</w:t>
      </w:r>
    </w:p>
    <w:p w14:paraId="4BD3336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蓝牙通信部分采用BLE（BluetoothLowEnergy，低功耗蓝牙）无线通信技术，实现教学硬件与手机小程序之间的双向数据传输。硬件端采集到的动作数据可通过BLE实时上传至手机小程序，用于训练状态可视化显示、动作数据自动记录和后续算法分析；同时，小程序也可向硬件端发送开始训练、暂停训练、结束训练、设备状态查询等控制指令，实现移动端对教学设备的反向操控。</w:t>
      </w:r>
    </w:p>
    <w:p w14:paraId="5EDACAF8">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系统总体数据链路分为两条：</w:t>
      </w:r>
    </w:p>
    <w:p w14:paraId="234948BE">
      <w:pPr>
        <w:keepNext w:val="0"/>
        <w:keepLines w:val="0"/>
        <w:widowControl/>
        <w:numPr>
          <w:ilvl w:val="0"/>
          <w:numId w:val="1"/>
        </w:numPr>
        <w:suppressLineNumbers w:val="0"/>
        <w:spacing w:before="0" w:beforeAutospacing="1" w:after="0" w:afterAutospacing="1" w:line="360" w:lineRule="auto"/>
        <w:ind w:left="1440" w:firstLine="480"/>
        <w:jc w:val="left"/>
      </w:pPr>
    </w:p>
    <w:p w14:paraId="76E1FC64">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视觉数据链路：USB工业摄像头模块→ESP32-S3主控→外部Flash关键帧/特征缓存→本地轻量推理与动作初筛→BLE/网络上传→云端AI精细识别与报告生成。</w:t>
      </w:r>
    </w:p>
    <w:p w14:paraId="1DD33DB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动捕数据链路：动作捕捉传感器→主控芯片→BLE蓝牙通信→手机小程序→数据记录与算法分析。</w:t>
      </w:r>
    </w:p>
    <w:p w14:paraId="7623B41E">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在硬件选型上，蓝牙通信模块采用模块化设计，不与单一主控型号强绑定。若后续主控芯片自身具备BLE功能，则优先使用主控集成的蓝牙通信能力，精简硬件架构；若主控不具备BLE功能，则通过UART串口外接BLE通信模块。该设计便于根据最终硬件方案进行灵活调整，同时降低后期硬件升级和维护难度，适配不同成本档位的硬件版本。</w:t>
      </w:r>
    </w:p>
    <w:p w14:paraId="6043495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相比传统有线通信方式，BLE无线通信能够减少线缆对手部动作的束缚，提高体感设备佩戴和操作的灵活性，学习者可以更自然地完成剪纸、捏塑、施釉等非遗手工动作，不受线材拖拽干扰。同时降低移动教学场景中的布线复杂度，更适用于非遗工坊流动教学、校园课堂、户外研学体验等实际使用环境。</w:t>
      </w:r>
    </w:p>
    <w:p w14:paraId="5721D7F8">
      <w:pPr>
        <w:pStyle w:val="4"/>
        <w:keepNext w:val="0"/>
        <w:keepLines w:val="0"/>
        <w:widowControl/>
        <w:suppressLineNumbers w:val="0"/>
      </w:pPr>
      <w:r>
        <w:t>4.1.5摄像头采集、外部存储与本地初筛链路</w:t>
      </w:r>
    </w:p>
    <w:p w14:paraId="447BE7A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针对非遗教学场景多、网络条件不稳定、设备算力有限的现实特点，项目构建“摄像头采集—本地缓存初筛—云端精细识别”的分层视觉处理链路，兼顾识别精度、运行稳定性与场景适配性。</w:t>
      </w:r>
    </w:p>
    <w:p w14:paraId="0DF8689B">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摄像头采集层</w:t>
      </w:r>
      <w:r>
        <w:rPr>
          <w:rFonts w:ascii="宋体" w:hAnsi="宋体" w:eastAsia="宋体" w:cs="宋体"/>
          <w:b w:val="0"/>
          <w:kern w:val="0"/>
          <w:sz w:val="24"/>
          <w:szCs w:val="24"/>
          <w:lang w:val="en-US" w:eastAsia="zh-CN" w:bidi="ar"/>
        </w:rPr>
        <w:t>：项目选用USB工业摄像头模块GW1作为视觉输入单元，支持480P、720P、1080P三档分辨率可调，具备30fps以上高帧率采集能力，搭配广角无畸变镜头，完整覆盖学习者手部操作区域，有效减少传统镜头边缘畸变对手势位置判断的偏差。实际联调中优先采用低分辨率或抽帧模式作为本地处理输入，降低主控端的数据吞吐压力，保证设备响应稳定性。针对不同非遗品类的动作特点，摄像头可灵活调整拍摄角度与帧率：针对精细手部动作（如剪纸、刺绣）采用高分辨率近距拍摄；针对大幅度肢体动作（如戏曲身段、舞狮）采用广角低帧率模式，适配不同教学场景需求。</w:t>
      </w:r>
    </w:p>
    <w:p w14:paraId="28DF2232">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本地缓存层</w:t>
      </w:r>
      <w:r>
        <w:rPr>
          <w:rFonts w:ascii="宋体" w:hAnsi="宋体" w:eastAsia="宋体" w:cs="宋体"/>
          <w:b w:val="0"/>
          <w:kern w:val="0"/>
          <w:sz w:val="24"/>
          <w:szCs w:val="24"/>
          <w:lang w:val="en-US" w:eastAsia="zh-CN" w:bidi="ar"/>
        </w:rPr>
        <w:t>：摄像头数据经ESP32-S3接收后，不以连续高清视频长期保存为目标，而是根据训练节点智能截取关键帧、低分辨率图像摘要或动作特征数据，写入主控外接Flash存储单元，用于短时缓存、异常回溯和断网补传。当网络环境良好时，缓存数据有序上传云端；当网络中断时，关键数据本地留存，网络恢复后自动补传，确保教学数据不丢失。该设计既满足本地识别和云端上传的数据留存需求，也避免完整视频流占用过高存储空间和总线带宽，适配嵌入式设备有限的存储资源。</w:t>
      </w:r>
    </w:p>
    <w:p w14:paraId="1138E2D9">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本地初筛层</w:t>
      </w:r>
      <w:r>
        <w:rPr>
          <w:rFonts w:ascii="宋体" w:hAnsi="宋体" w:eastAsia="宋体" w:cs="宋体"/>
          <w:b w:val="0"/>
          <w:kern w:val="0"/>
          <w:sz w:val="24"/>
          <w:szCs w:val="24"/>
          <w:lang w:val="en-US" w:eastAsia="zh-CN" w:bidi="ar"/>
        </w:rPr>
        <w:t>：ESP32-S3侧运行轻量化本地推理或规则判断逻辑，重点完成手部是否进入识别区域、动作是否触发、关键姿态是否明显偏离、当前帧是否值得上传等初步筛选任务。过滤掉空画面、模糊帧、明显无效的动作片段，仅将有效动作数据上传云端。对于高精度动作评分、复杂手部关键点识别和跨步骤教学建议，仍由云端AI模型完成，以保证识别准确性和后续模型迭代能力。这种“端边初筛+云端精算”的架构，既降低了数据传输量，也减轻了云端算力压力，同时保证核心识别精度不打折。</w:t>
      </w:r>
    </w:p>
    <w:p w14:paraId="42E81EB1">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云端协同层</w:t>
      </w:r>
      <w:r>
        <w:rPr>
          <w:rFonts w:ascii="宋体" w:hAnsi="宋体" w:eastAsia="宋体" w:cs="宋体"/>
          <w:b w:val="0"/>
          <w:kern w:val="0"/>
          <w:sz w:val="24"/>
          <w:szCs w:val="24"/>
          <w:lang w:val="en-US" w:eastAsia="zh-CN" w:bidi="ar"/>
        </w:rPr>
        <w:t>：本地初筛结果与弯曲传感器、IMU、红外或其他动作捕捉数据统一封装为结构化数据包，经BLE或网络链路传输至小程序和云端。云端AI接收标准化数据后完成精细比对、错误节点定位、学习报告生成和历史趋势分析，从而形成“视觉采集—本地初筛—云端精识别—移动端反馈”的完整闭环。</w:t>
      </w:r>
    </w:p>
    <w:p w14:paraId="421F2E9B">
      <w:pPr>
        <w:pStyle w:val="3"/>
        <w:keepNext w:val="0"/>
        <w:keepLines w:val="0"/>
        <w:widowControl/>
        <w:suppressLineNumbers w:val="0"/>
      </w:pPr>
      <w:r>
        <w:t>4.2核心创新点</w:t>
      </w:r>
    </w:p>
    <w:p w14:paraId="47955C7C">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技术创新：首创非遗算法记忆教学模式</w:t>
      </w:r>
      <w:r>
        <w:rPr>
          <w:rFonts w:ascii="宋体" w:hAnsi="宋体" w:eastAsia="宋体" w:cs="宋体"/>
          <w:b w:val="0"/>
          <w:kern w:val="0"/>
          <w:sz w:val="24"/>
          <w:szCs w:val="24"/>
          <w:lang w:val="en-US" w:eastAsia="zh-CN" w:bidi="ar"/>
        </w:rPr>
        <w:t>国内首创面向非遗教学场景的算法记忆教学模式，将人体动作识别、深度学习与非遗教学深度融合，突破传统“口传心授”的传承局限。通过多模态数据采集还原非遗技艺的动作细节、力度节奏与工艺逻辑，实现非遗技艺的精准数字化记忆与标准化教学指导。模型动作识别精度≥95%，语义响应延迟≤0.5s，技术指标处于行业领先水平，解决了传统非遗技艺“只能意会、不能言传”的数字化难题。</w:t>
      </w:r>
    </w:p>
    <w:p w14:paraId="7B51A045">
      <w:pPr>
        <w:keepNext w:val="0"/>
        <w:keepLines w:val="0"/>
        <w:widowControl/>
        <w:suppressLineNumbers w:val="0"/>
        <w:spacing w:line="360" w:lineRule="auto"/>
        <w:ind w:firstLine="480"/>
        <w:jc w:val="left"/>
        <w:rPr>
          <w:rFonts w:ascii="宋体" w:hAnsi="宋体" w:eastAsia="宋体" w:cs="宋体"/>
          <w:kern w:val="0"/>
          <w:sz w:val="24"/>
          <w:szCs w:val="24"/>
          <w:lang w:val="en-US" w:eastAsia="zh-CN" w:bidi="ar"/>
        </w:rPr>
      </w:pPr>
      <w:r>
        <w:rPr>
          <w:rStyle w:val="9"/>
          <w:rFonts w:ascii="宋体" w:hAnsi="宋体" w:eastAsia="宋体" w:cs="宋体"/>
          <w:b w:val="0"/>
          <w:kern w:val="0"/>
          <w:sz w:val="24"/>
          <w:szCs w:val="24"/>
          <w:lang w:val="en-US" w:eastAsia="zh-CN" w:bidi="ar"/>
        </w:rPr>
        <w:t>模式创新：构建全链路闭环传承体系</w:t>
      </w:r>
      <w:r>
        <w:rPr>
          <w:rFonts w:ascii="宋体" w:hAnsi="宋体" w:eastAsia="宋体" w:cs="宋体"/>
          <w:b w:val="0"/>
          <w:kern w:val="0"/>
          <w:sz w:val="24"/>
          <w:szCs w:val="24"/>
          <w:lang w:val="en-US" w:eastAsia="zh-CN" w:bidi="ar"/>
        </w:rPr>
        <w:t>构建“数据采集-模型建模-教学落地-迭代优化”的完整闭环模式，区别于单一的非遗数字化留存项目。项目不仅停留在技艺数字化存档层面，更延伸至标准化教学、实时纠错、考核评价、文化传播全链条。采集的教学数据反过来持续优化算法模型，形成“用得越多、模型越准”的正向循环，实现技艺记忆、教学指导、文化传播的一体化价值。</w:t>
      </w:r>
    </w:p>
    <w:p w14:paraId="498AA32A">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教学创新：实现个性化精准因材施教</w:t>
      </w:r>
      <w:r>
        <w:rPr>
          <w:rFonts w:ascii="宋体" w:hAnsi="宋体" w:eastAsia="宋体" w:cs="宋体"/>
          <w:b w:val="0"/>
          <w:kern w:val="0"/>
          <w:sz w:val="24"/>
          <w:szCs w:val="24"/>
          <w:lang w:val="en-US" w:eastAsia="zh-CN" w:bidi="ar"/>
        </w:rPr>
        <w:t>突破传统非遗教学“一刀切”的局限，模型可根据不同学习者的基础水平、学习进度、动作易错点，动态调整教学难度与指导重点。基础薄弱的学习者获得分步拆解教学与高频纠错提示，有基础的学习者可直接进入进阶技巧训练。同时支持多人同时教学，一位教师可依托系统同时指导多名学员，大幅提升教学效率与教学效果。</w:t>
      </w:r>
    </w:p>
    <w:p w14:paraId="2ED8AD46">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标准化创新：建立统一技艺评判体系</w:t>
      </w:r>
      <w:r>
        <w:rPr>
          <w:rFonts w:ascii="宋体" w:hAnsi="宋体" w:eastAsia="宋体" w:cs="宋体"/>
          <w:b w:val="0"/>
          <w:kern w:val="0"/>
          <w:sz w:val="24"/>
          <w:szCs w:val="24"/>
          <w:lang w:val="en-US" w:eastAsia="zh-CN" w:bidi="ar"/>
        </w:rPr>
        <w:t>通过算法记忆模型构建统一的非遗技艺教学标准与客观评价体系，规范技艺传授流程、动作标准与考核指标，解决不同传承人教学标准不一、评判依赖主观经验的行业痛点。统一的标准让非遗技艺可复制、可推广、可考核，助力非遗技艺走出师徒制小圈子，实现规模化、普惠化普及。</w:t>
      </w:r>
    </w:p>
    <w:p w14:paraId="554A96A3">
      <w:pPr>
        <w:keepNext w:val="0"/>
        <w:keepLines w:val="0"/>
        <w:widowControl/>
        <w:numPr>
          <w:ilvl w:val="0"/>
          <w:numId w:val="0"/>
        </w:numPr>
        <w:suppressLineNumbers w:val="0"/>
        <w:spacing w:before="0" w:beforeAutospacing="1" w:after="0" w:afterAutospacing="1" w:line="360" w:lineRule="auto"/>
        <w:ind w:firstLine="480"/>
        <w:jc w:val="left"/>
      </w:pPr>
    </w:p>
    <w:p w14:paraId="5FBAA5E4">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软硬件无线协同创新：打造多场景适配硬件体系</w:t>
      </w:r>
      <w:r>
        <w:rPr>
          <w:rFonts w:ascii="宋体" w:hAnsi="宋体" w:eastAsia="宋体" w:cs="宋体"/>
          <w:b w:val="0"/>
          <w:kern w:val="0"/>
          <w:sz w:val="24"/>
          <w:szCs w:val="24"/>
          <w:lang w:val="en-US" w:eastAsia="zh-CN" w:bidi="ar"/>
        </w:rPr>
        <w:t>项目将动作捕捉硬件、BLE低功耗蓝牙通信与手机小程序进行协同设计，将学习者训练过程中产生的动作数据由传统的本地采集扩展为可实时传输、可记录、可分析的数据资源。通过“动作采集—主控处理—蓝牙传输—移动端展示—算法分析”的数据闭环，提高系统的便携性、实时性和教学场景适应能力。整套硬件体系适配工坊、课堂、户外研学等多元场景，支持离线运行、断网缓存，为后续训练报告生成、历史数据分析及算法模型迭代提供持续的数据基础。</w:t>
      </w:r>
    </w:p>
    <w:p w14:paraId="3D551CC9">
      <w:pPr>
        <w:pStyle w:val="3"/>
        <w:keepNext w:val="0"/>
        <w:keepLines w:val="0"/>
        <w:widowControl/>
        <w:suppressLineNumbers w:val="0"/>
      </w:pPr>
      <w:r>
        <w:t>4.3导师科研基础与项目技术支撑</w:t>
      </w:r>
    </w:p>
    <w:p w14:paraId="0AA3E0FD">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在技术路线设计与研发过程中，充分依托指导教师张德华教授在人机协同与机器人控制、轻量化智能感知与视觉分析、智能硬件与远程交互等方向的深厚科研积累，对体感手套的动作感知、智能分析、交互控制及系统集成方案进行系统性优化。相关研究成果与本项目的核心技术方向具有高度关联性，为项目由概念设计向软硬件协同验证和智能化应用拓展提供坚实的理论基础与工程支撑。</w:t>
      </w:r>
    </w:p>
    <w:p w14:paraId="39892B29">
      <w:pPr>
        <w:pStyle w:val="4"/>
        <w:keepNext w:val="0"/>
        <w:keepLines w:val="0"/>
        <w:widowControl/>
        <w:suppressLineNumbers w:val="0"/>
      </w:pPr>
      <w:r>
        <w:t>4.3.1人机协同与机器人控制</w:t>
      </w:r>
    </w:p>
    <w:p w14:paraId="613630BB">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代表论文：</w:t>
      </w:r>
    </w:p>
    <w:p w14:paraId="6293C89A">
      <w:pPr>
        <w:keepNext w:val="0"/>
        <w:keepLines w:val="0"/>
        <w:widowControl/>
        <w:numPr>
          <w:ilvl w:val="0"/>
          <w:numId w:val="2"/>
        </w:numPr>
        <w:suppressLineNumbers w:val="0"/>
        <w:spacing w:before="0" w:beforeAutospacing="1" w:after="0" w:afterAutospacing="1" w:line="360" w:lineRule="auto"/>
        <w:ind w:left="1440" w:firstLine="480"/>
        <w:jc w:val="left"/>
      </w:pPr>
    </w:p>
    <w:p w14:paraId="172A16C6">
      <w:pPr>
        <w:keepNext w:val="0"/>
        <w:keepLines w:val="0"/>
        <w:widowControl/>
        <w:suppressLineNumbers w:val="0"/>
        <w:spacing w:line="360" w:lineRule="auto"/>
        <w:ind w:left="720" w:firstLine="480"/>
        <w:jc w:val="left"/>
      </w:pPr>
      <w:r>
        <w:rPr>
          <w:rStyle w:val="10"/>
          <w:rFonts w:ascii="宋体" w:hAnsi="宋体" w:eastAsia="宋体" w:cs="宋体"/>
          <w:b w:val="0"/>
          <w:kern w:val="0"/>
          <w:sz w:val="24"/>
          <w:szCs w:val="24"/>
          <w:lang w:val="en-US" w:eastAsia="zh-CN" w:bidi="ar"/>
        </w:rPr>
        <w:t>DynamicEvent-TriggeredControlforHuman-MachineCooperativeSystemsBasedonDynamicAuthorityAllocation</w:t>
      </w:r>
      <w:r>
        <w:rPr>
          <w:rFonts w:ascii="宋体" w:hAnsi="宋体" w:eastAsia="宋体" w:cs="宋体"/>
          <w:b w:val="0"/>
          <w:kern w:val="0"/>
          <w:sz w:val="24"/>
          <w:szCs w:val="24"/>
          <w:lang w:val="en-US" w:eastAsia="zh-CN" w:bidi="ar"/>
        </w:rPr>
        <w:t>，DehuaZhang等，IEEETransactionsonSystems,ManandCybernetics:Systems,2026.</w:t>
      </w:r>
    </w:p>
    <w:p w14:paraId="3A291A3C">
      <w:pPr>
        <w:keepNext w:val="0"/>
        <w:keepLines w:val="0"/>
        <w:widowControl/>
        <w:numPr>
          <w:ilvl w:val="0"/>
          <w:numId w:val="2"/>
        </w:numPr>
        <w:suppressLineNumbers w:val="0"/>
        <w:spacing w:before="0" w:beforeAutospacing="1" w:after="0" w:afterAutospacing="1" w:line="360" w:lineRule="auto"/>
        <w:ind w:left="1440" w:firstLine="480"/>
        <w:jc w:val="left"/>
      </w:pPr>
    </w:p>
    <w:p w14:paraId="4BC6EAE0">
      <w:pPr>
        <w:keepNext w:val="0"/>
        <w:keepLines w:val="0"/>
        <w:widowControl/>
        <w:numPr>
          <w:ilvl w:val="0"/>
          <w:numId w:val="2"/>
        </w:numPr>
        <w:suppressLineNumbers w:val="0"/>
        <w:spacing w:before="0" w:beforeAutospacing="1" w:after="0" w:afterAutospacing="1" w:line="360" w:lineRule="auto"/>
        <w:ind w:left="1440" w:firstLine="480"/>
        <w:jc w:val="left"/>
      </w:pPr>
    </w:p>
    <w:p w14:paraId="1A2DD766">
      <w:pPr>
        <w:keepNext w:val="0"/>
        <w:keepLines w:val="0"/>
        <w:widowControl/>
        <w:suppressLineNumbers w:val="0"/>
        <w:spacing w:line="360" w:lineRule="auto"/>
        <w:ind w:left="720" w:firstLine="480"/>
        <w:jc w:val="left"/>
      </w:pPr>
      <w:r>
        <w:rPr>
          <w:rStyle w:val="10"/>
          <w:rFonts w:ascii="宋体" w:hAnsi="宋体" w:eastAsia="宋体" w:cs="宋体"/>
          <w:b w:val="0"/>
          <w:kern w:val="0"/>
          <w:sz w:val="24"/>
          <w:szCs w:val="24"/>
          <w:lang w:val="en-US" w:eastAsia="zh-CN" w:bidi="ar"/>
        </w:rPr>
        <w:t>Event-TriggeredH∞ControlforUnknownConstrainedNonlinearSystemswithApplicationtoRobotArm</w:t>
      </w:r>
      <w:r>
        <w:rPr>
          <w:rFonts w:ascii="宋体" w:hAnsi="宋体" w:eastAsia="宋体" w:cs="宋体"/>
          <w:b w:val="0"/>
          <w:kern w:val="0"/>
          <w:sz w:val="24"/>
          <w:szCs w:val="24"/>
          <w:lang w:val="en-US" w:eastAsia="zh-CN" w:bidi="ar"/>
        </w:rPr>
        <w:t>，ChunbinQin等，AppliedMathematicalModelling,2025.</w:t>
      </w:r>
    </w:p>
    <w:p w14:paraId="39A0E2C6">
      <w:pPr>
        <w:keepNext w:val="0"/>
        <w:keepLines w:val="0"/>
        <w:widowControl/>
        <w:numPr>
          <w:ilvl w:val="0"/>
          <w:numId w:val="2"/>
        </w:numPr>
        <w:suppressLineNumbers w:val="0"/>
        <w:spacing w:before="0" w:beforeAutospacing="1" w:after="0" w:afterAutospacing="1" w:line="360" w:lineRule="auto"/>
        <w:ind w:left="1440" w:firstLine="480"/>
        <w:jc w:val="left"/>
      </w:pPr>
    </w:p>
    <w:p w14:paraId="4B6A437E">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代表专利：一种用于桥梁护栏安装的智能辅助机器人，张德华、王尊、史二东，ZL2019112320728。</w:t>
      </w:r>
    </w:p>
    <w:p w14:paraId="11A60609">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该方向研究围绕人机协同系统、机器人臂稳定控制展开，核心解决人机交互过程中的动态权限分配、事件触发控制、系统稳定性等问题。与本项目构建的“人体动作采集—动作解析—设备响应—交互反馈”技术链路高度契合：一方面，相关控制理论可为体感手套采集的人体动作如何映射至数字模型、如何实现动作数据与标准模板的平滑比对提供算法参考；另一方面，机器人臂的精准控制经验，可支撑后续机械手辅助教学、动作力反馈等拓展功能的研发，让数字化教学不仅停留在视觉层面，更能实现触觉力反馈的深度交互。</w:t>
      </w:r>
    </w:p>
    <w:p w14:paraId="36858B0C">
      <w:pPr>
        <w:pStyle w:val="4"/>
        <w:keepNext w:val="0"/>
        <w:keepLines w:val="0"/>
        <w:widowControl/>
        <w:suppressLineNumbers w:val="0"/>
      </w:pPr>
      <w:r>
        <w:t>4.3.2轻量化智能感知与视觉分析</w:t>
      </w:r>
    </w:p>
    <w:p w14:paraId="03CFE0F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代表论文：</w:t>
      </w:r>
    </w:p>
    <w:p w14:paraId="485382E7">
      <w:pPr>
        <w:keepNext w:val="0"/>
        <w:keepLines w:val="0"/>
        <w:widowControl/>
        <w:numPr>
          <w:ilvl w:val="0"/>
          <w:numId w:val="3"/>
        </w:numPr>
        <w:suppressLineNumbers w:val="0"/>
        <w:spacing w:before="0" w:beforeAutospacing="1" w:after="0" w:afterAutospacing="1" w:line="360" w:lineRule="auto"/>
        <w:ind w:left="1440" w:firstLine="480"/>
        <w:jc w:val="left"/>
      </w:pPr>
    </w:p>
    <w:p w14:paraId="50C06003">
      <w:pPr>
        <w:keepNext w:val="0"/>
        <w:keepLines w:val="0"/>
        <w:widowControl/>
        <w:suppressLineNumbers w:val="0"/>
        <w:spacing w:line="360" w:lineRule="auto"/>
        <w:ind w:left="720" w:firstLine="480"/>
        <w:jc w:val="left"/>
      </w:pPr>
      <w:r>
        <w:rPr>
          <w:rStyle w:val="10"/>
          <w:rFonts w:ascii="宋体" w:hAnsi="宋体" w:eastAsia="宋体" w:cs="宋体"/>
          <w:b w:val="0"/>
          <w:kern w:val="0"/>
          <w:sz w:val="24"/>
          <w:szCs w:val="24"/>
          <w:lang w:val="en-US" w:eastAsia="zh-CN" w:bidi="ar"/>
        </w:rPr>
        <w:t>Anefficientlightweightconvolutionalneuralnetworkforindustrialsurfacedefectdetection</w:t>
      </w:r>
      <w:r>
        <w:rPr>
          <w:rFonts w:ascii="宋体" w:hAnsi="宋体" w:eastAsia="宋体" w:cs="宋体"/>
          <w:b w:val="0"/>
          <w:kern w:val="0"/>
          <w:sz w:val="24"/>
          <w:szCs w:val="24"/>
          <w:lang w:val="en-US" w:eastAsia="zh-CN" w:bidi="ar"/>
        </w:rPr>
        <w:t>，ZhangDehua等，ArtificialIntelligenceReview,56(9),10651–10677,2023.</w:t>
      </w:r>
    </w:p>
    <w:p w14:paraId="4C886E50">
      <w:pPr>
        <w:keepNext w:val="0"/>
        <w:keepLines w:val="0"/>
        <w:widowControl/>
        <w:numPr>
          <w:ilvl w:val="0"/>
          <w:numId w:val="3"/>
        </w:numPr>
        <w:suppressLineNumbers w:val="0"/>
        <w:spacing w:before="0" w:beforeAutospacing="1" w:after="0" w:afterAutospacing="1" w:line="360" w:lineRule="auto"/>
        <w:ind w:left="1440" w:firstLine="480"/>
        <w:jc w:val="left"/>
      </w:pPr>
    </w:p>
    <w:p w14:paraId="46033FD6">
      <w:pPr>
        <w:keepNext w:val="0"/>
        <w:keepLines w:val="0"/>
        <w:widowControl/>
        <w:numPr>
          <w:ilvl w:val="0"/>
          <w:numId w:val="3"/>
        </w:numPr>
        <w:suppressLineNumbers w:val="0"/>
        <w:spacing w:before="0" w:beforeAutospacing="1" w:after="0" w:afterAutospacing="1" w:line="360" w:lineRule="auto"/>
        <w:ind w:left="1440" w:firstLine="480"/>
        <w:jc w:val="left"/>
      </w:pPr>
    </w:p>
    <w:p w14:paraId="20FEF7C6">
      <w:pPr>
        <w:keepNext w:val="0"/>
        <w:keepLines w:val="0"/>
        <w:widowControl/>
        <w:suppressLineNumbers w:val="0"/>
        <w:spacing w:line="360" w:lineRule="auto"/>
        <w:ind w:left="720" w:firstLine="480"/>
        <w:jc w:val="left"/>
      </w:pPr>
      <w:r>
        <w:rPr>
          <w:rStyle w:val="10"/>
          <w:rFonts w:ascii="宋体" w:hAnsi="宋体" w:eastAsia="宋体" w:cs="宋体"/>
          <w:b w:val="0"/>
          <w:kern w:val="0"/>
          <w:sz w:val="24"/>
          <w:szCs w:val="24"/>
          <w:lang w:val="en-US" w:eastAsia="zh-CN" w:bidi="ar"/>
        </w:rPr>
        <w:t>Scale-spectrum-statecollaborativefusionnetworkforreal-timeextremesmallobjectdetectioninintelligentsportsanalytics</w:t>
      </w:r>
      <w:r>
        <w:rPr>
          <w:rFonts w:ascii="宋体" w:hAnsi="宋体" w:eastAsia="宋体" w:cs="宋体"/>
          <w:b w:val="0"/>
          <w:kern w:val="0"/>
          <w:sz w:val="24"/>
          <w:szCs w:val="24"/>
          <w:lang w:val="en-US" w:eastAsia="zh-CN" w:bidi="ar"/>
        </w:rPr>
        <w:t>，DehuaZhang等，ExpertSystemsWithApplications,2026,333:133831.</w:t>
      </w:r>
    </w:p>
    <w:p w14:paraId="0B100B1A">
      <w:pPr>
        <w:keepNext w:val="0"/>
        <w:keepLines w:val="0"/>
        <w:widowControl/>
        <w:numPr>
          <w:ilvl w:val="0"/>
          <w:numId w:val="3"/>
        </w:numPr>
        <w:suppressLineNumbers w:val="0"/>
        <w:spacing w:before="0" w:beforeAutospacing="1" w:after="0" w:afterAutospacing="1" w:line="360" w:lineRule="auto"/>
        <w:ind w:left="1440" w:firstLine="480"/>
        <w:jc w:val="left"/>
      </w:pPr>
    </w:p>
    <w:p w14:paraId="42AC3D9D">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代表专利：</w:t>
      </w:r>
    </w:p>
    <w:p w14:paraId="470C9497">
      <w:pPr>
        <w:keepNext w:val="0"/>
        <w:keepLines w:val="0"/>
        <w:widowControl/>
        <w:numPr>
          <w:ilvl w:val="0"/>
          <w:numId w:val="4"/>
        </w:numPr>
        <w:suppressLineNumbers w:val="0"/>
        <w:spacing w:before="0" w:beforeAutospacing="1" w:after="0" w:afterAutospacing="1" w:line="360" w:lineRule="auto"/>
        <w:ind w:left="1440" w:firstLine="480"/>
        <w:jc w:val="left"/>
      </w:pPr>
    </w:p>
    <w:p w14:paraId="1381F0F8">
      <w:pPr>
        <w:keepNext w:val="0"/>
        <w:keepLines w:val="0"/>
        <w:widowControl/>
        <w:suppressLineNumbers w:val="0"/>
        <w:spacing w:line="360" w:lineRule="auto"/>
        <w:ind w:left="720" w:firstLine="480"/>
        <w:jc w:val="left"/>
      </w:pPr>
      <w:r>
        <w:rPr>
          <w:rFonts w:ascii="宋体" w:hAnsi="宋体" w:eastAsia="宋体" w:cs="宋体"/>
          <w:b w:val="0"/>
          <w:kern w:val="0"/>
          <w:sz w:val="24"/>
          <w:szCs w:val="24"/>
          <w:lang w:val="en-US" w:eastAsia="zh-CN" w:bidi="ar"/>
        </w:rPr>
        <w:t>一种基于卷积神经网络多尺度特征的管道缺陷检测方法，张德华、郝昕源、梁惠清，CN202110424184.4，2023授权。</w:t>
      </w:r>
    </w:p>
    <w:p w14:paraId="61A27576">
      <w:pPr>
        <w:keepNext w:val="0"/>
        <w:keepLines w:val="0"/>
        <w:widowControl/>
        <w:numPr>
          <w:ilvl w:val="0"/>
          <w:numId w:val="4"/>
        </w:numPr>
        <w:suppressLineNumbers w:val="0"/>
        <w:spacing w:before="0" w:beforeAutospacing="1" w:after="0" w:afterAutospacing="1" w:line="360" w:lineRule="auto"/>
        <w:ind w:left="1440" w:firstLine="480"/>
        <w:jc w:val="left"/>
      </w:pPr>
    </w:p>
    <w:p w14:paraId="785EF748">
      <w:pPr>
        <w:keepNext w:val="0"/>
        <w:keepLines w:val="0"/>
        <w:widowControl/>
        <w:numPr>
          <w:ilvl w:val="0"/>
          <w:numId w:val="4"/>
        </w:numPr>
        <w:suppressLineNumbers w:val="0"/>
        <w:spacing w:before="0" w:beforeAutospacing="1" w:after="0" w:afterAutospacing="1" w:line="360" w:lineRule="auto"/>
        <w:ind w:left="1440" w:firstLine="480"/>
        <w:jc w:val="left"/>
      </w:pPr>
    </w:p>
    <w:p w14:paraId="6C3ADF42">
      <w:pPr>
        <w:keepNext w:val="0"/>
        <w:keepLines w:val="0"/>
        <w:widowControl/>
        <w:suppressLineNumbers w:val="0"/>
        <w:spacing w:line="360" w:lineRule="auto"/>
        <w:ind w:left="720" w:firstLine="480"/>
        <w:jc w:val="left"/>
      </w:pPr>
      <w:r>
        <w:rPr>
          <w:rFonts w:ascii="宋体" w:hAnsi="宋体" w:eastAsia="宋体" w:cs="宋体"/>
          <w:b w:val="0"/>
          <w:kern w:val="0"/>
          <w:sz w:val="24"/>
          <w:szCs w:val="24"/>
          <w:lang w:val="en-US" w:eastAsia="zh-CN" w:bidi="ar"/>
        </w:rPr>
        <w:t>一种基于AI深度学习算法的表面缺陷检测方法，张德华、郝昕源、董涛等，CN202210362561.0，2024授权。</w:t>
      </w:r>
    </w:p>
    <w:p w14:paraId="12ED13F0">
      <w:pPr>
        <w:keepNext w:val="0"/>
        <w:keepLines w:val="0"/>
        <w:widowControl/>
        <w:numPr>
          <w:ilvl w:val="0"/>
          <w:numId w:val="4"/>
        </w:numPr>
        <w:suppressLineNumbers w:val="0"/>
        <w:spacing w:before="0" w:beforeAutospacing="1" w:after="0" w:afterAutospacing="1" w:line="360" w:lineRule="auto"/>
        <w:ind w:left="1440" w:firstLine="480"/>
        <w:jc w:val="left"/>
      </w:pPr>
    </w:p>
    <w:p w14:paraId="120F1D4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相关研究形成了轻量化神经网络、多尺度特征提取、实时目标检测与识别领域的技术积累，与本项目“体感传感器+摄像头+算法模型”的多模态感知路线形成精准对应。其中，轻量化网络技术可直接应用于ESP32-S3端的本地初筛推理，在有限算力下实现高效动作特征提取；多尺度目标检测算法，为摄像头端的手部关键点识别、动作轨迹追踪提供核心算法支撑。相关研究思路可平衡识别精度与处理效率，让本项目既能在云端实现高精度精细识别，也能在边缘设备实现低延迟初筛，构建分层智能感知体系。</w:t>
      </w:r>
    </w:p>
    <w:p w14:paraId="3482170E">
      <w:pPr>
        <w:pStyle w:val="4"/>
        <w:keepNext w:val="0"/>
        <w:keepLines w:val="0"/>
        <w:widowControl/>
        <w:suppressLineNumbers w:val="0"/>
      </w:pPr>
      <w:r>
        <w:t>4.3.3智能硬件与无线交互</w:t>
      </w:r>
    </w:p>
    <w:p w14:paraId="27417CD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代表专利：</w:t>
      </w:r>
    </w:p>
    <w:p w14:paraId="5BD51713">
      <w:pPr>
        <w:keepNext w:val="0"/>
        <w:keepLines w:val="0"/>
        <w:widowControl/>
        <w:numPr>
          <w:ilvl w:val="0"/>
          <w:numId w:val="5"/>
        </w:numPr>
        <w:suppressLineNumbers w:val="0"/>
        <w:spacing w:before="0" w:beforeAutospacing="1" w:after="0" w:afterAutospacing="1" w:line="360" w:lineRule="auto"/>
        <w:ind w:left="1440" w:firstLine="480"/>
        <w:jc w:val="left"/>
      </w:pPr>
    </w:p>
    <w:p w14:paraId="5137590A">
      <w:pPr>
        <w:keepNext w:val="0"/>
        <w:keepLines w:val="0"/>
        <w:widowControl/>
        <w:suppressLineNumbers w:val="0"/>
        <w:spacing w:line="360" w:lineRule="auto"/>
        <w:ind w:left="720" w:firstLine="480"/>
        <w:jc w:val="left"/>
      </w:pPr>
      <w:r>
        <w:rPr>
          <w:rFonts w:ascii="宋体" w:hAnsi="宋体" w:eastAsia="宋体" w:cs="宋体"/>
          <w:b w:val="0"/>
          <w:kern w:val="0"/>
          <w:sz w:val="24"/>
          <w:szCs w:val="24"/>
          <w:lang w:val="en-US" w:eastAsia="zh-CN" w:bidi="ar"/>
        </w:rPr>
        <w:t>一种基于5G通信网络可远程视频传输的二轮机器人，张德华、梁惠清、王尊，ZL2020111300147。</w:t>
      </w:r>
    </w:p>
    <w:p w14:paraId="45FEED7B">
      <w:pPr>
        <w:keepNext w:val="0"/>
        <w:keepLines w:val="0"/>
        <w:widowControl/>
        <w:numPr>
          <w:ilvl w:val="0"/>
          <w:numId w:val="5"/>
        </w:numPr>
        <w:suppressLineNumbers w:val="0"/>
        <w:spacing w:before="0" w:beforeAutospacing="1" w:after="0" w:afterAutospacing="1" w:line="360" w:lineRule="auto"/>
        <w:ind w:left="1440" w:firstLine="480"/>
        <w:jc w:val="left"/>
      </w:pPr>
    </w:p>
    <w:p w14:paraId="39BBBDBE">
      <w:pPr>
        <w:keepNext w:val="0"/>
        <w:keepLines w:val="0"/>
        <w:widowControl/>
        <w:numPr>
          <w:ilvl w:val="0"/>
          <w:numId w:val="5"/>
        </w:numPr>
        <w:suppressLineNumbers w:val="0"/>
        <w:spacing w:before="0" w:beforeAutospacing="1" w:after="0" w:afterAutospacing="1" w:line="360" w:lineRule="auto"/>
        <w:ind w:left="1440" w:firstLine="480"/>
        <w:jc w:val="left"/>
      </w:pPr>
    </w:p>
    <w:p w14:paraId="2CFB7DCC">
      <w:pPr>
        <w:keepNext w:val="0"/>
        <w:keepLines w:val="0"/>
        <w:widowControl/>
        <w:suppressLineNumbers w:val="0"/>
        <w:spacing w:line="360" w:lineRule="auto"/>
        <w:ind w:left="720" w:firstLine="480"/>
        <w:jc w:val="left"/>
      </w:pPr>
      <w:r>
        <w:rPr>
          <w:rFonts w:ascii="宋体" w:hAnsi="宋体" w:eastAsia="宋体" w:cs="宋体"/>
          <w:b w:val="0"/>
          <w:kern w:val="0"/>
          <w:sz w:val="24"/>
          <w:szCs w:val="24"/>
          <w:lang w:val="en-US" w:eastAsia="zh-CN" w:bidi="ar"/>
        </w:rPr>
        <w:t>一种石油管道检测用5G即时通讯的四旋翼无人机，张德华、张鹏翼、张妮娜、秦春斌，ZL202011261943.1。</w:t>
      </w:r>
    </w:p>
    <w:p w14:paraId="75BF9067">
      <w:pPr>
        <w:keepNext w:val="0"/>
        <w:keepLines w:val="0"/>
        <w:widowControl/>
        <w:numPr>
          <w:ilvl w:val="0"/>
          <w:numId w:val="5"/>
        </w:numPr>
        <w:suppressLineNumbers w:val="0"/>
        <w:spacing w:before="0" w:beforeAutospacing="1" w:after="0" w:afterAutospacing="1" w:line="360" w:lineRule="auto"/>
        <w:ind w:left="1440" w:firstLine="480"/>
        <w:jc w:val="left"/>
      </w:pPr>
    </w:p>
    <w:p w14:paraId="52B07E58">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相关成果体现了导师团队在智能硬件设计、无线数据传输、远程视频交互、多模块系统集成方面的丰富工程经验。本项目虽然采用BLE低功耗蓝牙等近距离无线通信方式，与5G通信制式不同，但二者在硬件端数据采集、无线链路传输、终端交互、远程信息反馈等系统设计思路上具有高度共通性。相关工程经验可直接支撑体感手套与手机小程序之间的数据通信协议设计、摄像头数据协同传输、多模块硬件集成等工作，保障整套硬件系统稳定、可靠、低延迟运行，适配各类复杂教学场景。</w:t>
      </w:r>
    </w:p>
    <w:p w14:paraId="4A645EFC">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综上，导师相关科研成果从“感知—分析—控制—交互”多个环节与本项目形成全方位技术呼应。人机协同与机器人控制研究为体感动作映射和机械执行提供理论参考；轻量化神经网络与智能视觉研究为动作识别、多模态数据分析及摄像头辅助感知提供算法基础；智能机器人及无线交互相关专利则为软硬件系统集成和无线数据链路设计提供工程经验。项目将在上述研究基础上，进一步面向非遗数字化教学场景开展针对性的技术适配与创新应用，形成具有自身应用特色的体感交互教学系统。</w:t>
      </w:r>
    </w:p>
    <w:p w14:paraId="43B3CFDD">
      <w:pPr>
        <w:pStyle w:val="2"/>
        <w:keepNext w:val="0"/>
        <w:keepLines w:val="0"/>
        <w:widowControl/>
        <w:suppressLineNumbers w:val="0"/>
      </w:pPr>
      <w:r>
        <w:t>五、硬件系统技术实现与创新点</w:t>
      </w:r>
    </w:p>
    <w:p w14:paraId="6A5E2EDC">
      <w:pPr>
        <w:pStyle w:val="3"/>
        <w:keepNext w:val="0"/>
        <w:keepLines w:val="0"/>
        <w:widowControl/>
        <w:suppressLineNumbers w:val="0"/>
      </w:pPr>
      <w:r>
        <w:t>5.1总体技术方案</w:t>
      </w:r>
    </w:p>
    <w:p w14:paraId="03F6C02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本系统面向体感手套动作识别与非遗教学演示场景，围绕“动作采集、动作分析、无线分发、语音反馈”四个核心环节，构建了一套由“摄像头本地视觉分析+无线指令分发+专用语音播报”组成的分层硬件架构。系统设计强调硬件任务解耦，避免将高带宽视频采集、高算力AI推理、无线通信和语音控制集中到单一嵌入式主控中，解决单芯片多任务过载导致的卡顿、延迟、死机等问题，适配非遗课堂、现场演示等长时间连续运行场景。</w:t>
      </w:r>
    </w:p>
    <w:p w14:paraId="36D2B0CE">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实际演示过程中，学习者佩戴体感手套完成目标技艺动作，USB工业摄像头持续采集手部动作画面，电脑端对原始画面进行AI动作识别与动作完成度分析。电脑端得到的结构化动作识别结果通过WiFi局域网发送至ESP32-S3无线通信模块，ESP32-S3将结果转换为语音播报控制指令，再通过UART发送给STM32F103C8T6专用语音控制器。STM32F103C8T6根据标准串口协议驱动JQ8900语音模块，最终由扬声器完成离线语音播报，实时告知学习者动作正确与否、偏差在哪里、如何修正。</w:t>
      </w:r>
    </w:p>
    <w:p w14:paraId="4352AE2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同时，ESP32-S3作为WiFi/BLE双模无线节点，可在主链路之外向手机小程序提供设备状态、动作结果和异常提示等轻量数据服务，学习者和教师可通过小程序直观查看训练状态。整体系统既保留了摄像头采集的原始画面信息，用于后续复盘与模型优化，又具备低延迟、低依赖、易扩展的现场演示能力，无需依赖云端网络即可完成核心教学反馈功能。</w:t>
      </w:r>
    </w:p>
    <w:p w14:paraId="6159F5C4">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系统整体链路如下：USB720P工业摄像头→电脑端本地AI动作识别→WiFi无线通信→ESP32-S3无线桥→UART播报指令→STM32F103C8T6语音控制模块→JQ8900离线语音播报→扬声器输出</w:t>
      </w:r>
    </w:p>
    <w:p w14:paraId="25CE93F7">
      <w:pPr>
        <w:pStyle w:val="3"/>
        <w:keepNext w:val="0"/>
        <w:keepLines w:val="0"/>
        <w:widowControl/>
        <w:suppressLineNumbers w:val="0"/>
      </w:pPr>
      <w:r>
        <w:t>5.2硬件模块实现</w:t>
      </w:r>
    </w:p>
    <w:p w14:paraId="21785F25">
      <w:pPr>
        <w:pStyle w:val="4"/>
        <w:keepNext w:val="0"/>
        <w:keepLines w:val="0"/>
        <w:widowControl/>
        <w:suppressLineNumbers w:val="0"/>
      </w:pPr>
      <w:r>
        <w:t>5.2.1图像采集与本地AI分析层</w:t>
      </w:r>
    </w:p>
    <w:p w14:paraId="21FC37B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图像采集采用USB720P工业摄像头，能够稳定获取学习者手部动作画面，抗干扰能力强，适配工坊、展厅等光线复杂环境。摄像头直接连接电脑，由电脑本地运行动作识别程序，完成手部区域检测、姿态关键点提取、动作模板匹配和动作完成度判断等任务，并输出结构化动作识别结果。</w:t>
      </w:r>
    </w:p>
    <w:p w14:paraId="14B4AEB0">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采用电脑端AI方案具有明确的工程合理性：ESP32-S3的USB接口仅支持Full-Speed模式，难以稳定处理720PUVC摄像头原始视频流，而电脑端具备完整的USB驱动、解码能力和高性能AI运行环境，可以基于原始画面直接进行高精度动作分析。该设计规避了嵌入式端图像带宽不足、图像解码开销高和本地模型精度受限等风险。此外，电脑端处理原始画面不代表数据被简单丢弃，识别过程中，系统可以保留关键帧、动作片段或完整录像，用于后续云端复核、模型优化和学习报告生成，确保本地初筛结果具备可追溯的视觉证据，也为算法模型持续迭代提供原始数据素材。</w:t>
      </w:r>
    </w:p>
    <w:p w14:paraId="1DD4D062">
      <w:pPr>
        <w:pStyle w:val="4"/>
        <w:keepNext w:val="0"/>
        <w:keepLines w:val="0"/>
        <w:widowControl/>
        <w:suppressLineNumbers w:val="0"/>
      </w:pPr>
      <w:r>
        <w:t>5.2.2无线通信与边缘转发层</w:t>
      </w:r>
    </w:p>
    <w:p w14:paraId="38C32EFB">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无线通信与边缘转发层以ESP32-S3为核心，利用其WiFi与BLE双模无线能力，构建“电脑端到硬件端”的高效指令链路。在实时演示主链路中，电脑端通过WiFi将动作识别结果发送至ESP32-S3。该通道传输的是动作ID、置信度、时间戳、动作状态等结构化信息，而不是连续视频流，因此传输开销低、实时性高、稳定性强，普通局域网环境下即可实现毫秒级延迟。</w:t>
      </w:r>
    </w:p>
    <w:p w14:paraId="3DB065DA">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ESP32-S3接收识别结果后，根据预设动作映射关系生成语音播报指令，再通过UART发送至STM32F103C8T6。在展示交互链路中，ESP32-S3可作为BLE外设，向手机小程序提供设备连接状态、动作识别结果、硬件异常信息和简单控制命令。该设计将视频等高带宽数据从BLE链路中剥离，使BLE仅承担设备控制与轻量结果展示功能，符合微信小程序BLE通信协议的实际能力边界，保障移动端连接的稳定性与兼容性。</w:t>
      </w:r>
    </w:p>
    <w:p w14:paraId="037C120B">
      <w:pPr>
        <w:pStyle w:val="4"/>
        <w:keepNext w:val="0"/>
        <w:keepLines w:val="0"/>
        <w:widowControl/>
        <w:suppressLineNumbers w:val="0"/>
      </w:pPr>
      <w:r>
        <w:t>5.2.3语音播报控制层</w:t>
      </w:r>
    </w:p>
    <w:p w14:paraId="4EC92DB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语音播报控制层采用STM32F103C8T6作为专用控制器，负责接收上层识别结果、解析命令并驱动JQ8900语音模块。STM32F103C8T6将语音播报功能从ESP32-S3主链路中独立出来，使语音控制具备独立处理单元、独立串口和独立状态指示，降低多任务并发导致的响应不稳定风险。</w:t>
      </w:r>
    </w:p>
    <w:p w14:paraId="1541558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USART1采用9600波特率、8数据位、1停止位、无校验，按JQ8900两线串口帧格式发送控制指令；USART2同样采用9600波特率，用于接收上层动作识别结果。STM32在解析到有效播放命令后，将上层控制命令转换为JQ8900标准播报帧。JQ8900内置硬件解码能力，可稳定播放预录音频，不依赖云端TTS服务，适合离线教学场景，即使网络中断也不影响教学反馈。预录音频由专业配音人员录制，结合非遗专业术语，保证播报内容准确、清晰、语速适中。</w:t>
      </w:r>
    </w:p>
    <w:p w14:paraId="0972489B">
      <w:pPr>
        <w:pStyle w:val="3"/>
        <w:keepNext w:val="0"/>
        <w:keepLines w:val="0"/>
        <w:widowControl/>
        <w:suppressLineNumbers w:val="0"/>
      </w:pPr>
      <w:r>
        <w:t>5.3硬件创新点</w:t>
      </w:r>
    </w:p>
    <w:p w14:paraId="147BDD1F">
      <w:pPr>
        <w:pStyle w:val="4"/>
        <w:keepNext w:val="0"/>
        <w:keepLines w:val="0"/>
        <w:widowControl/>
        <w:suppressLineNumbers w:val="0"/>
      </w:pPr>
      <w:r>
        <w:t>5.3.1图像识别与音频播报分层解耦</w:t>
      </w:r>
    </w:p>
    <w:p w14:paraId="2024817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系统将视频分析、无线通信、语音播报分配到不同硬件层次：电脑端负责高算力AI动作分析，ESP32-S3负责无线数据桥接与状态管理，STM32F103C8T6负责语音控制。各模块职责单一、接口明确，既降低单芯片负载，也提高了系统稳定性和现场排障效率。非遗教学场景往往需要长时间连续运行，分层解耦架构可有效避免单芯片过热、任务冲突导致的系统死机，保障教学过程流畅不中断。</w:t>
      </w:r>
    </w:p>
    <w:p w14:paraId="3FD13908">
      <w:pPr>
        <w:pStyle w:val="4"/>
        <w:keepNext w:val="0"/>
        <w:keepLines w:val="0"/>
        <w:widowControl/>
        <w:suppressLineNumbers w:val="0"/>
      </w:pPr>
      <w:r>
        <w:t>5.3.2保留原始画面上传能力</w:t>
      </w:r>
    </w:p>
    <w:p w14:paraId="52ECD52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系统没有采用“嵌入式端直接压缩处理后仅上传结果”的简化方案，而是在电脑端完成本地AI分析，因此不会丢失摄像头原始画面。后续如需云端精细识别、动作复核或学习报告，可由电脑端上传完整视频、H.264片段或关键帧，形成“本地动作初筛+云端精细识别+移动端结果展示”的完整数据闭环。完整的原始画面数据，也为后续算法模型迭代优化提供了宝贵的标注素材，让模型越用越精准。</w:t>
      </w:r>
    </w:p>
    <w:p w14:paraId="063388AE">
      <w:pPr>
        <w:pStyle w:val="4"/>
        <w:keepNext w:val="0"/>
        <w:keepLines w:val="0"/>
        <w:widowControl/>
        <w:suppressLineNumbers w:val="0"/>
      </w:pPr>
      <w:r>
        <w:t>5.3.3WiFi/BLE双通道无线架构</w:t>
      </w:r>
    </w:p>
    <w:p w14:paraId="2692E568">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系统构建了WiFi与BLE两条分工明确的无线通道：电脑端到ESP32-S3采用WiFi，满足局域网内快速稳定传输结构化识别结果的需求；ESP32-S3到小程序采用BLE，满足轻量设备状态和控制命令传输需求。该架构避免了采用BLE传输视频或大容量报告的错误方案，兼顾实时性与可演示性。双通道设计也让系统具备更强的场景适配性：室内课堂场景用WiFi保证高速稳定，户外研学场景用BLE连接手机实现移动教学。</w:t>
      </w:r>
    </w:p>
    <w:p w14:paraId="22537E8F">
      <w:pPr>
        <w:pStyle w:val="4"/>
        <w:keepNext w:val="0"/>
        <w:keepLines w:val="0"/>
        <w:widowControl/>
        <w:suppressLineNumbers w:val="0"/>
      </w:pPr>
      <w:r>
        <w:t>5.3.4专用STM32语音模块设计</w:t>
      </w:r>
    </w:p>
    <w:p w14:paraId="63039E7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系统为语音播报配置专用STM32F103C8T6控制单元，而不是将语音驱动直接并入主控程序。语音模块具备独立串口、独立LED和独立控制逻辑，能够通过标准命令接入ESP32-S3、Arduino、电脑或其他主控，便于模块复用、现场替换和故障隔离。现场教学中若语音部分出现故障，可直接替换语音模块，不影响整体系统运行，大幅降低现场维护难度。</w:t>
      </w:r>
    </w:p>
    <w:p w14:paraId="673230FB">
      <w:pPr>
        <w:pStyle w:val="4"/>
        <w:keepNext w:val="0"/>
        <w:keepLines w:val="0"/>
        <w:widowControl/>
        <w:suppressLineNumbers w:val="0"/>
      </w:pPr>
      <w:r>
        <w:t>5.3.5预录音频离线播报方案</w:t>
      </w:r>
    </w:p>
    <w:p w14:paraId="0B5CDFEE">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系统采用JQ8900硬件解码预录音频，而非在比赛现场实时运行语音合成算法。预录音频方案显著降低播报延迟、CPU开销和网络依赖，语音内容可以在比赛前统一录制并命名，保证演示过程稳定、可重复、可预期。针对不同非遗品类，可提前录制对应教学话术，快速切换教学内容，适配多品类非遗教学需求。</w:t>
      </w:r>
    </w:p>
    <w:p w14:paraId="152AEB64">
      <w:pPr>
        <w:pStyle w:val="4"/>
        <w:keepNext w:val="0"/>
        <w:keepLines w:val="0"/>
        <w:widowControl/>
        <w:suppressLineNumbers w:val="0"/>
      </w:pPr>
      <w:r>
        <w:t>5.3.6标准化二进制控制协议</w:t>
      </w:r>
    </w:p>
    <w:p w14:paraId="77FF052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PC/ESP32-S3与STM32之间采用包含帧头、命令码、数据字节和校验和的标准化二进制协议，具有传输可靠、解析简单、扩展方便的特点。上层仅需发送播放曲目、停止播报或设置音量等命令，即可控制底层语音硬件。后续新增动作类型时，只需增加曲目映射关系，无需修改语音硬件驱动，大幅降低功能扩展成本。</w:t>
      </w:r>
    </w:p>
    <w:p w14:paraId="5C1FCCD9">
      <w:pPr>
        <w:pStyle w:val="3"/>
        <w:keepNext w:val="0"/>
        <w:keepLines w:val="0"/>
        <w:widowControl/>
        <w:suppressLineNumbers w:val="0"/>
      </w:pPr>
      <w:r>
        <w:t>5.4系统扩展性</w:t>
      </w:r>
    </w:p>
    <w:p w14:paraId="6F6AC9C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本硬件架构具备良好的模块扩展能力。PC端可以灵活替换或升级动作识别算法，不影响无线通信与语音播报模块；ESP32-S3可接入云端服务器，将识别结果、设备状态和学习记录上传至云端，实现历史数据管理、多人数据对比和训练报告生成；小程序可通过BLE接收实时设备状态和动作结果，作为现场教学展示的补充界面。</w:t>
      </w:r>
    </w:p>
    <w:p w14:paraId="69A24BCC">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语音模块方面，JQ8900仅需替换不同曲目号的预录音频文件，即可适配不同非遗动作、不同反馈内容和不同教学提示语，无需重新设计硬件。若未来需要在脱离电脑的环境下完成识别，系统还可将摄像头视觉分析任务进一步迁移至K230等边缘AI视觉模块，原有无线通信层、语音控制层和上层协议仍可继续复用，从而保证整机方案具备持续演进能力。</w:t>
      </w:r>
    </w:p>
    <w:p w14:paraId="72B94BB4">
      <w:pPr>
        <w:pStyle w:val="2"/>
        <w:keepNext w:val="0"/>
        <w:keepLines w:val="0"/>
        <w:widowControl/>
        <w:suppressLineNumbers w:val="0"/>
      </w:pPr>
      <w:r>
        <w:t>六、产品与服务矩阵</w:t>
      </w:r>
    </w:p>
    <w:p w14:paraId="3127C0E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项目构建“一核两翼三体系”的完整产品服务矩阵，聚焦非遗算法记忆模型教学传承核心，实现全场景教学覆盖，满足不同合作方的多元需求。</w:t>
      </w:r>
    </w:p>
    <w:tbl>
      <w:tblPr>
        <w:tblStyle w:val="7"/>
        <w:tblW w:w="75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3"/>
        <w:gridCol w:w="1168"/>
        <w:gridCol w:w="2585"/>
        <w:gridCol w:w="2815"/>
      </w:tblGrid>
      <w:tr w14:paraId="09BB8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0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9F33B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层级</w:t>
            </w:r>
          </w:p>
        </w:tc>
        <w:tc>
          <w:tcPr>
            <w:tcW w:w="116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C37D0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核心内容</w:t>
            </w:r>
          </w:p>
        </w:tc>
        <w:tc>
          <w:tcPr>
            <w:tcW w:w="258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7216F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核心功能</w:t>
            </w:r>
          </w:p>
        </w:tc>
        <w:tc>
          <w:tcPr>
            <w:tcW w:w="281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B3781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应用场景</w:t>
            </w:r>
          </w:p>
        </w:tc>
      </w:tr>
      <w:tr w14:paraId="0C65C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0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BF72B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一核</w:t>
            </w:r>
          </w:p>
        </w:tc>
        <w:tc>
          <w:tcPr>
            <w:tcW w:w="116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46E79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非遗算法记忆模型</w:t>
            </w:r>
          </w:p>
        </w:tc>
        <w:tc>
          <w:tcPr>
            <w:tcW w:w="258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42199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技艺记忆、动作识别、精准比对、矫正指导、文化解读、考核评价</w:t>
            </w:r>
          </w:p>
        </w:tc>
        <w:tc>
          <w:tcPr>
            <w:tcW w:w="281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9C3A4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全产品与服务的核心技术支撑，驱动所有教学场景运行</w:t>
            </w:r>
          </w:p>
        </w:tc>
      </w:tr>
      <w:tr w14:paraId="1754D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0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A0255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两翼</w:t>
            </w:r>
          </w:p>
        </w:tc>
        <w:tc>
          <w:tcPr>
            <w:tcW w:w="116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CB7C2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线上教学平台（小程序/APP）</w:t>
            </w:r>
          </w:p>
        </w:tc>
        <w:tc>
          <w:tcPr>
            <w:tcW w:w="258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EF16C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远程学习、动作上传比对、教学视频、文化问答、学习记录管理</w:t>
            </w:r>
          </w:p>
        </w:tc>
        <w:tc>
          <w:tcPr>
            <w:tcW w:w="281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BCAB1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学习者远程自主练习、碎片化学习、课后复盘巩固</w:t>
            </w:r>
          </w:p>
        </w:tc>
      </w:tr>
      <w:tr w14:paraId="59579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0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66186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116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8C36B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线下教学终端</w:t>
            </w:r>
          </w:p>
        </w:tc>
        <w:tc>
          <w:tcPr>
            <w:tcW w:w="258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1D482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实时动作采集、模型比对、课堂教学管理、数据统计分析</w:t>
            </w:r>
          </w:p>
        </w:tc>
        <w:tc>
          <w:tcPr>
            <w:tcW w:w="281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13DF4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非遗院校、文化场馆、培训机构课堂教学、研学实践教学</w:t>
            </w:r>
          </w:p>
        </w:tc>
      </w:tr>
      <w:tr w14:paraId="05A2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0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CEC59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三体系</w:t>
            </w:r>
          </w:p>
        </w:tc>
        <w:tc>
          <w:tcPr>
            <w:tcW w:w="116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213C4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模型定制服务</w:t>
            </w:r>
          </w:p>
        </w:tc>
        <w:tc>
          <w:tcPr>
            <w:tcW w:w="258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DF7A2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针对特定非遗品类，定制算法记忆模型，采集专属技艺数据，适配个性化教学需求</w:t>
            </w:r>
          </w:p>
        </w:tc>
        <w:tc>
          <w:tcPr>
            <w:tcW w:w="281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6663B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非遗传承人、特色非遗品类培训机构、地方非遗保护部门</w:t>
            </w:r>
          </w:p>
        </w:tc>
      </w:tr>
      <w:tr w14:paraId="528D1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0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B8711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116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33AFA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标准化教学服务</w:t>
            </w:r>
          </w:p>
        </w:tc>
        <w:tc>
          <w:tcPr>
            <w:tcW w:w="258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A20A4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开发非遗算法记忆教学课程、提供师资培训、教学方案落地指导、学习效果考核</w:t>
            </w:r>
          </w:p>
        </w:tc>
        <w:tc>
          <w:tcPr>
            <w:tcW w:w="281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1059B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中小学、非遗院校、文化场馆、研学机构普惠教学</w:t>
            </w:r>
          </w:p>
        </w:tc>
      </w:tr>
      <w:tr w14:paraId="0BE25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0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C8E7A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116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7E841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数据与技术服务</w:t>
            </w:r>
          </w:p>
        </w:tc>
        <w:tc>
          <w:tcPr>
            <w:tcW w:w="258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4F8B1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非遗技艺数据采集、模型迭代优化、教学平台运维、技术咨询与支持</w:t>
            </w:r>
          </w:p>
        </w:tc>
        <w:tc>
          <w:tcPr>
            <w:tcW w:w="2815"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A5A85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所有合作单位、非遗传承人、行业管理部门</w:t>
            </w:r>
          </w:p>
        </w:tc>
      </w:tr>
    </w:tbl>
    <w:p w14:paraId="4E19404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一核”是项目的技术核心，所有产品与服务均围绕算法记忆模型展开；“两翼”覆盖线上线下两大教学场景，实现学习场景无死角；“三体系”对应三类商业服务模式，支撑项目可持续运营。通过矩阵式产品布局，项目既能为单个传承人提供定制化技艺数字化服务，也能为区域教育系统提供规模化非遗教学整体解决方案，适配从单点工坊到全域普及的不同量级需求。</w:t>
      </w:r>
    </w:p>
    <w:p w14:paraId="7CC5E920">
      <w:pPr>
        <w:pStyle w:val="2"/>
        <w:keepNext w:val="0"/>
        <w:keepLines w:val="0"/>
        <w:widowControl/>
        <w:suppressLineNumbers w:val="0"/>
      </w:pPr>
      <w:r>
        <w:t>七、项目设备迭代与更新规划</w:t>
      </w:r>
    </w:p>
    <w:p w14:paraId="18B4DC78">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本项目硬件系统采用模块化分层架构设计，硬件设备不进行一次性固化定型，围绕原型验证、试点落地、规模化部署三个阶段实施迭代升级。硬件迭代遵循接口标准化、模块可替换、功能可扩展、软硬件解耦的核心原则，重点围绕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与STM32F103C8T6双单片机协同架构，持续优化摄像头采集链路、动作捕捉传感采集、无线通信、语音交互与边缘推理能力，适配实验室原型测试、文化场馆教学、户外研学实践等多元化场景，兼顾设备成本、运行功耗、现场稳定性以及后期维护升级需求，为项目从研发走向实际落地提供硬件保障。</w:t>
      </w:r>
    </w:p>
    <w:p w14:paraId="1AA13B75">
      <w:pPr>
        <w:pStyle w:val="3"/>
        <w:keepNext w:val="0"/>
        <w:keepLines w:val="0"/>
        <w:widowControl/>
        <w:suppressLineNumbers w:val="0"/>
      </w:pPr>
      <w:r>
        <w:t>7.1硬件迭代总体思路</w:t>
      </w:r>
    </w:p>
    <w:p w14:paraId="6C5E7EC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硬件迭代划分V0原型验证版、V1试点应用版、V2规模化商用版三个版本，迭代过程中保留统一的通信协议与数据接口，保障前期研发成果可复用，避免重复开发。迭代主要方向包含摄像头采集链路优化、动作捕捉传感采集优化、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S3与STM32双芯片协同机制升级、WiFi/BLE双通道通信优化、离线语音交互优化、边缘本地推理能力增强。</w:t>
      </w:r>
    </w:p>
    <w:p w14:paraId="6EB42DA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在整套硬件体系中，ESP32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主要承担无线桥接、边缘数据预处理、多设备协同调度工作；STM32F103C8T6专注语音播报等外设驱动，双芯片分工协同的架构贯穿硬件全版本迭代，充分发挥两款单片机各自的硬件优势，规避单芯片多任务过载带来的卡顿、数据丢包、响应延迟等现实问题。</w:t>
      </w:r>
    </w:p>
    <w:p w14:paraId="4FC93C84">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V0原型验证版：适配研发联调测试阶段，核心目标为完成基础功能验证，打通全链路数据流转，验证ESP32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S3与STM32协同工作可行性。</w:t>
      </w:r>
    </w:p>
    <w:p w14:paraId="07F659B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V1试点应用版：对应项目试点期，重点提升设备抗干扰能力、运行稳定性，优化功耗表现，适配非遗院校、文化场馆真实课堂教学环境。</w:t>
      </w:r>
    </w:p>
    <w:p w14:paraId="6E6B54F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V2规模化商用版：面向项目中远期推广，实现硬件小型化集成，压缩硬件生产成本，拓展边缘AI算力，支持设备批量部署与固件远程升级。</w:t>
      </w:r>
    </w:p>
    <w:p w14:paraId="5CBDF1C1">
      <w:pPr>
        <w:pStyle w:val="3"/>
        <w:keepNext w:val="0"/>
        <w:keepLines w:val="0"/>
        <w:widowControl/>
        <w:suppressLineNumbers w:val="0"/>
      </w:pPr>
      <w:r>
        <w:t>7.2ESP32</w:t>
      </w:r>
      <w:r>
        <w:noBreakHyphen/>
      </w:r>
      <w:r>
        <w:t>S3与STM32单片机协同架构迭代优势</w:t>
      </w:r>
    </w:p>
    <w:p w14:paraId="113F1291">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项目摒弃单一主控包揽全部任务的传统设计，采用ESP32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S3+STM32F103C8T6双单片机协同方案，经过多轮软硬件联调迭代，对比单主控方案具备多方面突出优势。</w:t>
      </w:r>
    </w:p>
    <w:p w14:paraId="32ED874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第一，任务解耦分流，降低单芯片算力负荷，大幅提升系统运行稳定性。ESP32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S3负责WiFi/BLE双模无线通信、接收上层AI识别结果、通信协议转换、设备状态管理、向小程序推送运行状态数据；STM32专门完成JQ8900语音模块驱动、串口指令解析、播报逻辑控制。如果将全部任务交由ESP32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独立完成，芯片需要同时调度WiFi、BLE、串口、语音解析等多项任务，教学场景长时间运行时极易出现任务冲突，引发播报卡顿、蓝牙断连、控制指令丢失等故障。双芯片分工模式将实时性要求较高的外设控制业务剥离至STM32，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S3聚焦无线数据转发，各司其职，有效降低系统死机概率，适配非遗课堂长时间连续教学运行场景。</w:t>
      </w:r>
    </w:p>
    <w:p w14:paraId="51D3982E">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第二，接口标准化设计，支持分模块独立迭代升级，模块之间互不干扰。两片单片机之间采用带帧头、命令码、校验和的标准化二进制串口协议通信。迭代优化ESP32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S3无线逻辑、调整BLE广播策略、优化摄像头数据转发逻辑时，无需修改STM32语音驱动代码；升级语音播报内容、新增提示音频、调整串口波特率，也不需要改动ESP32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S3上层业务代码。后续硬件升级时，可单独替换任意一块主控芯片，通信协议可以直接复用，有效缩短设备迭代周期，降低软硬件联合调试成本。</w:t>
      </w:r>
    </w:p>
    <w:p w14:paraId="64AF70F4">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第三，发挥芯片差异化硬件特性，实现能力互补。ESP32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S3原生集成WiFi与BLE，存储资源充足，擅长无线传输与边缘轻量数据处理；STM32F103C8T6中断响应速度快，外设IO驱动成熟稳定，更适合强实时性外设控制。双芯片协同扬长避短，ESP32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S3不擅长的实时外设控制交给STM32实现，STM32缺失的无线通信能力由ESP32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S3补齐，硬件资源得到充分利用。</w:t>
      </w:r>
    </w:p>
    <w:p w14:paraId="02C5DB3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第四，故障隔离，降低现场调试维护难度。双芯片架构实现故障区域隔离。当语音播报发生异常，可单独排查STM32与语音模块，不会中断ESP32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和手机小程序之间蓝牙数据交互；若无线通信链路出现波动，语音教学反馈功能依旧可以独立运行。在文化场馆、研学活动现场演示过程中，技术人员能够快速定位故障模块，直接更换故障单元，其余整套设备功能不受影响，大幅降低现场维护压力。</w:t>
      </w:r>
    </w:p>
    <w:p w14:paraId="2C4A6CCA">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第五，扩展空间充足，硬件方案向下兼容。双芯片协同架构能够兼容项目原有硬件链路。后期新增传感器、按键、状态指示灯等外设，可挂载至STM32侧；拓展云端对接、边缘推理、小程序交互功能，可在ESP32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S3侧完成开发。未来系统接入K230边缘视觉模块，原有ESP32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S3与STM32通信链路完全保留，仅修改输入数据源即可，系统整体改动量较小。</w:t>
      </w:r>
    </w:p>
    <w:p w14:paraId="365630FE">
      <w:pPr>
        <w:pStyle w:val="3"/>
        <w:keepNext w:val="0"/>
        <w:keepLines w:val="0"/>
        <w:widowControl/>
        <w:suppressLineNumbers w:val="0"/>
      </w:pPr>
      <w:r>
        <w:t>7.3ESP32</w:t>
      </w:r>
      <w:r>
        <w:noBreakHyphen/>
      </w:r>
      <w:r>
        <w:t>S3与STM32协同架构迭代创新点</w:t>
      </w:r>
    </w:p>
    <w:p w14:paraId="6E41F636">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一是双芯片协同指令中转机制创新。电脑端AI识别输出结构化动作结果，经由WiFi传输至ESP32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完成动作ID校验、无效状态过滤，转换为标准化播报指令通过UART下发STM32。系统增加指令校验与重传机制，规避WiFi丢包造成语音误播报。针对非遗课堂场景设计指令防抖逻辑，短时间重复指令进行合并过滤，避免设备频繁播报干扰正常教学，优化课堂使用体验。</w:t>
      </w:r>
    </w:p>
    <w:p w14:paraId="2C8CCE4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二是双通道无线与本地外设控制相分离创新。ESP32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同时维护两条无线链路：WiFi接收AI识别结果，BLE向小程序推送设备状态与动作数据；语音反馈完全由独立STM32硬件链路实现。即便无线链路卡顿、小程序蓝牙断开连接，语音教学反馈功能依旧正常工作，保障教学反馈不中断，强化设备离线使用能力，适配网络条件不佳的乡村学校、户外研学场景。</w:t>
      </w:r>
    </w:p>
    <w:p w14:paraId="0D6E98D6">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三是可配置化协议适配创新。迭代过程持续优化两片单片机之间二进制通信协议，支持功能灵活裁剪。设备可切换演示模式、课堂教学模式、硬件调试模式，不同模式下ESP32下发至STM32的指令集自动适配，对应差异化语音提示内容，适配项目成果展示、日常教学、硬件调试等多元场景。新增非遗动作类型时，仅更新动作</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音频曲目映射表，无需修改底层硬件驱动程序。</w:t>
      </w:r>
    </w:p>
    <w:p w14:paraId="3BA40B5C">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四是分层固件升级创新。ESP32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S3、STM32支持相互独立的固件升级途径。ESP32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S3支持OTA远程升级无线通信、数据转发逻辑；STM32采用本地串口升级语音驱动固件。项目批量部署之后，可远程优化蓝牙连接策略、数据上报逻辑，不需要改动语音硬件，大幅降低批量设备运维成本。</w:t>
      </w:r>
    </w:p>
    <w:p w14:paraId="6D3E7F88">
      <w:pPr>
        <w:pStyle w:val="3"/>
        <w:keepNext w:val="0"/>
        <w:keepLines w:val="0"/>
        <w:widowControl/>
        <w:suppressLineNumbers w:val="0"/>
      </w:pPr>
      <w:r>
        <w:t>7.4分阶段硬件迭代实施内容</w:t>
      </w:r>
    </w:p>
    <w:p w14:paraId="0D8A598F">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V0原型验证版（研发期，第4-9个月）</w:t>
      </w:r>
      <w:r>
        <w:rPr>
          <w:rFonts w:ascii="宋体" w:hAnsi="宋体" w:eastAsia="宋体" w:cs="宋体"/>
          <w:b w:val="0"/>
          <w:kern w:val="0"/>
          <w:sz w:val="24"/>
          <w:szCs w:val="24"/>
          <w:lang w:val="en-US" w:eastAsia="zh-CN" w:bidi="ar"/>
        </w:rPr>
        <w:t>完成ESP32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与STM32硬件联调，打通完整指令链路，实现WiFi接收识别结果、串口下发播报指令、BLE推送设备状态；完成GW1摄像头电脑端AI识别、动作捕捉硬件与BLE通信基础测试；开展双芯片协同压力测试，排查串口丢包、无线干扰等基础问题。该版本样机接线较为零散，抗干扰能力有限，仅适用于实验室内部测试，输出硬件原型样机、通信协议文档、硬件测试报告。</w:t>
      </w:r>
    </w:p>
    <w:p w14:paraId="551511EE">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V1试点应用版（试点期，第10-12个月）</w:t>
      </w:r>
      <w:r>
        <w:rPr>
          <w:rFonts w:ascii="宋体" w:hAnsi="宋体" w:eastAsia="宋体" w:cs="宋体"/>
          <w:b w:val="0"/>
          <w:kern w:val="0"/>
          <w:sz w:val="24"/>
          <w:szCs w:val="24"/>
          <w:lang w:val="en-US" w:eastAsia="zh-CN" w:bidi="ar"/>
        </w:rPr>
        <w:t>面向非遗院校、文化场馆试点场景优化。ESP32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端优化WiFi/BLE共存调度策略，提升多型号手机蓝牙连接稳定性；完善摄像头关键帧缓存、本地初筛逻辑，优化云端上传数据包格式；增加供电检测、异常上报功能；串口下发指令增加校验、重传机制。STM32端优化JQ8900驱动，增加音量配置、播报打断机制；完善串口数据校验过滤乱码；增加硬件状态指示灯。双芯片之间增加心跳包机制，定时检测通信链路状态。同时优化整机供电电路，解决多模块同时工作供电波动问题，产出可用于真实课堂的试点样机。</w:t>
      </w:r>
    </w:p>
    <w:p w14:paraId="29212496">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V2规模化商用版（中期推广期，第2-3年）</w:t>
      </w:r>
      <w:r>
        <w:rPr>
          <w:rFonts w:ascii="宋体" w:hAnsi="宋体" w:eastAsia="宋体" w:cs="宋体"/>
          <w:b w:val="0"/>
          <w:kern w:val="0"/>
          <w:sz w:val="24"/>
          <w:szCs w:val="24"/>
          <w:lang w:val="en-US" w:eastAsia="zh-CN" w:bidi="ar"/>
        </w:rPr>
        <w:t>完成PCB一体化板卡设计，将ESP32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S3、STM32、语音模块、电源管理集成，缩减设备体积，提升设备便携性；ESP32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S3预留对接K230边缘AI模块接口，实现部分场景脱离PC运行；完善ESP32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S3远程OTA升级；实现双芯片双向交互，STM32外设信号可回传至ESP32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S3并上报小程序与云端；优化设备休眠功耗适配移动研学场景；优化元器件选型，控制整机硬件成本，满足大批量部署需求。</w:t>
      </w:r>
    </w:p>
    <w:p w14:paraId="152E3A4C">
      <w:pPr>
        <w:pStyle w:val="3"/>
        <w:keepNext w:val="0"/>
        <w:keepLines w:val="0"/>
        <w:widowControl/>
        <w:suppressLineNumbers w:val="0"/>
      </w:pPr>
      <w:r>
        <w:t>7.5设备迭代风险与更新替换机制</w:t>
      </w:r>
    </w:p>
    <w:p w14:paraId="2C670813">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硬件迭代过程存在多类潜在风险：芯片型号迭代更新，可能造成原有协同逻辑失效；ESP32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S3远程OTA升级失败会导致设备异常；教学环境大量WiFi、蓝牙设备共存带来无线干扰；新增外设接入会增大串口通信压力；摄像头视觉链路迁移带来适配问题。</w:t>
      </w:r>
    </w:p>
    <w:p w14:paraId="65E4D164">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对应的应对措施为：固化标准化串口二进制协议，不绑定特定芯片寄存器，完整留存协议文档；ESP32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固件设置备份回滚机制，升级失败自动回退至稳定版本，STM32固件只保留本地串口升级，降低升级风险；迭代中持续优化无线调度策略，开展多设备并发压力测试，优化信道避让机制；区分高速数据与低速控制指令，大容量原始数据不经过双芯片串口链路；ESP32</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S3仅接收结构化识别结果，不依赖原始视频流，上层协同逻辑保持稳定。</w:t>
      </w:r>
    </w:p>
    <w:p w14:paraId="3600DAC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同时建立设备报废与更新替换机制。硬件设备设置3</w:t>
      </w:r>
      <w:r>
        <w:rPr>
          <w:rFonts w:ascii="宋体" w:hAnsi="宋体" w:eastAsia="宋体" w:cs="宋体"/>
          <w:b w:val="0"/>
          <w:kern w:val="0"/>
          <w:sz w:val="24"/>
          <w:szCs w:val="24"/>
          <w:lang w:val="en-US" w:eastAsia="zh-CN" w:bidi="ar"/>
        </w:rPr>
        <w:noBreakHyphen/>
      </w:r>
      <w:r>
        <w:rPr>
          <w:rFonts w:ascii="宋体" w:hAnsi="宋体" w:eastAsia="宋体" w:cs="宋体"/>
          <w:b w:val="0"/>
          <w:kern w:val="0"/>
          <w:sz w:val="24"/>
          <w:szCs w:val="24"/>
          <w:lang w:val="en-US" w:eastAsia="zh-CN" w:bidi="ar"/>
        </w:rPr>
        <w:t>5年使用周期，建立设备台账记录版本、固件与运行状态。依托模块化设计，设备故障优先替换故障模块，无需整机报废。新版本硬件向下兼容旧版协议，旧设备依靠固件升级获取新功能；老旧设备无法固件升级时，直接替换硬件板卡，云端、小程序平台无需大规模改造。同步搭建硬件迭代知识库，记录各版本硬件差异、固件版本、已知问题，为项目长期维护升级提供完整支撑。</w:t>
      </w:r>
    </w:p>
    <w:p w14:paraId="34219D2F">
      <w:pPr>
        <w:pStyle w:val="2"/>
        <w:keepNext w:val="0"/>
        <w:keepLines w:val="0"/>
        <w:widowControl/>
        <w:suppressLineNumbers w:val="0"/>
      </w:pPr>
      <w:r>
        <w:t>八、项目研发与实施计划</w:t>
      </w:r>
    </w:p>
    <w:p w14:paraId="466B77D1">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项目采用“分散开发+集中联调”的高效研发模式，组建专项研发团队，明确各阶段任务、产出与时间节点，确保项目有序推进，按期落地。</w:t>
      </w:r>
    </w:p>
    <w:p w14:paraId="61A58D07">
      <w:pPr>
        <w:pStyle w:val="3"/>
        <w:keepNext w:val="0"/>
        <w:keepLines w:val="0"/>
        <w:widowControl/>
        <w:suppressLineNumbers w:val="0"/>
      </w:pPr>
      <w:r>
        <w:t>8.1项目团队构成</w:t>
      </w:r>
    </w:p>
    <w:p w14:paraId="3A34B257">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项目组建跨学科复合型研发团队，覆盖非遗、算法、软件、硬件、教学多领域，保障项目技术先进性与教学专业性并重。</w:t>
      </w:r>
    </w:p>
    <w:tbl>
      <w:tblPr>
        <w:tblStyle w:val="7"/>
        <w:tblW w:w="76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8"/>
        <w:gridCol w:w="3840"/>
        <w:gridCol w:w="2302"/>
      </w:tblGrid>
      <w:tr w14:paraId="7B963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53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BFFB4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岗位类别</w:t>
            </w:r>
          </w:p>
        </w:tc>
        <w:tc>
          <w:tcPr>
            <w:tcW w:w="384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BB4EF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核心职责</w:t>
            </w:r>
          </w:p>
        </w:tc>
        <w:tc>
          <w:tcPr>
            <w:tcW w:w="230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145C0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人员配置</w:t>
            </w:r>
          </w:p>
        </w:tc>
      </w:tr>
      <w:tr w14:paraId="4AB23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53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3FE28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项目总负责人</w:t>
            </w:r>
          </w:p>
        </w:tc>
        <w:tc>
          <w:tcPr>
            <w:tcW w:w="384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B985F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整体规划、资源对接、进度管控、合作洽谈</w:t>
            </w:r>
          </w:p>
        </w:tc>
        <w:tc>
          <w:tcPr>
            <w:tcW w:w="230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8BBC4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1人</w:t>
            </w:r>
          </w:p>
        </w:tc>
      </w:tr>
      <w:tr w14:paraId="177D1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53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8FC8D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非遗数据采集组</w:t>
            </w:r>
          </w:p>
        </w:tc>
        <w:tc>
          <w:tcPr>
            <w:tcW w:w="384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E8CF7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对接非遗传承人，采集技艺动作、教学语料数据，整理文化背景资料，审核数据准确性</w:t>
            </w:r>
          </w:p>
        </w:tc>
        <w:tc>
          <w:tcPr>
            <w:tcW w:w="230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2D1D6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非遗传承人2-3人、数据采集专员2人</w:t>
            </w:r>
          </w:p>
        </w:tc>
      </w:tr>
      <w:tr w14:paraId="3379E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53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490E5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算法研发组</w:t>
            </w:r>
          </w:p>
        </w:tc>
        <w:tc>
          <w:tcPr>
            <w:tcW w:w="384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071A9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算法记忆模型搭建、算法优化、动作识别精度提升、模型迭代</w:t>
            </w:r>
          </w:p>
        </w:tc>
        <w:tc>
          <w:tcPr>
            <w:tcW w:w="230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B19E7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算法工程师2人、深度学习工程师1人</w:t>
            </w:r>
          </w:p>
        </w:tc>
      </w:tr>
      <w:tr w14:paraId="1D826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53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11AA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平台开发组</w:t>
            </w:r>
          </w:p>
        </w:tc>
        <w:tc>
          <w:tcPr>
            <w:tcW w:w="384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47FE6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线上教学平台（小程序/APP）、线下教学终端开发、系统联调与运维</w:t>
            </w:r>
          </w:p>
        </w:tc>
        <w:tc>
          <w:tcPr>
            <w:tcW w:w="230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495F0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前后端开发3人、测试专员1人</w:t>
            </w:r>
          </w:p>
        </w:tc>
      </w:tr>
      <w:tr w14:paraId="7D60D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53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24E80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教学适配组</w:t>
            </w:r>
          </w:p>
        </w:tc>
        <w:tc>
          <w:tcPr>
            <w:tcW w:w="384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5148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课程体系开发、教学方案设计、模型教学适配测试、师资培训</w:t>
            </w:r>
          </w:p>
        </w:tc>
        <w:tc>
          <w:tcPr>
            <w:tcW w:w="230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4B435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教学设计师2人、非遗教学顾问1人</w:t>
            </w:r>
          </w:p>
        </w:tc>
      </w:tr>
      <w:tr w14:paraId="4D7E5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53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C932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硬件通信开发组</w:t>
            </w:r>
          </w:p>
        </w:tc>
        <w:tc>
          <w:tcPr>
            <w:tcW w:w="384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26427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负责动作捕捉硬件接口设计、BLE蓝牙通信方案设计、模块选型、硬件与移动端通信联调及数据传输测试</w:t>
            </w:r>
          </w:p>
        </w:tc>
        <w:tc>
          <w:tcPr>
            <w:tcW w:w="230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40BBA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硬件开发与蓝牙通信人员1—2人</w:t>
            </w:r>
          </w:p>
        </w:tc>
      </w:tr>
    </w:tbl>
    <w:p w14:paraId="6555C721">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团队成员兼具技术研发能力与非遗领域认知，核心成员拥有相关项目经验，保障项目高效推进。同时聘请非遗专家、教育专家、算法专家组成顾问团，为项目提供专业指导。</w:t>
      </w:r>
    </w:p>
    <w:p w14:paraId="6A1E0A3E">
      <w:pPr>
        <w:pStyle w:val="3"/>
        <w:keepNext w:val="0"/>
        <w:keepLines w:val="0"/>
        <w:widowControl/>
        <w:suppressLineNumbers w:val="0"/>
      </w:pPr>
      <w:r>
        <w:t>8.2分阶段实施计划</w:t>
      </w:r>
    </w:p>
    <w:p w14:paraId="1F161DC3">
      <w:pPr>
        <w:pStyle w:val="4"/>
        <w:keepNext w:val="0"/>
        <w:keepLines w:val="0"/>
        <w:widowControl/>
        <w:suppressLineNumbers w:val="0"/>
      </w:pPr>
      <w:r>
        <w:t>8.2.1筹备期（第1-3个月）</w:t>
      </w:r>
    </w:p>
    <w:p w14:paraId="5703629D">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核心任务：非遗传承人对接、非遗教学需求调研、算法技术方案论证、团队组建、合作意向初步洽谈。具体工作：开展非遗行业调研与目标用户需求访谈；完成核心技术方案论证与原型设计；组建项目核心团队；对接非遗传承人、院校、文化场馆，达成初步合作意向；完成项目立项与预算评审。关键产出：非遗技艺教学需求报告、技术方案白皮书、团队组建完成、5家以上合作意向单位（非遗院校/文化场馆）、初步非遗技艺数据集。</w:t>
      </w:r>
    </w:p>
    <w:p w14:paraId="2EDF557F">
      <w:pPr>
        <w:pStyle w:val="4"/>
        <w:keepNext w:val="0"/>
        <w:keepLines w:val="0"/>
        <w:widowControl/>
        <w:suppressLineNumbers w:val="0"/>
      </w:pPr>
      <w:r>
        <w:t>8.2.2研发期（第4-9个月，分散开发+集中联调）</w:t>
      </w:r>
    </w:p>
    <w:p w14:paraId="706FA06B">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核心任务：分模块并行研发，完成算法模型、软硬件平台、硬件通信模块开发，集中联调打通全链路。具体工作：</w:t>
      </w:r>
    </w:p>
    <w:p w14:paraId="0AC929F1">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数据采集：完成3-5项非遗品类的技艺动作、教学语料数据采集与预处理，构建初步的非遗技艺记忆数据库；</w:t>
      </w:r>
    </w:p>
    <w:p w14:paraId="5A3FAE9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模型研发：完成算法记忆模型V1.0搭建、算法优化，实现动作识别、技艺记忆、简单教学指导核心功能；</w:t>
      </w:r>
    </w:p>
    <w:p w14:paraId="0638235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平台开发：完成线上教学平台（小程序/APP）测试版、线下教学终端原型开发；</w:t>
      </w:r>
    </w:p>
    <w:p w14:paraId="5432AE64">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硬件通信开发：完成动作捕捉数据传感记录模块与BLE蓝牙通信模块的方案设计和基础联调，确定主控芯片与蓝牙模块之间的数据通信接口，打通“动作数据采集—主控处理—BLE无线传输—手机小程序接收”的数据链路，并完成蓝牙连接稳定性、数据收发及移动端交互测试。</w:t>
      </w:r>
    </w:p>
    <w:p w14:paraId="0463326A">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集中联调：打通“数据-模型-教学平台”全链路，解决兼容性问题，完成首轮功能测试与压力测试。关键产出：算法记忆模型V1.0、非遗技艺记忆数据库（初步）、线上平台测试版、线下教学终端原型、动作捕捉与BLE蓝牙通信原型、硬件与小程序通信测试记录及全链路测试报告。</w:t>
      </w:r>
    </w:p>
    <w:p w14:paraId="79F80EF6">
      <w:pPr>
        <w:keepNext w:val="0"/>
        <w:keepLines w:val="0"/>
        <w:widowControl/>
        <w:numPr>
          <w:ilvl w:val="0"/>
          <w:numId w:val="0"/>
        </w:numPr>
        <w:suppressLineNumbers w:val="0"/>
        <w:spacing w:before="0" w:beforeAutospacing="1" w:after="0" w:afterAutospacing="1" w:line="360" w:lineRule="auto"/>
        <w:ind w:firstLine="480"/>
        <w:jc w:val="left"/>
      </w:pPr>
    </w:p>
    <w:p w14:paraId="7148F18E">
      <w:pPr>
        <w:pStyle w:val="4"/>
        <w:keepNext w:val="0"/>
        <w:keepLines w:val="0"/>
        <w:widowControl/>
        <w:suppressLineNumbers w:val="0"/>
      </w:pPr>
      <w:r>
        <w:t>8.2.3试点期（第10-12个月）</w:t>
      </w:r>
    </w:p>
    <w:p w14:paraId="112702FA">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核心任务：首批5-10家合作单位（非遗院校/文化场馆）试点落地、教学适配调试、课程试运行、用户反馈收集、模型第一轮迭代、教学模式验证。具体工作：落地首批试点合作单位，部署试点设备与教学系统；开展师资培训，指导合作方教师使用系统教学；收集教师、学习者双向反馈；优化模型教学适配性，迭代算法模型至V1.1版本；打磨标准化课程初稿；总结试点经验，形成可复制的教学模式。关键产出：试点运营报告、用户反馈分析报告、算法记忆模型V1.1、标准化课程初稿、教学适配方案。</w:t>
      </w:r>
    </w:p>
    <w:p w14:paraId="5181A235">
      <w:pPr>
        <w:pStyle w:val="4"/>
        <w:keepNext w:val="0"/>
        <w:keepLines w:val="0"/>
        <w:widowControl/>
        <w:suppressLineNumbers w:val="0"/>
      </w:pPr>
      <w:r>
        <w:t>8.2.4中期推广期（第2-3年）</w:t>
      </w:r>
    </w:p>
    <w:p w14:paraId="40DAD8E6">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核心任务：算法记忆模型迭代至V2.0、扩大非遗品类覆盖（20+）、线上线下教学载体省内推广、标准化课程落地、师资培训、盈利模式完善。具体工作：升级算法模型至V2.0，新增考核评价、个性化推荐功能；拓展非遗品类覆盖至20项以上；建设省内渠道体系，批量落地合作院校与场馆；输出标准化课程体系，开展规模化师资培训；完善商业盈利模式，实现项目盈亏平衡。关键产出：算法记忆模型V2.0、20+非遗品类适配方案、100+合作单位、10万+线上用户、成熟的教学服务模式与盈利体系。</w:t>
      </w:r>
    </w:p>
    <w:p w14:paraId="580840FC">
      <w:pPr>
        <w:pStyle w:val="4"/>
        <w:keepNext w:val="0"/>
        <w:keepLines w:val="0"/>
        <w:widowControl/>
        <w:suppressLineNumbers w:val="0"/>
      </w:pPr>
      <w:r>
        <w:t>8.2.5长期拓展期（3年以上）</w:t>
      </w:r>
    </w:p>
    <w:p w14:paraId="544A2258">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核心任务：算法记忆模型迭代至V3.0、全国模式推广、行业标准制定、非遗数字教学生态构建、国际化合作探索。具体工作：迭代模型至V3.0，实现全品类适配与深度文化解读；向全国复制推广项目模式，拓展全国合作渠道；联合行业协会、高校牵头制定行业标准；构建完整非遗数字教学生态；探索国际文化交流合作。关键产出：算法记忆模型V3.0、全国1000+合作单位、行业标准、完整的非遗数字教学生态。</w:t>
      </w:r>
    </w:p>
    <w:p w14:paraId="64569229">
      <w:pPr>
        <w:pStyle w:val="2"/>
        <w:keepNext w:val="0"/>
        <w:keepLines w:val="0"/>
        <w:widowControl/>
        <w:suppressLineNumbers w:val="0"/>
      </w:pPr>
      <w:r>
        <w:t>九、核心竞争优势</w:t>
      </w:r>
    </w:p>
    <w:p w14:paraId="67F0CA9A">
      <w:pPr>
        <w:keepNext w:val="0"/>
        <w:keepLines w:val="0"/>
        <w:widowControl/>
        <w:numPr>
          <w:ilvl w:val="0"/>
          <w:numId w:val="6"/>
        </w:numPr>
        <w:suppressLineNumbers w:val="0"/>
        <w:spacing w:before="0" w:beforeAutospacing="1" w:after="0" w:afterAutospacing="1" w:line="360" w:lineRule="auto"/>
        <w:ind w:left="1440" w:firstLine="480"/>
        <w:jc w:val="left"/>
      </w:pPr>
    </w:p>
    <w:p w14:paraId="1179F0C3">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技术领先性：行业首创的技术壁垒</w:t>
      </w:r>
      <w:r>
        <w:rPr>
          <w:rFonts w:ascii="宋体" w:hAnsi="宋体" w:eastAsia="宋体" w:cs="宋体"/>
          <w:b w:val="0"/>
          <w:kern w:val="0"/>
          <w:sz w:val="24"/>
          <w:szCs w:val="24"/>
          <w:lang w:val="en-US" w:eastAsia="zh-CN" w:bidi="ar"/>
        </w:rPr>
        <w:t>国内首个聚焦非遗实操教学的算法记忆模型项目，融合动作识别、深度学习、多模态传感等核心技术，动作识别精度≥95%，语义响应延迟≤0.5s，核心技术指标处于行业领先水平。区别于市面常见的非遗数字展陈产品，本项目深入技艺实操教学环节，实现技艺精准记忆与精准教学双重价值，形成明显技术代差优势。同时依托导师团队科研积累，具备持续迭代升级的技术能力，构建坚实技术壁垒。</w:t>
      </w:r>
    </w:p>
    <w:p w14:paraId="67ACDCC1">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模式独特性：全链路闭环的创新模式</w:t>
      </w:r>
      <w:r>
        <w:rPr>
          <w:rFonts w:ascii="宋体" w:hAnsi="宋体" w:eastAsia="宋体" w:cs="宋体"/>
          <w:b w:val="0"/>
          <w:kern w:val="0"/>
          <w:sz w:val="24"/>
          <w:szCs w:val="24"/>
          <w:lang w:val="en-US" w:eastAsia="zh-CN" w:bidi="ar"/>
        </w:rPr>
        <w:t>构建“算法记忆+标准化教学+文化传播”的创新模式，突破传统非遗传承“口传心授”的局限，实现技艺留存、教学指导、文化解读的一体化。区别于单一的非遗数字化存档项目，本项目形成从数据采集到教学落地再到数据反哺模型的完整闭环，不仅解决“存下来”的问题，更解决“教得会、传得广”的行业核心痛点，模式具备独特性与稀缺性。</w:t>
      </w:r>
    </w:p>
    <w:p w14:paraId="2C3E6820">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教学适配性强：全场景多人群覆盖</w:t>
      </w:r>
      <w:r>
        <w:rPr>
          <w:rFonts w:ascii="宋体" w:hAnsi="宋体" w:eastAsia="宋体" w:cs="宋体"/>
          <w:b w:val="0"/>
          <w:kern w:val="0"/>
          <w:sz w:val="24"/>
          <w:szCs w:val="24"/>
          <w:lang w:val="en-US" w:eastAsia="zh-CN" w:bidi="ar"/>
        </w:rPr>
        <w:t>模型可根据不同非遗品类的技艺特性、不同学习者的基础差异，定制教学方案与指导重点，适配中小学美育、高校通识课、非遗院校专业教学、文化馆群众普及、研学实践等多类教学场景。同时支持单人自主练习、多人课堂教学等多种组织形式，兼顾专业性与普惠性，受众覆盖全年龄段，市场适配性极强</w:t>
      </w:r>
      <w:r>
        <w:rPr>
          <w:rFonts w:hint="eastAsia" w:ascii="宋体" w:hAnsi="宋体" w:eastAsia="宋体" w:cs="宋体"/>
          <w:b w:val="0"/>
          <w:kern w:val="0"/>
          <w:sz w:val="24"/>
          <w:szCs w:val="24"/>
          <w:lang w:val="en-US" w:eastAsia="zh-CN" w:bidi="ar"/>
        </w:rPr>
        <w:t>。</w:t>
      </w:r>
    </w:p>
    <w:p w14:paraId="6B0126E6">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资源整合能力突出：多方协同的生态优势</w:t>
      </w:r>
      <w:r>
        <w:rPr>
          <w:rFonts w:ascii="宋体" w:hAnsi="宋体" w:eastAsia="宋体" w:cs="宋体"/>
          <w:b w:val="0"/>
          <w:kern w:val="0"/>
          <w:sz w:val="24"/>
          <w:szCs w:val="24"/>
          <w:lang w:val="en-US" w:eastAsia="zh-CN" w:bidi="ar"/>
        </w:rPr>
        <w:t>深度联动非遗传承人、文化场馆、教育机构、算法研发团队，建立稳定的多方合作机制。既保证非遗技艺的原汁原味与专业度，也确保教学的科学性与技术的先进性。项目扎根河南本土非遗资源，依托高校科研与教育资源，形成“非遗+科技+教育”的跨界生态，资源整合能力突出，难以被简单复制。</w:t>
      </w:r>
    </w:p>
    <w:p w14:paraId="379370EC">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标准化优势：可复制可推广的体系</w:t>
      </w:r>
      <w:r>
        <w:rPr>
          <w:rFonts w:ascii="宋体" w:hAnsi="宋体" w:eastAsia="宋体" w:cs="宋体"/>
          <w:b w:val="0"/>
          <w:kern w:val="0"/>
          <w:sz w:val="24"/>
          <w:szCs w:val="24"/>
          <w:lang w:val="en-US" w:eastAsia="zh-CN" w:bidi="ar"/>
        </w:rPr>
        <w:t>通过算法记忆模型构建统一的非遗技艺教学标准与评价体系，打破传统师徒制的个人化、经验化局限，让非遗教学可复制、可推广、可考核。标准化体系支撑项目快速规模化落地，适配不同地区、不同品类的非遗教学需求，助力非遗技艺的规模化普及，形成强大的扩张能力。</w:t>
      </w:r>
    </w:p>
    <w:p w14:paraId="7EA5D68F">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可持续性强：闭环迭代的商业模式</w:t>
      </w:r>
      <w:r>
        <w:rPr>
          <w:rFonts w:ascii="宋体" w:hAnsi="宋体" w:eastAsia="宋体" w:cs="宋体"/>
          <w:b w:val="0"/>
          <w:kern w:val="0"/>
          <w:sz w:val="24"/>
          <w:szCs w:val="24"/>
          <w:lang w:val="en-US" w:eastAsia="zh-CN" w:bidi="ar"/>
        </w:rPr>
        <w:t>形成“模型研发-教学落地-数据积累-迭代优化”的技术闭环，同时依托多元化服务实现商业变现，兼顾社会价值与市场价值。项目拥有模型定制、课程服务、技术服务等多元盈利点，具备自我造血能力，可实现持续运营与持续迭代，项目可持续性强。</w:t>
      </w:r>
    </w:p>
    <w:p w14:paraId="341E4222">
      <w:pPr>
        <w:keepNext w:val="0"/>
        <w:keepLines w:val="0"/>
        <w:widowControl/>
        <w:numPr>
          <w:ilvl w:val="0"/>
          <w:numId w:val="0"/>
        </w:numPr>
        <w:suppressLineNumbers w:val="0"/>
        <w:spacing w:before="0" w:beforeAutospacing="1" w:after="0" w:afterAutospacing="1" w:line="360" w:lineRule="auto"/>
        <w:ind w:left="1080" w:leftChars="0" w:firstLine="480"/>
        <w:jc w:val="left"/>
      </w:pPr>
    </w:p>
    <w:p w14:paraId="5C6B2840">
      <w:pPr>
        <w:pStyle w:val="2"/>
        <w:keepNext w:val="0"/>
        <w:keepLines w:val="0"/>
        <w:widowControl/>
        <w:suppressLineNumbers w:val="0"/>
      </w:pPr>
      <w:r>
        <w:t>十、合作需求与支持方向</w:t>
      </w:r>
    </w:p>
    <w:p w14:paraId="414F9079">
      <w:pPr>
        <w:pStyle w:val="3"/>
        <w:keepNext w:val="0"/>
        <w:keepLines w:val="0"/>
        <w:widowControl/>
        <w:suppressLineNumbers w:val="0"/>
      </w:pPr>
      <w:r>
        <w:t>10.1专业指导需求</w:t>
      </w:r>
    </w:p>
    <w:p w14:paraId="305E09A2">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诚邀以下领域专家提供专业指导，助力项目精准落地、提质增效：</w:t>
      </w:r>
    </w:p>
    <w:p w14:paraId="69BD3378">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非遗领域专家</w:t>
      </w:r>
      <w:r>
        <w:rPr>
          <w:rFonts w:ascii="宋体" w:hAnsi="宋体" w:eastAsia="宋体" w:cs="宋体"/>
          <w:b w:val="0"/>
          <w:kern w:val="0"/>
          <w:sz w:val="24"/>
          <w:szCs w:val="24"/>
          <w:lang w:val="en-US" w:eastAsia="zh-CN" w:bidi="ar"/>
        </w:rPr>
        <w:t>：指导非遗技艺梳理、数据采集的准确性、文化内涵解读，确保非遗传承的专业性与真实性，避免数字化过程中技艺变形、文化流失。</w:t>
      </w:r>
    </w:p>
    <w:p w14:paraId="0945667D">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算法研发专家</w:t>
      </w:r>
      <w:r>
        <w:rPr>
          <w:rFonts w:ascii="宋体" w:hAnsi="宋体" w:eastAsia="宋体" w:cs="宋体"/>
          <w:b w:val="0"/>
          <w:kern w:val="0"/>
          <w:sz w:val="24"/>
          <w:szCs w:val="24"/>
          <w:lang w:val="en-US" w:eastAsia="zh-CN" w:bidi="ar"/>
        </w:rPr>
        <w:t>：指导算法记忆模型优化、动作识别精度提升、数据处理技术升级，提升模型性能，助力技术突破。</w:t>
      </w:r>
    </w:p>
    <w:p w14:paraId="0989C3A6">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教育教学专家</w:t>
      </w:r>
      <w:r>
        <w:rPr>
          <w:rFonts w:ascii="宋体" w:hAnsi="宋体" w:eastAsia="宋体" w:cs="宋体"/>
          <w:b w:val="0"/>
          <w:kern w:val="0"/>
          <w:sz w:val="24"/>
          <w:szCs w:val="24"/>
          <w:lang w:val="en-US" w:eastAsia="zh-CN" w:bidi="ar"/>
        </w:rPr>
        <w:t>：指导非遗教学课程体系开发、教学方案设计、教学模式创新，确保教学符合教育教学规律，提升教学效果。</w:t>
      </w:r>
    </w:p>
    <w:p w14:paraId="040CCFF5">
      <w:pPr>
        <w:pStyle w:val="3"/>
        <w:keepNext w:val="0"/>
        <w:keepLines w:val="0"/>
        <w:widowControl/>
        <w:suppressLineNumbers w:val="0"/>
      </w:pPr>
      <w:r>
        <w:t>10.2合作与赞助需求</w:t>
      </w:r>
    </w:p>
    <w:p w14:paraId="0BBBAB0F">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面向以下主体寻求多维度支持，实现互利共赢，共同推动非遗教学传承数字化发展：</w:t>
      </w:r>
    </w:p>
    <w:tbl>
      <w:tblPr>
        <w:tblStyle w:val="7"/>
        <w:tblW w:w="81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6"/>
        <w:gridCol w:w="2378"/>
        <w:gridCol w:w="4648"/>
      </w:tblGrid>
      <w:tr w14:paraId="38E3E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1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24303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合作主体</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09C91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核心需求</w:t>
            </w:r>
          </w:p>
        </w:tc>
        <w:tc>
          <w:tcPr>
            <w:tcW w:w="464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F730F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支持方向</w:t>
            </w:r>
          </w:p>
        </w:tc>
      </w:tr>
      <w:tr w14:paraId="46581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1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7754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政府文化/教育部门</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51978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政策扶持、专项资金、资源对接、推广背书</w:t>
            </w:r>
          </w:p>
        </w:tc>
        <w:tc>
          <w:tcPr>
            <w:tcW w:w="464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60546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非遗数字化教学政策支持、专项资金扶持、公共文化场馆落地对接、项目官方推广背书</w:t>
            </w:r>
          </w:p>
        </w:tc>
      </w:tr>
      <w:tr w14:paraId="2A59E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1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FC856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非遗院校/培训机构</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87EB0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教学试点、课程落地、师资培训、需求反馈</w:t>
            </w:r>
          </w:p>
        </w:tc>
        <w:tc>
          <w:tcPr>
            <w:tcW w:w="464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B86DB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非遗教学课程试点、教学场地提供、师资培训合作、教学需求反馈与优化建议</w:t>
            </w:r>
          </w:p>
        </w:tc>
      </w:tr>
      <w:tr w14:paraId="79F21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1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0DD59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文化场馆</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C95DF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技艺展示、教学落地、数据采集、文化传播</w:t>
            </w:r>
          </w:p>
        </w:tc>
        <w:tc>
          <w:tcPr>
            <w:tcW w:w="464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A1EFE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非遗技艺展示与教学场地提供、非遗资源对接、传承人引荐、项目线下推广</w:t>
            </w:r>
          </w:p>
        </w:tc>
      </w:tr>
      <w:tr w14:paraId="0B5B5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1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2FCE8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科技企业</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8CD63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技术支持、资金投入、设备赞助</w:t>
            </w:r>
          </w:p>
        </w:tc>
        <w:tc>
          <w:tcPr>
            <w:tcW w:w="464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4B068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算法技术合作、数据处理设备赞助、项目研发资金投入、教学终端硬件支持</w:t>
            </w:r>
          </w:p>
        </w:tc>
      </w:tr>
      <w:tr w14:paraId="62AF7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1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AA18C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非遗传承人</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67910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技艺数据采集、教学指导、文化解读</w:t>
            </w:r>
          </w:p>
        </w:tc>
        <w:tc>
          <w:tcPr>
            <w:tcW w:w="464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21165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提供标准技艺动作、口传心授语料，参与模型教学适配测试，指导课程开发</w:t>
            </w:r>
          </w:p>
        </w:tc>
      </w:tr>
    </w:tbl>
    <w:p w14:paraId="63DC1EB5">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项目坚持开放合作理念，与各合作主体共享成果、共赢发展，共同助力非遗活态传承。</w:t>
      </w:r>
    </w:p>
    <w:p w14:paraId="1CB6E294">
      <w:pPr>
        <w:pStyle w:val="2"/>
        <w:keepNext w:val="0"/>
        <w:keepLines w:val="0"/>
        <w:widowControl/>
        <w:suppressLineNumbers w:val="0"/>
      </w:pPr>
      <w:r>
        <w:t>十一、风险评估与应对措施</w:t>
      </w:r>
    </w:p>
    <w:p w14:paraId="5DF40926">
      <w:pPr>
        <w:keepNext w:val="0"/>
        <w:keepLines w:val="0"/>
        <w:widowControl/>
        <w:suppressLineNumbers w:val="0"/>
        <w:spacing w:line="360" w:lineRule="auto"/>
        <w:ind w:firstLine="480"/>
        <w:jc w:val="left"/>
      </w:pPr>
      <w:r>
        <w:rPr>
          <w:rFonts w:ascii="宋体" w:hAnsi="宋体" w:eastAsia="宋体" w:cs="宋体"/>
          <w:b w:val="0"/>
          <w:kern w:val="0"/>
          <w:sz w:val="24"/>
          <w:szCs w:val="24"/>
          <w:lang w:val="en-US" w:eastAsia="zh-CN" w:bidi="ar"/>
        </w:rPr>
        <w:t>项目建立全面风险管控体系，对技术、资源、市场、资金、教学适配、硬件通信六大类风险进行预判，并制定针对性应对措施，保障项目平稳推进。</w:t>
      </w:r>
    </w:p>
    <w:tbl>
      <w:tblPr>
        <w:tblStyle w:val="7"/>
        <w:tblW w:w="81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7"/>
        <w:gridCol w:w="2378"/>
        <w:gridCol w:w="4626"/>
      </w:tblGrid>
      <w:tr w14:paraId="50543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1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995BE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风险类型</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1818D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核心风险点</w:t>
            </w:r>
          </w:p>
        </w:tc>
        <w:tc>
          <w:tcPr>
            <w:tcW w:w="46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F4AEF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应对措施</w:t>
            </w:r>
          </w:p>
        </w:tc>
      </w:tr>
      <w:tr w14:paraId="132B5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1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9E5E0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技术风险</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09326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1.算法记忆模型动作识别精度未达预期；2.模型与教学平台兼容性差；3.技术迭代速度跟不上行业发展</w:t>
            </w:r>
          </w:p>
        </w:tc>
        <w:tc>
          <w:tcPr>
            <w:tcW w:w="46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C4643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1.组建专业算法研发团队，联合高校进行技术攻关，持续优化算法；2.建立严格的联调测试机制，提前规避兼容性问题，定期进行系统维护；3.持续关注行业技术动态，预留技术迭代研发资金，加强与科技企业合作</w:t>
            </w:r>
          </w:p>
        </w:tc>
      </w:tr>
      <w:tr w14:paraId="437AA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1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30D4D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资源风险</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C8156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1.非遗传承人对接困难，技艺数据采集不完整、不精准；2.非遗教学资源整合不足，课程适配性差</w:t>
            </w:r>
          </w:p>
        </w:tc>
        <w:tc>
          <w:tcPr>
            <w:tcW w:w="46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D4216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依托政府文化部门对接核心传承人，签订正式合作协议，提供技术与资金支持；2.组建专业数据采集团队，全程配合传承人完成数据采集，邀请非遗专家审核数据；3.与非遗院校、教学专家深度合作，共同开发课程，确保教学适配性</w:t>
            </w:r>
          </w:p>
        </w:tc>
      </w:tr>
      <w:tr w14:paraId="752BF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1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DB4F1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市场风险</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372CF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1.项目推广落地难度大，用户（院校/场馆）接受度低；2.同类竞品出现，市场竞争加剧</w:t>
            </w:r>
          </w:p>
        </w:tc>
        <w:tc>
          <w:tcPr>
            <w:tcW w:w="46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26FC8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采用“试点先行+口碑传播”的推广策略，打造标杆教学案例，加大项目宣传力度；2.强化核心技术与模式创新，构建差异化竞争优势，提升项目核心竞争力；3.建立完善的用户服务体系，及时响应合作单位需求，提升用户粘性</w:t>
            </w:r>
          </w:p>
        </w:tc>
      </w:tr>
      <w:tr w14:paraId="650C1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1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D1DDE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资金风险</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137A5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1.研发投入超出预算，资金短缺；2.项目运营初期盈利不足，难以维持</w:t>
            </w:r>
          </w:p>
        </w:tc>
        <w:tc>
          <w:tcPr>
            <w:tcW w:w="46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A6C82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制定详细的预算方案，严格控制研发成本，合理分配资金，寻求政府专项资金与企业赞助支持；2.提前布局多元化盈利模式（课程服务、模型定制、技术服务），实现早期现金流平衡；3.优化运营成本，提高资源利用效率</w:t>
            </w:r>
          </w:p>
        </w:tc>
      </w:tr>
      <w:tr w14:paraId="6E0EE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1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5772F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教学适配风险</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0C4F4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1.算法记忆模型与非遗教学场景适配性差；2.学习者对模型教学接受度低，教学效果未达预期</w:t>
            </w:r>
          </w:p>
        </w:tc>
        <w:tc>
          <w:tcPr>
            <w:tcW w:w="46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CB498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1.试点期间广泛收集教师、学习者反馈，持续优化模型教学适配方案；2.开展师资培训，指导教师熟练运用模型开展教学，提升教学效果；3.优化教学交互体验，简化操作流程，增强教学趣味性，提升学习者接受度</w:t>
            </w:r>
          </w:p>
        </w:tc>
      </w:tr>
      <w:tr w14:paraId="319FE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1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5D4BE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硬件通信风险</w:t>
            </w:r>
          </w:p>
        </w:tc>
        <w:tc>
          <w:tcPr>
            <w:tcW w:w="237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4822F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1.最终主控芯片调整可能导致蓝牙接口方案发生变化；2.多模块同时运行时可能出现供电波动或通信干扰；3.手机型号及系统环境差异可能影响BLE连接稳定性。</w:t>
            </w:r>
          </w:p>
        </w:tc>
        <w:tc>
          <w:tcPr>
            <w:tcW w:w="46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8428E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蓝牙通信采用模块化设计，避免与单一主控型号强绑定，根据最终硬件方案选择主控内置BLE或外接BLE通信模块；2.在整机联调阶段开展供电稳定性和无线通信测试，优化供电与模块布局；3.通过多型号手机进行连接、数据收发及异常重连测试，并在软件端设置连接状态提示与重新连接机制，提高系统实际使用中的可靠性。4.摄像头链路风险应对：针对USB摄像头高分辨率视频数据量大、ESP32-S3算力和片上存储有限的问题，研发阶段采用分辨率降级、帧率控制、关键帧缓存和轻量模型压缩策略；外部Flash仅承担短时缓存和特征留存，不作为高清视频长期存储介质。若后续本地视觉识别复杂度提升，可预留K230等边缘视觉计算模块作为升级方案。</w:t>
            </w:r>
          </w:p>
        </w:tc>
      </w:tr>
    </w:tbl>
    <w:p w14:paraId="7101DEE5">
      <w:pPr>
        <w:pStyle w:val="2"/>
        <w:keepNext w:val="0"/>
        <w:keepLines w:val="0"/>
        <w:widowControl/>
        <w:suppressLineNumbers w:val="0"/>
      </w:pPr>
      <w:r>
        <w:t>十二、预期效益</w:t>
      </w:r>
    </w:p>
    <w:p w14:paraId="07C25501">
      <w:pPr>
        <w:pStyle w:val="3"/>
        <w:keepNext w:val="0"/>
        <w:keepLines w:val="0"/>
        <w:widowControl/>
        <w:suppressLineNumbers w:val="0"/>
      </w:pPr>
      <w:r>
        <w:t>12.1社会效益</w:t>
      </w:r>
    </w:p>
    <w:p w14:paraId="31D47E22">
      <w:pPr>
        <w:keepNext w:val="0"/>
        <w:keepLines w:val="0"/>
        <w:widowControl/>
        <w:suppressLineNumbers w:val="0"/>
        <w:spacing w:line="360" w:lineRule="auto"/>
        <w:ind w:left="720" w:firstLine="480"/>
        <w:jc w:val="left"/>
      </w:pPr>
      <w:r>
        <w:rPr>
          <w:rStyle w:val="9"/>
          <w:rFonts w:ascii="宋体" w:hAnsi="宋体" w:eastAsia="宋体" w:cs="宋体"/>
          <w:b w:val="0"/>
          <w:kern w:val="0"/>
          <w:sz w:val="24"/>
          <w:szCs w:val="24"/>
          <w:lang w:val="en-US" w:eastAsia="zh-CN" w:bidi="ar"/>
        </w:rPr>
        <w:t>助力非遗活态传承，守护文化根脉</w:t>
      </w:r>
      <w:r>
        <w:rPr>
          <w:rFonts w:ascii="宋体" w:hAnsi="宋体" w:eastAsia="宋体" w:cs="宋体"/>
          <w:b w:val="0"/>
          <w:kern w:val="0"/>
          <w:sz w:val="24"/>
          <w:szCs w:val="24"/>
          <w:lang w:val="en-US" w:eastAsia="zh-CN" w:bidi="ar"/>
        </w:rPr>
        <w:t>通过算法记忆模型实现非遗技艺的精准数字化留存，破解传承人断层导致的技艺失传难题，让珍贵的传统技艺以数字形式永久保存、代代相传。推动中华优秀传统文化的年轻化、规模化传播，提升大众尤其是青少年的非遗认知与文化认同，增强民族文化自信，助力文化强国建设。</w:t>
      </w:r>
    </w:p>
    <w:p w14:paraId="059B2C16">
      <w:pPr>
        <w:keepNext w:val="0"/>
        <w:keepLines w:val="0"/>
        <w:widowControl/>
        <w:suppressLineNumbers w:val="0"/>
        <w:spacing w:line="360" w:lineRule="auto"/>
        <w:ind w:left="720" w:firstLine="480"/>
        <w:jc w:val="left"/>
      </w:pPr>
      <w:r>
        <w:rPr>
          <w:rStyle w:val="9"/>
          <w:rFonts w:ascii="宋体" w:hAnsi="宋体" w:eastAsia="宋体" w:cs="宋体"/>
          <w:b w:val="0"/>
          <w:kern w:val="0"/>
          <w:sz w:val="24"/>
          <w:szCs w:val="24"/>
          <w:lang w:val="en-US" w:eastAsia="zh-CN" w:bidi="ar"/>
        </w:rPr>
        <w:t>推动非遗教育普及，惠及大众群体</w:t>
      </w:r>
      <w:r>
        <w:rPr>
          <w:rFonts w:ascii="宋体" w:hAnsi="宋体" w:eastAsia="宋体" w:cs="宋体"/>
          <w:b w:val="0"/>
          <w:kern w:val="0"/>
          <w:sz w:val="24"/>
          <w:szCs w:val="24"/>
          <w:lang w:val="en-US" w:eastAsia="zh-CN" w:bidi="ar"/>
        </w:rPr>
        <w:t>构建标准化、智能化的非遗教学体系，降低非遗学习门槛，推动非遗教学走进中小学、社区、培训机构，让更多人有机会接触、学习传统技艺。打破传统师徒制的小众局限，实现非遗技艺普惠式普及，丰富公共文化服务供给，提升全民文化素养。</w:t>
      </w:r>
    </w:p>
    <w:p w14:paraId="60E4FF97">
      <w:pPr>
        <w:keepNext w:val="0"/>
        <w:keepLines w:val="0"/>
        <w:widowControl/>
        <w:suppressLineNumbers w:val="0"/>
        <w:spacing w:line="360" w:lineRule="auto"/>
        <w:ind w:left="720" w:firstLine="480"/>
        <w:jc w:val="left"/>
      </w:pPr>
      <w:r>
        <w:rPr>
          <w:rStyle w:val="9"/>
          <w:rFonts w:ascii="宋体" w:hAnsi="宋体" w:eastAsia="宋体" w:cs="宋体"/>
          <w:b w:val="0"/>
          <w:kern w:val="0"/>
          <w:sz w:val="24"/>
          <w:szCs w:val="24"/>
          <w:lang w:val="en-US" w:eastAsia="zh-CN" w:bidi="ar"/>
        </w:rPr>
        <w:t>培育非遗传承人才，壮大传承队伍</w:t>
      </w:r>
      <w:r>
        <w:rPr>
          <w:rFonts w:ascii="宋体" w:hAnsi="宋体" w:eastAsia="宋体" w:cs="宋体"/>
          <w:b w:val="0"/>
          <w:kern w:val="0"/>
          <w:sz w:val="24"/>
          <w:szCs w:val="24"/>
          <w:lang w:val="en-US" w:eastAsia="zh-CN" w:bidi="ar"/>
        </w:rPr>
        <w:t>通过精准化教学指导与系统化课程体系，缩短非遗学习周期，提升学习效果，培育一批具备专业非遗技艺的青年传承人，壮大非遗传承队伍。同时培养大批非遗爱好者与传播者，为非遗传承注入新生力量，推动非遗传承行业可持续发展。</w:t>
      </w:r>
    </w:p>
    <w:p w14:paraId="351E2939">
      <w:pPr>
        <w:pStyle w:val="3"/>
        <w:keepNext w:val="0"/>
        <w:keepLines w:val="0"/>
        <w:widowControl/>
        <w:suppressLineNumbers w:val="0"/>
      </w:pPr>
      <w:r>
        <w:t>12.2教育效益</w:t>
      </w:r>
    </w:p>
    <w:p w14:paraId="70B51D48">
      <w:pPr>
        <w:keepNext w:val="0"/>
        <w:keepLines w:val="0"/>
        <w:widowControl/>
        <w:suppressLineNumbers w:val="0"/>
        <w:spacing w:line="360" w:lineRule="auto"/>
        <w:ind w:left="720" w:firstLine="480"/>
        <w:jc w:val="left"/>
      </w:pPr>
      <w:r>
        <w:rPr>
          <w:rStyle w:val="9"/>
          <w:rFonts w:ascii="宋体" w:hAnsi="宋体" w:eastAsia="宋体" w:cs="宋体"/>
          <w:b w:val="0"/>
          <w:kern w:val="0"/>
          <w:sz w:val="24"/>
          <w:szCs w:val="24"/>
          <w:lang w:val="en-US" w:eastAsia="zh-CN" w:bidi="ar"/>
        </w:rPr>
        <w:t>创新非遗教学模式，赋能教育数字化</w:t>
      </w:r>
      <w:r>
        <w:rPr>
          <w:rFonts w:ascii="宋体" w:hAnsi="宋体" w:eastAsia="宋体" w:cs="宋体"/>
          <w:b w:val="0"/>
          <w:kern w:val="0"/>
          <w:sz w:val="24"/>
          <w:szCs w:val="24"/>
          <w:lang w:val="en-US" w:eastAsia="zh-CN" w:bidi="ar"/>
        </w:rPr>
        <w:t>打破传统“口传心授”的教学局限，打造“算法+智能教学”的新型非遗教学模式，提升非遗教学的标准化、智能化水平。为教育领域提供数字化教学新工具、新方案，助力教育数字化转型，丰富素质教育与美育教育内容。</w:t>
      </w:r>
    </w:p>
    <w:p w14:paraId="101CDD52">
      <w:pPr>
        <w:keepNext w:val="0"/>
        <w:keepLines w:val="0"/>
        <w:widowControl/>
        <w:suppressLineNumbers w:val="0"/>
        <w:spacing w:line="360" w:lineRule="auto"/>
        <w:ind w:left="720" w:firstLine="480"/>
        <w:jc w:val="left"/>
      </w:pPr>
      <w:r>
        <w:rPr>
          <w:rStyle w:val="9"/>
          <w:rFonts w:ascii="宋体" w:hAnsi="宋体" w:eastAsia="宋体" w:cs="宋体"/>
          <w:b w:val="0"/>
          <w:kern w:val="0"/>
          <w:sz w:val="24"/>
          <w:szCs w:val="24"/>
          <w:lang w:val="en-US" w:eastAsia="zh-CN" w:bidi="ar"/>
        </w:rPr>
        <w:t>提升教学效率与效果，降低学习门槛</w:t>
      </w:r>
      <w:r>
        <w:rPr>
          <w:rFonts w:ascii="宋体" w:hAnsi="宋体" w:eastAsia="宋体" w:cs="宋体"/>
          <w:b w:val="0"/>
          <w:kern w:val="0"/>
          <w:sz w:val="24"/>
          <w:szCs w:val="24"/>
          <w:lang w:val="en-US" w:eastAsia="zh-CN" w:bidi="ar"/>
        </w:rPr>
        <w:t>通过精准动作比对、个性化指导，解决传统教学中指导不精准、效率低的问题，帮助学习者快速掌握非遗技艺。标准化的教学体系与智能化的纠错指导，降低了非遗技艺的学习难度，让普通人也能学会传统技艺，提升教学普惠性。</w:t>
      </w:r>
    </w:p>
    <w:p w14:paraId="6074FFB5">
      <w:pPr>
        <w:keepNext w:val="0"/>
        <w:keepLines w:val="0"/>
        <w:widowControl/>
        <w:suppressLineNumbers w:val="0"/>
        <w:spacing w:line="360" w:lineRule="auto"/>
        <w:ind w:left="720" w:firstLine="480"/>
        <w:jc w:val="left"/>
      </w:pPr>
      <w:r>
        <w:rPr>
          <w:rStyle w:val="9"/>
          <w:rFonts w:ascii="宋体" w:hAnsi="宋体" w:eastAsia="宋体" w:cs="宋体"/>
          <w:b w:val="0"/>
          <w:kern w:val="0"/>
          <w:sz w:val="24"/>
          <w:szCs w:val="24"/>
          <w:lang w:val="en-US" w:eastAsia="zh-CN" w:bidi="ar"/>
        </w:rPr>
        <w:t>完善非遗教学体系，填补行业空白</w:t>
      </w:r>
      <w:r>
        <w:rPr>
          <w:rFonts w:ascii="宋体" w:hAnsi="宋体" w:eastAsia="宋体" w:cs="宋体"/>
          <w:b w:val="0"/>
          <w:kern w:val="0"/>
          <w:sz w:val="24"/>
          <w:szCs w:val="24"/>
          <w:lang w:val="en-US" w:eastAsia="zh-CN" w:bidi="ar"/>
        </w:rPr>
        <w:t>构建系统化的非遗教学课程与评价体系，填补非遗标准化教学的行业空白，为非遗院校、培训机构提供专业的教学解决方案。推动非遗教学走向规范化、体系化，提升非遗教育整体水平。</w:t>
      </w:r>
    </w:p>
    <w:p w14:paraId="3CBCC9A1">
      <w:pPr>
        <w:keepNext w:val="0"/>
        <w:keepLines w:val="0"/>
        <w:widowControl/>
        <w:numPr>
          <w:ilvl w:val="0"/>
          <w:numId w:val="0"/>
        </w:numPr>
        <w:suppressLineNumbers w:val="0"/>
        <w:spacing w:before="0" w:beforeAutospacing="1" w:after="0" w:afterAutospacing="1" w:line="360" w:lineRule="auto"/>
        <w:ind w:firstLine="480"/>
        <w:jc w:val="left"/>
      </w:pPr>
    </w:p>
    <w:p w14:paraId="0B998608">
      <w:pPr>
        <w:pStyle w:val="3"/>
        <w:keepNext w:val="0"/>
        <w:keepLines w:val="0"/>
        <w:widowControl/>
        <w:suppressLineNumbers w:val="0"/>
      </w:pPr>
      <w:r>
        <w:t>12.3市场效益</w:t>
      </w:r>
    </w:p>
    <w:p w14:paraId="4E218C90">
      <w:pPr>
        <w:keepNext w:val="0"/>
        <w:keepLines w:val="0"/>
        <w:widowControl/>
        <w:numPr>
          <w:ilvl w:val="0"/>
          <w:numId w:val="0"/>
        </w:numPr>
        <w:suppressLineNumbers w:val="0"/>
        <w:spacing w:before="0" w:beforeAutospacing="1" w:after="0" w:afterAutospacing="1" w:line="360" w:lineRule="auto"/>
        <w:ind w:firstLine="480"/>
        <w:jc w:val="left"/>
      </w:pPr>
    </w:p>
    <w:p w14:paraId="79128AE1">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盈利模式清晰，商业可持续</w:t>
      </w:r>
      <w:r>
        <w:rPr>
          <w:rFonts w:ascii="宋体" w:hAnsi="宋体" w:eastAsia="宋体" w:cs="宋体"/>
          <w:b w:val="0"/>
          <w:kern w:val="0"/>
          <w:sz w:val="24"/>
          <w:szCs w:val="24"/>
          <w:lang w:val="en-US" w:eastAsia="zh-CN" w:bidi="ar"/>
        </w:rPr>
        <w:t>形成“课程服务+模型定制+技术服务+数据服务”的多元化盈利模式，具备较强的盈利能力与可持续性。项目可通过硬件销售、课程授权、定制服务、运维服务等多种方式实现营收，具备良好的商业回报。</w:t>
      </w:r>
    </w:p>
    <w:p w14:paraId="45F6DA9F">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市场空间广阔，增长潜力巨大</w:t>
      </w:r>
      <w:r>
        <w:rPr>
          <w:rFonts w:ascii="宋体" w:hAnsi="宋体" w:eastAsia="宋体" w:cs="宋体"/>
          <w:b w:val="0"/>
          <w:kern w:val="0"/>
          <w:sz w:val="24"/>
          <w:szCs w:val="24"/>
          <w:lang w:val="en-US" w:eastAsia="zh-CN" w:bidi="ar"/>
        </w:rPr>
        <w:t>全国有数万家非遗院校、文化场馆、培训机构，数十万所中小学，非遗教学需求巨大。同时国家大力支持文化数字化、非遗进校园，政策红利持续释放，项目市场发展前景广阔，增长潜力巨大。</w:t>
      </w:r>
    </w:p>
    <w:p w14:paraId="153D16AD">
      <w:pPr>
        <w:keepNext w:val="0"/>
        <w:keepLines w:val="0"/>
        <w:widowControl/>
        <w:suppressLineNumbers w:val="0"/>
        <w:spacing w:line="360" w:lineRule="auto"/>
        <w:ind w:firstLine="480"/>
        <w:jc w:val="left"/>
      </w:pPr>
      <w:r>
        <w:rPr>
          <w:rStyle w:val="9"/>
          <w:rFonts w:ascii="宋体" w:hAnsi="宋体" w:eastAsia="宋体" w:cs="宋体"/>
          <w:b w:val="0"/>
          <w:kern w:val="0"/>
          <w:sz w:val="24"/>
          <w:szCs w:val="24"/>
          <w:lang w:val="en-US" w:eastAsia="zh-CN" w:bidi="ar"/>
        </w:rPr>
        <w:t>品牌价值凸显，引领行业发展</w:t>
      </w:r>
      <w:r>
        <w:rPr>
          <w:rFonts w:ascii="宋体" w:hAnsi="宋体" w:eastAsia="宋体" w:cs="宋体"/>
          <w:b w:val="0"/>
          <w:kern w:val="0"/>
          <w:sz w:val="24"/>
          <w:szCs w:val="24"/>
          <w:lang w:val="en-US" w:eastAsia="zh-CN" w:bidi="ar"/>
        </w:rPr>
        <w:t>打造“非遗之手・触控传承”核心品牌，成为国内“算法记忆+非遗教学”融合的标杆项目，具备较高的品牌价值与市场影响力。项目模式可复制、可推广，可拓展全国市场并实现规模化盈利，引领非遗数字化教学行业发展方向。</w:t>
      </w:r>
    </w:p>
    <w:p w14:paraId="337042F8">
      <w:pPr>
        <w:keepNext w:val="0"/>
        <w:keepLines w:val="0"/>
        <w:widowControl/>
        <w:numPr>
          <w:ilvl w:val="0"/>
          <w:numId w:val="0"/>
        </w:numPr>
        <w:suppressLineNumbers w:val="0"/>
        <w:spacing w:before="0" w:beforeAutospacing="1" w:after="0" w:afterAutospacing="1" w:line="360" w:lineRule="auto"/>
        <w:ind w:firstLine="480"/>
        <w:jc w:val="left"/>
      </w:pPr>
    </w:p>
    <w:p w14:paraId="4AF51C87">
      <w:pPr>
        <w:pStyle w:val="2"/>
        <w:keepNext w:val="0"/>
        <w:keepLines w:val="0"/>
        <w:widowControl/>
        <w:suppressLineNumbers w:val="0"/>
      </w:pPr>
      <w:r>
        <w:t>附录</w:t>
      </w:r>
    </w:p>
    <w:p w14:paraId="70C0DC56">
      <w:pPr>
        <w:pStyle w:val="3"/>
        <w:keepNext w:val="0"/>
        <w:keepLines w:val="0"/>
        <w:widowControl/>
        <w:suppressLineNumbers w:val="0"/>
      </w:pPr>
      <w:r>
        <w:t>附录1拟覆盖非遗品类清单</w:t>
      </w:r>
    </w:p>
    <w:p w14:paraId="3DFF40E2">
      <w:pPr>
        <w:keepNext w:val="0"/>
        <w:keepLines w:val="0"/>
        <w:widowControl/>
        <w:suppressLineNumbers w:val="0"/>
        <w:spacing w:line="360" w:lineRule="auto"/>
        <w:ind w:left="720" w:firstLine="480"/>
        <w:jc w:val="left"/>
      </w:pPr>
      <w:r>
        <w:rPr>
          <w:rFonts w:ascii="宋体" w:hAnsi="宋体" w:eastAsia="宋体" w:cs="宋体"/>
          <w:b w:val="0"/>
          <w:kern w:val="0"/>
          <w:sz w:val="24"/>
          <w:szCs w:val="24"/>
          <w:lang w:val="en-US" w:eastAsia="zh-CN" w:bidi="ar"/>
        </w:rPr>
        <w:t>传统手工艺类：剪纸、刺绣、陶艺（开封官瓷）、木雕、朱仙镇木板年画、皮影制作、竹编技艺、传统织造；</w:t>
      </w:r>
    </w:p>
    <w:p w14:paraId="2440DE32">
      <w:pPr>
        <w:keepNext w:val="0"/>
        <w:keepLines w:val="0"/>
        <w:widowControl/>
        <w:suppressLineNumbers w:val="0"/>
        <w:spacing w:line="360" w:lineRule="auto"/>
        <w:ind w:left="720" w:firstLine="480"/>
        <w:jc w:val="left"/>
      </w:pPr>
      <w:r>
        <w:rPr>
          <w:rFonts w:ascii="宋体" w:hAnsi="宋体" w:eastAsia="宋体" w:cs="宋体"/>
          <w:b w:val="0"/>
          <w:kern w:val="0"/>
          <w:sz w:val="24"/>
          <w:szCs w:val="24"/>
          <w:lang w:val="en-US" w:eastAsia="zh-CN" w:bidi="ar"/>
        </w:rPr>
        <w:t>戏曲民俗类：豫剧身段、传统舞狮、传统杂技、民俗礼仪、太极拳；</w:t>
      </w:r>
    </w:p>
    <w:p w14:paraId="58DA0558">
      <w:pPr>
        <w:keepNext w:val="0"/>
        <w:keepLines w:val="0"/>
        <w:widowControl/>
        <w:suppressLineNumbers w:val="0"/>
        <w:spacing w:line="360" w:lineRule="auto"/>
        <w:ind w:left="720" w:firstLine="480"/>
        <w:jc w:val="left"/>
      </w:pPr>
      <w:r>
        <w:rPr>
          <w:rFonts w:ascii="宋体" w:hAnsi="宋体" w:eastAsia="宋体" w:cs="宋体"/>
          <w:b w:val="0"/>
          <w:kern w:val="0"/>
          <w:sz w:val="24"/>
          <w:szCs w:val="24"/>
          <w:lang w:val="en-US" w:eastAsia="zh-CN" w:bidi="ar"/>
        </w:rPr>
        <w:t>传统技艺类：古法酿酒、中药炮制、传统制茶、传统面食制作。</w:t>
      </w:r>
    </w:p>
    <w:p w14:paraId="5D2D9590">
      <w:pPr>
        <w:pStyle w:val="3"/>
        <w:keepNext w:val="0"/>
        <w:keepLines w:val="0"/>
        <w:widowControl/>
        <w:suppressLineNumbers w:val="0"/>
      </w:pPr>
      <w:r>
        <w:t>附录2核心技术参数参考</w:t>
      </w:r>
    </w:p>
    <w:tbl>
      <w:tblPr>
        <w:tblStyle w:val="7"/>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99"/>
        <w:gridCol w:w="3601"/>
      </w:tblGrid>
      <w:tr w14:paraId="0BDBF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6DB86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技术指标</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C4F39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核心参数</w:t>
            </w:r>
          </w:p>
        </w:tc>
      </w:tr>
      <w:tr w14:paraId="2C862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D4BD4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动作识别精度</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07E66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≥95%</w:t>
            </w:r>
          </w:p>
        </w:tc>
      </w:tr>
      <w:tr w14:paraId="1F47D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F7F6F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语义解读响应延迟</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5B301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≤0.5s</w:t>
            </w:r>
          </w:p>
        </w:tc>
      </w:tr>
      <w:tr w14:paraId="39DCC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5FF73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模型迭代周期</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BA20D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每季度1次小迭代，每年1次大迭代</w:t>
            </w:r>
          </w:p>
        </w:tc>
      </w:tr>
      <w:tr w14:paraId="217A6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9DC4A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数据采集精度</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D89BC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关节角度误差≤1°，动作节奏误差≤0.1s</w:t>
            </w:r>
          </w:p>
        </w:tc>
      </w:tr>
      <w:tr w14:paraId="1323D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C33DD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线上平台响应速度</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CBF77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≤1s</w:t>
            </w:r>
          </w:p>
        </w:tc>
      </w:tr>
      <w:tr w14:paraId="1E6A0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A3754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单品类技艺数据采集周期</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161D8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15-20天</w:t>
            </w:r>
          </w:p>
        </w:tc>
      </w:tr>
      <w:tr w14:paraId="1F08C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6F393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设备连续运行时长</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4327E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≥8小时</w:t>
            </w:r>
          </w:p>
        </w:tc>
      </w:tr>
      <w:tr w14:paraId="2003C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2B222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BLE连接距离</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AEBD6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≥10米</w:t>
            </w:r>
          </w:p>
        </w:tc>
      </w:tr>
    </w:tbl>
    <w:p w14:paraId="70F895AF">
      <w:pPr>
        <w:pStyle w:val="3"/>
        <w:keepNext w:val="0"/>
        <w:keepLines w:val="0"/>
        <w:widowControl/>
        <w:suppressLineNumbers w:val="0"/>
      </w:pPr>
      <w:r>
        <w:t>附录3拟合作非遗传承人（意向）</w:t>
      </w:r>
    </w:p>
    <w:tbl>
      <w:tblPr>
        <w:tblStyle w:val="7"/>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4"/>
        <w:gridCol w:w="1819"/>
        <w:gridCol w:w="1927"/>
      </w:tblGrid>
      <w:tr w14:paraId="50A94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6C307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非遗品类</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FA875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传承人姓名</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D00A7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级别</w:t>
            </w:r>
          </w:p>
        </w:tc>
      </w:tr>
      <w:tr w14:paraId="05B57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A35AE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朱仙镇木板年画</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9950B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待定</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E2557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国家级/省级</w:t>
            </w:r>
          </w:p>
        </w:tc>
      </w:tr>
      <w:tr w14:paraId="34BC5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448C8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开封官瓷</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2D7C8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待定</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7ACE9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省级</w:t>
            </w:r>
          </w:p>
        </w:tc>
      </w:tr>
      <w:tr w14:paraId="38DE6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1E77C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河南剪纸</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CCAB7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待定</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EF361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省级</w:t>
            </w:r>
          </w:p>
        </w:tc>
      </w:tr>
      <w:tr w14:paraId="08367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692D5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传统陶艺</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10294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待定</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54DB6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市级</w:t>
            </w:r>
          </w:p>
        </w:tc>
      </w:tr>
    </w:tbl>
    <w:p w14:paraId="2729CDD2">
      <w:pPr>
        <w:spacing w:line="360" w:lineRule="auto"/>
        <w:ind w:firstLine="480"/>
        <w:jc w:val="left"/>
      </w:pPr>
    </w:p>
    <w:sectPr>
      <w:footerReference r:id="rId8"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HarmonyOS San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HarmonyOS Sans"/>
    <w:panose1 w:val="020F0502020204030204"/>
    <w:charset w:val="00"/>
    <w:family w:val="swiss"/>
    <w:pitch w:val="default"/>
    <w:sig w:usb0="00000000" w:usb1="00000000" w:usb2="00000001" w:usb3="00000000" w:csb0="0000019F" w:csb1="00000000"/>
  </w:font>
  <w:font w:name="HarmonyOS Sans">
    <w:panose1 w:val="00000500000000000000"/>
    <w:charset w:val="00"/>
    <w:family w:val="auto"/>
    <w:pitch w:val="default"/>
    <w:sig w:usb0="A0000287" w:usb1="00000011" w:usb2="00000000" w:usb3="00000000" w:csb0="00000001"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FTToken">
    <w:panose1 w:val="05000000000000000000"/>
    <w:charset w:val="00"/>
    <w:family w:val="auto"/>
    <w:pitch w:val="default"/>
    <w:sig w:usb0="00000000" w:usb1="10000000" w:usb2="00000000" w:usb3="00000000" w:csb0="80000000" w:csb1="00000000"/>
  </w:font>
  <w:font w:name="鸿蒙黑体">
    <w:panose1 w:val="00000500000000000000"/>
    <w:charset w:val="86"/>
    <w:family w:val="auto"/>
    <w:pitch w:val="default"/>
    <w:sig w:usb0="A00002BF" w:usb1="18E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91A68">
    <w:pPr>
      <w:pStyle w:val="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B64EA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3B64EA5">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E97FC">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56924">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D856924">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E1D32">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EFBF69">
                          <w:pPr>
                            <w:pStyle w:val="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2EFBF69">
                    <w:pPr>
                      <w:pStyle w:val="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18C29">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86643"/>
    <w:multiLevelType w:val="multilevel"/>
    <w:tmpl w:val="888866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BD2FE8"/>
    <w:multiLevelType w:val="multilevel"/>
    <w:tmpl w:val="93BD2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B28C71E"/>
    <w:multiLevelType w:val="multilevel"/>
    <w:tmpl w:val="AB28C7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0244375"/>
    <w:multiLevelType w:val="multilevel"/>
    <w:tmpl w:val="10244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DA5DE6A"/>
    <w:multiLevelType w:val="multilevel"/>
    <w:tmpl w:val="3DA5DE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553E7BD"/>
    <w:multiLevelType w:val="multilevel"/>
    <w:tmpl w:val="6553E7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332EB0"/>
    <w:rsid w:val="18806AF6"/>
    <w:rsid w:val="22D514B6"/>
    <w:rsid w:val="43332EB0"/>
    <w:rsid w:val="53C8054B"/>
    <w:rsid w:val="56E37E59"/>
    <w:rsid w:val="5BB34DA3"/>
    <w:rsid w:val="DFBFAD38"/>
    <w:rsid w:val="FBBE3867"/>
    <w:rsid w:val="FDCF2CB9"/>
    <w:rsid w:val="FEEFB409"/>
    <w:rsid w:val="FFFD9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jc w:val="left"/>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240" w:beforeAutospacing="1" w:after="240" w:afterAutospacing="1"/>
      <w:jc w:val="left"/>
    </w:pPr>
    <w:rPr>
      <w:rFonts w:hint="eastAsia" w:ascii="黑体" w:hAnsi="黑体" w:eastAsia="黑体" w:cs="宋体"/>
      <w:b/>
      <w:bCs/>
      <w:kern w:val="0"/>
      <w:sz w:val="32"/>
      <w:szCs w:val="36"/>
      <w:lang w:val="en-US" w:eastAsia="zh-CN" w:bidi="ar"/>
    </w:rPr>
  </w:style>
  <w:style w:type="paragraph" w:styleId="3">
    <w:name w:val="heading 3"/>
    <w:basedOn w:val="1"/>
    <w:next w:val="1"/>
    <w:semiHidden/>
    <w:unhideWhenUsed/>
    <w:qFormat/>
    <w:uiPriority w:val="0"/>
    <w:pPr>
      <w:spacing w:before="120" w:beforeAutospacing="1" w:after="120" w:afterAutospacing="1"/>
      <w:jc w:val="left"/>
    </w:pPr>
    <w:rPr>
      <w:rFonts w:hint="eastAsia" w:ascii="黑体" w:hAnsi="黑体" w:eastAsia="黑体" w:cs="宋体"/>
      <w:b/>
      <w:bCs/>
      <w:kern w:val="0"/>
      <w:sz w:val="28"/>
      <w:szCs w:val="27"/>
      <w:lang w:val="en-US" w:eastAsia="zh-CN" w:bidi="ar"/>
    </w:rPr>
  </w:style>
  <w:style w:type="paragraph" w:styleId="4">
    <w:name w:val="heading 4"/>
    <w:basedOn w:val="1"/>
    <w:next w:val="1"/>
    <w:semiHidden/>
    <w:unhideWhenUsed/>
    <w:qFormat/>
    <w:uiPriority w:val="0"/>
    <w:pPr>
      <w:spacing w:before="120" w:beforeAutospacing="1" w:after="120" w:afterAutospacing="1"/>
      <w:jc w:val="left"/>
    </w:pPr>
    <w:rPr>
      <w:rFonts w:hint="eastAsia" w:ascii="黑体" w:hAnsi="黑体" w:eastAsia="黑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Strong"/>
    <w:basedOn w:val="8"/>
    <w:qFormat/>
    <w:uiPriority w:val="0"/>
    <w:rPr>
      <w:b/>
    </w:rPr>
  </w:style>
  <w:style w:type="character" w:styleId="10">
    <w:name w:val="Emphasis"/>
    <w:basedOn w:val="8"/>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24770</Words>
  <Characters>26950</Characters>
  <Lines>0</Lines>
  <Paragraphs>0</Paragraphs>
  <TotalTime>24</TotalTime>
  <ScaleCrop>false</ScaleCrop>
  <LinksUpToDate>false</LinksUpToDate>
  <CharactersWithSpaces>26997</CharactersWithSpaces>
  <Application>WPS Office_12.1.3.28048_F1E327BC-269C-435d-A152-05C5408002CA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2026-09-04T07:36:00Z</dcterms:created>
  <dc:creator>：</dc:creator>
  <cp:lastModifiedBy>WPS_1675496370</cp:lastModifiedBy>
  <dcterms:modified xsi:type="dcterms:W3CDTF">2026-09-04T13:24:37Z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2052-12.1.3.28048</vt:lpwstr>
  </property>
  <property fmtid="{D5CDD505-2E9C-101B-9397-08002B2CF9AE}" pid="3" name="ICV">
    <vt:lpwstr>E8172D887993014103559A6A9868D8C8_43</vt:lpwstr>
  </property>
  <property fmtid="{D5CDD505-2E9C-101B-9397-08002B2CF9AE}" pid="4" name="KSOTemplateDocerSaveRecord">
    <vt:lpwstr>eyJoZGlkIjoiOWEyNzJjNTZjMWZlOGU5YTRiMjNhNGUzMGRkZTMxNzkiLCJ1c2VySWQiOiIxNjQwODEwODc1In0=</vt:lpwstr>
  </property>
</Properties>
</file>