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260" w:type="dxa"/>
              <w:start w:w="120" w:type="dxa"/>
              <w:bottom w:w="260" w:type="dxa"/>
              <w:end w:w="120" w:type="dxa"/>
            </w:tcMar>
            <w:shd w:fill="42101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472041"/>
                  <wp:docPr id="1" name="Picture 1" title="Logotipo MPRJ" descr="Logotipo institucional do Ministério Público do Estado do Rio de Janei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472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 w:after="120"/>
            </w:pPr>
            <w:r>
              <w:rPr>
                <w:rFonts w:ascii="Calibri" w:hAnsi="Calibri"/>
                <w:b/>
                <w:color w:val="C49A3A"/>
                <w:sz w:val="22"/>
              </w:rPr>
              <w:t>GUIA DE DOMÍNIO E APRESENTAÇÃO</w:t>
            </w:r>
          </w:p>
          <w:p>
            <w:pPr>
              <w:spacing w:after="160"/>
            </w:pPr>
            <w:r>
              <w:rPr>
                <w:rFonts w:ascii="Calibri" w:hAnsi="Calibri"/>
                <w:b/>
                <w:color w:val="FFFFFF"/>
                <w:sz w:val="58"/>
              </w:rPr>
              <w:t>PAC Digital MPRJ</w:t>
            </w:r>
          </w:p>
          <w:p>
            <w:pPr>
              <w:spacing w:after="240"/>
            </w:pPr>
            <w:r>
              <w:rPr>
                <w:rFonts w:ascii="Calibri" w:hAnsi="Calibri"/>
                <w:color w:val="FFFFFF"/>
                <w:sz w:val="28"/>
              </w:rPr>
              <w:t>Aprenda do zero, conduza a demonstração e responda à sabatina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C49A3A"/>
                <w:sz w:val="20"/>
              </w:rPr>
              <w:t>v1.0 RC2  |  Outubro de 2026</w:t>
            </w:r>
          </w:p>
        </w:tc>
      </w:tr>
    </w:tbl>
    <w:p>
      <w:pPr>
        <w:spacing w:after="3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3EA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OBJETIVO DO MATERIAL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Permitir que uma pessoa sem participação prévia compreenda o problema, domine a ferramenta, faça uma demonstração segura e defenda o estágio real do projeto sem exageros.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2200"/>
        <w:gridCol w:w="3260"/>
      </w:tblGrid>
      <w:tr>
        <w:trPr>
          <w:tblHeader w:val="true"/>
        </w:trPr>
        <w:tc>
          <w:tcPr>
            <w:tcW w:type="dxa" w:w="39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22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ACESSO</w:t>
            </w:r>
          </w:p>
        </w:tc>
        <w:tc>
          <w:tcPr>
            <w:tcW w:type="dxa" w:w="32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REGRA DE USO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https://pac.163-176-228-150.sslip.io/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Usuário: pac-demo</w:t>
              <w:br/>
              <w:t>Senha: pac-demo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Carteira fictícia; inteligência PNCP com dados públicos</w:t>
            </w:r>
          </w:p>
        </w:tc>
      </w:tr>
    </w:tbl>
    <w:p>
      <w:pPr>
        <w:spacing w:after="40"/>
      </w:pPr>
    </w:p>
    <w:p>
      <w:pPr>
        <w:keepLines w:val="0"/>
        <w:spacing w:before="0" w:after="0" w:line="300" w:lineRule="auto"/>
        <w:jc w:val="center"/>
      </w:pPr>
      <w:r>
        <w:rPr>
          <w:rFonts w:ascii="Calibri" w:hAnsi="Calibri"/>
          <w:i/>
          <w:color w:val="2B2325"/>
        </w:rPr>
        <w:t>Classificação: candidata pronta para apresentação executiva e início da homologação institucional. Não é ambiente de produção do MPRJ.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COMECE AQUI</w:t>
      </w:r>
    </w:p>
    <w:p>
      <w:pPr>
        <w:pStyle w:val="Heading1"/>
        <w:keepNext/>
      </w:pPr>
      <w:r>
        <w:t>Como usar este guia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Escolha a trilha de estudo conforme o tempo disponível. A sequência completa foi organizada para transformar um leitor sem contexto em apresentador autônomo.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39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 QUE ESTUDAR</w:t>
            </w:r>
          </w:p>
        </w:tc>
        <w:tc>
          <w:tcPr>
            <w:tcW w:type="dxa" w:w="39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30 minutos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Resumo executivo, mensagem central, limites e roteiro de 10 minutos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Conduzir uma apresentação básica sem afirmar algo que o sistema não faz</w:t>
            </w:r>
          </w:p>
        </w:tc>
      </w:tr>
      <w:tr>
        <w:tc>
          <w:tcPr>
            <w:tcW w:type="dxa" w:w="15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90 minutos</w:t>
            </w:r>
          </w:p>
        </w:tc>
        <w:tc>
          <w:tcPr>
            <w:tcW w:type="dxa" w:w="3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Fundamentos, ciclo, DFD, risco, PNCP, integrações e perguntas difíceis</w:t>
            </w:r>
          </w:p>
        </w:tc>
        <w:tc>
          <w:tcPr>
            <w:tcW w:type="dxa" w:w="39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Apresentar e responder às dúvidas mais prováveis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3 horas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Guia completo, demonstração duas vezes e simulação de sabatina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Defender o produto perante gestão, área jurídica e TI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Mapa do conteúdo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Entenda a mensagem executiva e o problema resolvido.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Aprenda os conceitos PAC, DFD, carteira, governança e execução.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Domine cada tela e o ciclo de uma demanda.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Explique risco, retroplanejamento e inteligência PNCP sem confundir amostra com população.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Diga com precisão o que existe e o que ainda depende do MPRJ.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Ensaie o roteiro de demonstração e as respostas de sabatina.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E5E3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REGRA DE OURO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Integração preparada significa ponto de conexão e contrato local prontos para homologação. Não significa credencial concedida, chamada externa ativa ou transmissão autorizada.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RESUMO EXECUTIVO</w:t>
      </w:r>
    </w:p>
    <w:p>
      <w:pPr>
        <w:pStyle w:val="Heading1"/>
        <w:keepNext/>
      </w:pPr>
      <w:r>
        <w:t>1. A mensagem que deve ficar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apresentação precisa deixar uma tese simples: o PAC Digital transforma um plano anual estático em uma carteira institucional governada, acompanhável e integrável.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EBD4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FRASE CENTRAL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O PAC Digital reúne planejamento, revisões, aprovações, execução, risco, documentos e transparência em uma única carteira auditável.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Cinco ideias para repetir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Gestão: </w:t>
      </w:r>
      <w:r>
        <w:rPr>
          <w:rFonts w:ascii="Calibri" w:hAnsi="Calibri"/>
          <w:color w:val="2B2325"/>
        </w:rPr>
        <w:t>a liderança enxerga planejado versus executado, prioridades, riscos e movimentos críticos.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Governança: </w:t>
      </w:r>
      <w:r>
        <w:rPr>
          <w:rFonts w:ascii="Calibri" w:hAnsi="Calibri"/>
          <w:color w:val="2B2325"/>
        </w:rPr>
        <w:t>versões, justificativas, aprovações e eventos preservam quem decidiu, quando e por quê.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Usabilidade: </w:t>
      </w:r>
      <w:r>
        <w:rPr>
          <w:rFonts w:ascii="Calibri" w:hAnsi="Calibri"/>
          <w:color w:val="2B2325"/>
        </w:rPr>
        <w:t>o requisitante registra um DFD completo, calcula valores, anexa documento e corrige rascunhos sem perder histórico.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Integração: </w:t>
      </w:r>
      <w:r>
        <w:rPr>
          <w:rFonts w:ascii="Calibri" w:hAnsi="Calibri"/>
          <w:color w:val="2B2325"/>
        </w:rPr>
        <w:t>identidade, SEI e PNCP entram por adaptadores; o núcleo do PAC não depende deles para existir.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Portabilidade: </w:t>
      </w:r>
      <w:r>
        <w:rPr>
          <w:rFonts w:ascii="Calibri" w:hAnsi="Calibri"/>
          <w:color w:val="2B2325"/>
        </w:rPr>
        <w:t>código aberto, contêineres e PostgreSQL permitem operação em infraestrutura institucional, sem SaaS obrigatório.</w:t>
      </w:r>
    </w:p>
    <w:p>
      <w:pPr>
        <w:pStyle w:val="Heading2"/>
        <w:keepNext/>
      </w:pPr>
      <w:r>
        <w:t>Posicionamento correto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DIGA</w:t>
            </w:r>
          </w:p>
        </w:tc>
        <w:tc>
          <w:tcPr>
            <w:tcW w:type="dxa" w:w="468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NÃO DIGA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Pronto para homologação institucional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Pronto para produção irrestrita</w:t>
            </w:r>
          </w:p>
        </w:tc>
      </w:tr>
      <w:tr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Carteira fictícia; PNCP com dados públicos reais</w:t>
            </w:r>
          </w:p>
        </w:tc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O sistema já usa dados internos reais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Pré-valida payload PCA/PNCP sem transmitir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Já publica no PNCP</w:t>
            </w:r>
          </w:p>
        </w:tc>
      </w:tr>
      <w:tr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Vínculo SEI local e integração planejada</w:t>
            </w:r>
          </w:p>
        </w:tc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Já integra com o SEI-MPRJ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Risco explicável e paramétrico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 inteligência artificial decide a contratação</w:t>
            </w:r>
          </w:p>
        </w:tc>
      </w:tr>
      <w:tr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Prazos configuráveis e não normativos</w:t>
            </w:r>
          </w:p>
        </w:tc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O sistema aplica os prazos oficiais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CONCEITOS</w:t>
      </w:r>
    </w:p>
    <w:p>
      <w:pPr>
        <w:pStyle w:val="Heading1"/>
        <w:keepNext/>
      </w:pPr>
      <w:r>
        <w:t>2. Fundamentos para quem começa do zero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Esta seção fornece o vocabulário mínimo para compreender o produto e não se perder durante a demonstração.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5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 NESTE PROJETO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PAC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Plano Anual de Contratações: visão consolidada das contratações previstas para o exercício.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DFD</w:t>
            </w:r>
          </w:p>
        </w:tc>
        <w:tc>
          <w:tcPr>
            <w:tcW w:type="dxa" w:w="7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Documento de Formalização da Demanda: registro estruturado da necessidade da unidade requisitante.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Demanda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Item individual do PAC, com objeto, valor, prazo, responsável, estado, versões e execução.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Carteira</w:t>
            </w:r>
          </w:p>
        </w:tc>
        <w:tc>
          <w:tcPr>
            <w:tcW w:type="dxa" w:w="7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Conjunto de demandas acompanhado continuamente pela gestão.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Revisão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Proposta formal de alteração que, após aprovação, cria nova versão da demanda.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Adequação pós-LOA</w:t>
            </w:r>
          </w:p>
        </w:tc>
        <w:tc>
          <w:tcPr>
            <w:tcW w:type="dxa" w:w="7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Ajuste posterior ao orçamento, preservando valor original, revisado, ajustado e justificativa.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Retroplanejamento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Cálculo dos marcos anteriores à data desejada, usando parâmetros gerenciais configuráveis.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Snapshot público</w:t>
            </w:r>
          </w:p>
        </w:tc>
        <w:tc>
          <w:tcPr>
            <w:tcW w:type="dxa" w:w="7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Recorte aprovado e minimizado do plano, separado da carteira operacional.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PCA/PNCP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Estrutura e serviço nacional usados para o plano de contratações; neste projeto, há validação local sem publicação.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Base normativa adotada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A referência institucional primária da revisão é a Resolução GPGJ nº 2.326/2020. O cadastro contempla descrição sucinta, quantidades, unidade de medida, justificativa, estimativa preliminar, data ou período desejado, correlação com outra contratação, indicação de contratação/prorrogação e controles de alteração.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E5E3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LIMITE JURÍDICO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A aderência técnica não substitui a validação das autoridades e áreas competentes. Temporalidade, sigilo, competências, fluxos e normas complementares devem ser homologados pelo MPRJ.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POR QUE EXISTE</w:t>
      </w:r>
    </w:p>
    <w:p>
      <w:pPr>
        <w:pStyle w:val="Heading1"/>
        <w:keepNext/>
      </w:pPr>
      <w:r>
        <w:t>3. O problema e a proposta de valor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O projeto não tenta eliminar planilhas por princípio. Ele resolve o que uma planilha isolada não consegue governar com segurança.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2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EFEITO</w:t>
            </w:r>
          </w:p>
        </w:tc>
        <w:tc>
          <w:tcPr>
            <w:tcW w:type="dxa" w:w="39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RESPOSTA DO PAC DIGITAL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Informações dispersas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Valores, datas, responsáveis e documentos não formam uma visão única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Carteira central com busca, filtros, detalhe e exportações</w:t>
            </w:r>
          </w:p>
        </w:tc>
      </w:tr>
      <w:tr>
        <w:tc>
          <w:tcPr>
            <w:tcW w:type="dxa" w:w="2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Risco percebido tarde</w:t>
            </w:r>
          </w:p>
        </w:tc>
        <w:tc>
          <w:tcPr>
            <w:tcW w:type="dxa" w:w="3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 gestão reage quando o tempo de ação já diminuiu</w:t>
            </w:r>
          </w:p>
        </w:tc>
        <w:tc>
          <w:tcPr>
            <w:tcW w:type="dxa" w:w="39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Retroplanejamento e alertas explicáveis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Mudanças sem memória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É difícil reconstruir o antes, o depois e a justificativa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Versionamento, revisão formal e eventos de auditoria</w:t>
            </w:r>
          </w:p>
        </w:tc>
      </w:tr>
      <w:tr>
        <w:tc>
          <w:tcPr>
            <w:tcW w:type="dxa" w:w="2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Planejamento separado da execução</w:t>
            </w:r>
          </w:p>
        </w:tc>
        <w:tc>
          <w:tcPr>
            <w:tcW w:type="dxa" w:w="3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 PAC termina na publicação e não acompanha o resultado</w:t>
            </w:r>
          </w:p>
        </w:tc>
        <w:tc>
          <w:tcPr>
            <w:tcW w:type="dxa" w:w="39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Estado do PAC e estado de execução independentes, mas relacionados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Integrações acopladas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 produto ficaria preso a um fornecedor ou sistema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Adaptadores desacoplados para identidade, SEI e PNCP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Resultado executivo esperado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Priorizar as demandas que exigem intervenção.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Explicar por que uma demanda está em risco.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Acompanhar alterações e execução sem perder o plano original.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Gerar evidências para controle, transparência e prestação de contas.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Conectar sistemas institucionais sem reconstruir o domínio do PAC.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PESSOAS</w:t>
      </w:r>
    </w:p>
    <w:p>
      <w:pPr>
        <w:pStyle w:val="Heading1"/>
        <w:keepNext/>
      </w:pPr>
      <w:r>
        <w:t>4. Perfis, responsabilidades e níveis de acesso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aplicação possui papéis demonstrativos no backend. A matriz definitiva deve ser conectada ao provedor de identidade e às unidades oficiais do MPRJ.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8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RESPONSABILIDADE PREVISTA</w:t>
            </w:r>
          </w:p>
        </w:tc>
        <w:tc>
          <w:tcPr>
            <w:tcW w:type="dxa" w:w="37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EXEMPLOS DE AÇÃO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Unidade requisitante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Formalizar e corrigir a própria necessidade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Criar DFD, anexar documento, editar/retirar rascunho, enviar para validação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Governança do PAC</w:t>
            </w:r>
          </w:p>
        </w:tc>
        <w:tc>
          <w:tcPr>
            <w:tcW w:type="dxa" w:w="3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Validar, consolidar e acompanhar a carteira</w:t>
            </w:r>
          </w:p>
        </w:tc>
        <w:tc>
          <w:tcPr>
            <w:tcW w:type="dxa" w:w="3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Diligenciar, revisar, ajustar pós-LOA, acompanhar execução e riscos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Autoridade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Deliberar conforme fluxo e alçada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Aprovar, rejeitar ou devolver etapa com decisão registrada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Auditoria/consulta</w:t>
            </w:r>
          </w:p>
        </w:tc>
        <w:tc>
          <w:tcPr>
            <w:tcW w:type="dxa" w:w="3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Ler eventos, versões e evidências conforme autorização</w:t>
            </w:r>
          </w:p>
        </w:tc>
        <w:tc>
          <w:tcPr>
            <w:tcW w:type="dxa" w:w="3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Consultar trilha e relatórios sem alterar o domínio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Público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Acessar somente publicação aprovada e minimizada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Consultar snapshot de transparência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E5E3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ATENÇÃO DE SEGURANÇA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O cabeçalho X-Actor-Role e a autenticação básica do ambiente atual servem apenas à demonstração. Em produção, o backend deve validar identidade institucional e derivar papel e unidade no servidor.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FUNCIONAMENTO</w:t>
      </w:r>
    </w:p>
    <w:p>
      <w:pPr>
        <w:pStyle w:val="Heading1"/>
        <w:keepNext/>
      </w:pPr>
      <w:r>
        <w:t>5. Ciclo completo de uma demanda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forma mais fácil de dominar o produto é seguir uma demanda desde o registro até o resultado e observar quais evidências surgem em cada etapa.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Registrar: a unidade cria o DFD, informa valores, período, responsável e anexa documento quando necessário.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Validar: a governança verifica completude, catálogo, coerência, calendário e eventuais diligências.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Revisar e aprovar: mudanças formais e etapas de aprovação registram decisão, perfil, alçada e justificativa.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Adequar após a LOA: o sistema preserva valores original, revisado e ajustado.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Executar: processo, marcos, valor contratado, resultado e justificativas operacionais são acompanhados separadamente do estado do PAC.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Publicar: somente o snapshot aprovado e minimizado segue para transparência.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150"/>
        <w:gridCol w:w="3510"/>
      </w:tblGrid>
      <w:tr>
        <w:trPr>
          <w:tblHeader w:val="true"/>
        </w:trPr>
        <w:tc>
          <w:tcPr>
            <w:tcW w:type="dxa" w:w="27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 DO PAC</w:t>
            </w:r>
          </w:p>
        </w:tc>
        <w:tc>
          <w:tcPr>
            <w:tcW w:type="dxa" w:w="315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 DA EXECUÇÃO</w:t>
            </w:r>
          </w:p>
        </w:tc>
        <w:tc>
          <w:tcPr>
            <w:tcW w:type="dxa" w:w="351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POR QUE SÃO SEPARADOS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Rascunho / em validação / aprovado / publicado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Não iniciada / fase preparatória / contratação / contratada / não executada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Uma demanda pode continuar formalmente publicada enquanto operacionalmente avança ou é reprogramada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TELA A TELA</w:t>
      </w:r>
    </w:p>
    <w:p>
      <w:pPr>
        <w:pStyle w:val="Heading1"/>
        <w:keepNext/>
      </w:pPr>
      <w:r>
        <w:t>6. Como operar a carteira e o DFD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Esta seção deve ser estudada junto com o ambiente aberto. Faça cada ação em uma demanda de teste e confirme o resultado na carteira e no histórico.</w:t>
      </w:r>
    </w:p>
    <w:p>
      <w:pPr>
        <w:pStyle w:val="Heading2"/>
        <w:keepNext/>
      </w:pPr>
      <w:r>
        <w:t>6.1 Criar uma demanda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Entre com pac-demo / pac-demo e abra Carteira do PAC.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Selecione Nova demanda.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Preencha objeto, unidade requisitante, justificativa, quantidade, unidade de medida, valor unitário, prioridade, responsável e período desejado.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Confira o total calculado e, quando aplicável, informe correlação, renovação e campos de catálogo PNCP.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Anexe o DFD em PDF, DOC ou DOCX se houver documento preparado.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Salve e confirme que a nova demanda aparece imediatamente, sem atualizar o navegador.</w:t>
      </w:r>
    </w:p>
    <w:p>
      <w:pPr>
        <w:pStyle w:val="Heading2"/>
        <w:keepNext/>
      </w:pPr>
      <w:r>
        <w:t>6.2 Campos mínimos e validações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REGRA PRINCIPAL</w:t>
            </w:r>
          </w:p>
        </w:tc>
        <w:tc>
          <w:tcPr>
            <w:tcW w:type="dxa" w:w="37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BASE/OBJETIVO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Objeto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5 a 240 caracteres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Descrição sucinta da contratação</w:t>
            </w:r>
          </w:p>
        </w:tc>
      </w:tr>
      <w:tr>
        <w:tc>
          <w:tcPr>
            <w:tcW w:type="dxa" w:w="2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Quantidade</w:t>
            </w:r>
          </w:p>
        </w:tc>
        <w:tc>
          <w:tcPr>
            <w:tcW w:type="dxa" w:w="34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Maior que zero; até quatro casas decimais</w:t>
            </w:r>
          </w:p>
        </w:tc>
        <w:tc>
          <w:tcPr>
            <w:tcW w:type="dxa" w:w="3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Dimensionamento da necessidade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Unidade de medida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Obrigatória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Interpretação correta da quantidade</w:t>
            </w:r>
          </w:p>
        </w:tc>
      </w:tr>
      <w:tr>
        <w:tc>
          <w:tcPr>
            <w:tcW w:type="dxa" w:w="2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Justificativa</w:t>
            </w:r>
          </w:p>
        </w:tc>
        <w:tc>
          <w:tcPr>
            <w:tcW w:type="dxa" w:w="34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Obrigatória; mínimo de 10 caracteres</w:t>
            </w:r>
          </w:p>
        </w:tc>
        <w:tc>
          <w:tcPr>
            <w:tcW w:type="dxa" w:w="3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Motivação da necessidade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Valor unitário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Moeda brasileira; total = quantidade x valor unitário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Estimativa preliminar coerente</w:t>
            </w:r>
          </w:p>
        </w:tc>
      </w:tr>
      <w:tr>
        <w:tc>
          <w:tcPr>
            <w:tcW w:type="dxa" w:w="2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Período</w:t>
            </w:r>
          </w:p>
        </w:tc>
        <w:tc>
          <w:tcPr>
            <w:tcW w:type="dxa" w:w="34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Data final obrigatória; início não posterior ao fim</w:t>
            </w:r>
          </w:p>
        </w:tc>
        <w:tc>
          <w:tcPr>
            <w:tcW w:type="dxa" w:w="3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Momento desejado da contratação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Correlação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Descrição quando houver dependência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Coordenação com outras contratações</w:t>
            </w:r>
          </w:p>
        </w:tc>
      </w:tr>
      <w:tr>
        <w:tc>
          <w:tcPr>
            <w:tcW w:type="dxa" w:w="2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Renovação</w:t>
            </w:r>
          </w:p>
        </w:tc>
        <w:tc>
          <w:tcPr>
            <w:tcW w:type="dxa" w:w="34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Indicador explícito</w:t>
            </w:r>
          </w:p>
        </w:tc>
        <w:tc>
          <w:tcPr>
            <w:tcW w:type="dxa" w:w="3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Distinguir nova contratação de prorrogação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Corrigir ou retirar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Editar: </w:t>
      </w:r>
      <w:r>
        <w:rPr>
          <w:rFonts w:ascii="Calibri" w:hAnsi="Calibri"/>
          <w:color w:val="2B2325"/>
        </w:rPr>
        <w:t>disponível ao requisitante enquanto a demanda estiver em rascunho e não iniciada. A correção cria nova versão.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Retirar: </w:t>
      </w:r>
      <w:r>
        <w:rPr>
          <w:rFonts w:ascii="Calibri" w:hAnsi="Calibri"/>
          <w:color w:val="2B2325"/>
        </w:rPr>
        <w:t>exclusão lógica para cadastro indevido, sempre com justificativa. O registro não é apagado da auditoria.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Depois do rascunho: </w:t>
      </w:r>
      <w:r>
        <w:rPr>
          <w:rFonts w:ascii="Calibri" w:hAnsi="Calibri"/>
          <w:color w:val="2B2325"/>
        </w:rPr>
        <w:t>mudanças devem seguir revisão, diligência ou fluxo de governança; não devem ser feitas por sobrescrita informal.</w:t>
      </w:r>
    </w:p>
    <w:p>
      <w:pPr>
        <w:pStyle w:val="Heading2"/>
        <w:keepNext/>
      </w:pPr>
      <w:r>
        <w:t>6.4 Anexo do DFD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O ambiente aceita PDF, DOC e DOCX até 8 MiB, com verificação mínima de assinatura do arquivo, metadados e hash técnico interno. Em implantação institucional, storage, antivírus, retenção, classificação de acesso, cotas e criptografia devem ser homologados.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MUDANÇAS</w:t>
      </w:r>
    </w:p>
    <w:p>
      <w:pPr>
        <w:pStyle w:val="Heading1"/>
        <w:keepNext/>
      </w:pPr>
      <w:r>
        <w:t>7. Governança, revisões e adequação pós-LOA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principal diferença entre um cadastro simples e uma plataforma de governança é a forma como alterações e decisões são preservadas.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34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 QUE ACONTECE</w:t>
            </w:r>
          </w:p>
        </w:tc>
        <w:tc>
          <w:tcPr>
            <w:tcW w:type="dxa" w:w="38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EVIDÊNCIA PRESERVADA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Edição de rascunho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Corrige erro antes do envio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Nova versão e evento</w:t>
            </w:r>
          </w:p>
        </w:tc>
      </w:tr>
      <w:tr>
        <w:tc>
          <w:tcPr>
            <w:tcW w:type="dxa" w:w="21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Revisão formal</w:t>
            </w:r>
          </w:p>
        </w:tc>
        <w:tc>
          <w:tcPr>
            <w:tcW w:type="dxa" w:w="34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Propõe alteração em demanda já governada</w:t>
            </w:r>
          </w:p>
        </w:tc>
        <w:tc>
          <w:tcPr>
            <w:tcW w:type="dxa" w:w="38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Pedido, justificativa, decisão e versão resultante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Adequação pós-LOA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Ajusta valor após disponibilidade orçamentária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Original, revisado, ajustado e justificativa</w:t>
            </w:r>
          </w:p>
        </w:tc>
      </w:tr>
      <w:tr>
        <w:tc>
          <w:tcPr>
            <w:tcW w:type="dxa" w:w="21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Aprovação sequencial</w:t>
            </w:r>
          </w:p>
        </w:tc>
        <w:tc>
          <w:tcPr>
            <w:tcW w:type="dxa" w:w="34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Encaminha por etapas e eventual alçada</w:t>
            </w:r>
          </w:p>
        </w:tc>
        <w:tc>
          <w:tcPr>
            <w:tcW w:type="dxa" w:w="38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Perfil, etapa, decisão, data e responsável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Reprogramação/cancelamento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Altera o acompanhamento da execução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Motivo obrigatório e evento auditável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3F0EB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B6B57"/>
                <w:sz w:val="22"/>
              </w:rPr>
              <w:t>COMO EXPLICAR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A mudança nunca substitui silenciosamente o passado. O sistema registra a versão anterior, a justificativa, a decisão e a nova condição da demanda.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GESTÃO</w:t>
      </w:r>
    </w:p>
    <w:p>
      <w:pPr>
        <w:pStyle w:val="Heading1"/>
        <w:keepNext/>
      </w:pPr>
      <w:r>
        <w:t>8. Visão executiva e indicadores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tela executiva é o ponto de entrada da apresentação porque traduz a carteira em questões de decisão.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PERGUNTA RESPONDIDA</w:t>
            </w:r>
          </w:p>
        </w:tc>
        <w:tc>
          <w:tcPr>
            <w:tcW w:type="dxa" w:w="40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COMO APRESENTAR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Planejado x executado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Quanto foi previsto, contratado e realizado?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Mostre valores e ressalve que a carteira demonstrativa é fictícia</w:t>
            </w:r>
          </w:p>
        </w:tc>
      </w:tr>
      <w:tr>
        <w:tc>
          <w:tcPr>
            <w:tcW w:type="dxa" w:w="2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Situações</w:t>
            </w:r>
          </w:p>
        </w:tc>
        <w:tc>
          <w:tcPr>
            <w:tcW w:type="dxa" w:w="33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Onde estão as demandas no ciclo?</w:t>
            </w:r>
          </w:p>
        </w:tc>
        <w:tc>
          <w:tcPr>
            <w:tcW w:type="dxa" w:w="40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Use a distribuição para localizar gargalos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Riscos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Quais itens exigem atenção agora?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o detalhe de um item alto e leia os motivos</w:t>
            </w:r>
          </w:p>
        </w:tc>
      </w:tr>
      <w:tr>
        <w:tc>
          <w:tcPr>
            <w:tcW w:type="dxa" w:w="2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Movimentações</w:t>
            </w:r>
          </w:p>
        </w:tc>
        <w:tc>
          <w:tcPr>
            <w:tcW w:type="dxa" w:w="33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 plano foi alterado?</w:t>
            </w:r>
          </w:p>
        </w:tc>
        <w:tc>
          <w:tcPr>
            <w:tcW w:type="dxa" w:w="40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Mostre inclusões, cancelamentos e reprogramações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Prioridades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Onde a liderança deve intervir?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Conecte indicador, demanda e ação recomendada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Não leia todos os números. Escolha um indicador, mostre o significado e abra a demanda correspondente.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Diferencie valor planejado, revisado, ajustado e contratado.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Use o painel para orientar a conversa, não para substituir o julgamento da autoridade.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ANTECIPAÇÃO</w:t>
      </w:r>
    </w:p>
    <w:p>
      <w:pPr>
        <w:pStyle w:val="Heading1"/>
        <w:keepNext/>
      </w:pPr>
      <w:r>
        <w:t>9. Motor de risco e retroplanejamento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O motor é determinístico, paramétrico e explicável. Ele não toma decisões nem usa uma caixa-preta de inteligência artificial.</w:t>
      </w:r>
    </w:p>
    <w:p>
      <w:pPr>
        <w:pStyle w:val="Heading2"/>
        <w:keepNext/>
      </w:pPr>
      <w:r>
        <w:t>Como funciona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 data desejada é o ponto final do planejamento.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Parâmetros configuráveis calculam marcos anteriores da preparação, seleção, contratação e entrega.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O risco combina situação, prazo restante, retroplanejamento, catálogo, vínculo SEI e, somente quando válida, referência histórica da mesma categoria.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 resposta mostra os fatores usados, para que o gestor possa contestar, corrigir ou agir.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DÚVIDA</w:t>
            </w:r>
          </w:p>
        </w:tc>
        <w:tc>
          <w:tcPr>
            <w:tcW w:type="dxa" w:w="66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RESPOSTA SEGURA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Os prazos são normas?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Não. São parâmetros de gestão, configuráveis e explicitamente não normativos.</w:t>
            </w:r>
          </w:p>
        </w:tc>
      </w:tr>
      <w:tr>
        <w:tc>
          <w:tcPr>
            <w:tcW w:type="dxa" w:w="27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 IA decide?</w:t>
            </w:r>
          </w:p>
        </w:tc>
        <w:tc>
          <w:tcPr>
            <w:tcW w:type="dxa" w:w="66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Não. As regras são legíveis; a decisão permanece humana e auditável.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O histórico PNCP sempre altera o risco?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Não. Só entra quando há pelo menos 30 observações válidas na mesma categoria.</w:t>
            </w:r>
          </w:p>
        </w:tc>
      </w:tr>
      <w:tr>
        <w:tc>
          <w:tcPr>
            <w:tcW w:type="dxa" w:w="27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Pode haver falso alerta?</w:t>
            </w:r>
          </w:p>
        </w:tc>
        <w:tc>
          <w:tcPr>
            <w:tcW w:type="dxa" w:w="66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Sim. Por isso o fator é exibido e deve ser homologado e monitorado pelas áreas.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DADOS REAIS</w:t>
      </w:r>
    </w:p>
    <w:p>
      <w:pPr>
        <w:pStyle w:val="Heading1"/>
        <w:keepNext/>
      </w:pPr>
      <w:r>
        <w:t>10. Inteligência histórica PNCP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Este é um diferencial importante e também o ponto que exige maior disciplina estatística. População importada e amostra temporal não são a mesma coisa.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EBD4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POSIÇÃO OBSERVADA EM 29/09/2026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966 contratos públicos do MPRJ importados; nove prazos calculáveis; cobertura de 0,93%. A sincronização terminou parcial após resposta HTTP 429 do PNCP. Nenhuma data ausente foi inferida.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Por que 966 contratos e apenas nove prazos?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Contratos importados é a população de registros distintos retornados pelo endpoint público para o CNPJ do MPRJ. Prazos calculáveis é o subconjunto que contém referência da contratação, data de publicação da contratação e data de assinatura do contrato, com duração válida entre zero e 3.000 dias.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4660"/>
      </w:tblGrid>
      <w:tr>
        <w:trPr>
          <w:tblHeader w:val="true"/>
        </w:trPr>
        <w:tc>
          <w:tcPr>
            <w:tcW w:type="dxa" w:w="21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6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DENOMINADOR</w:t>
            </w:r>
          </w:p>
        </w:tc>
        <w:tc>
          <w:tcPr>
            <w:tcW w:type="dxa" w:w="46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Contratos importados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966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População pública armazenada após controle de unicidade</w:t>
            </w:r>
          </w:p>
        </w:tc>
      </w:tr>
      <w:tr>
        <w:tc>
          <w:tcPr>
            <w:tcW w:type="dxa" w:w="21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Prazos calculáveis</w:t>
            </w:r>
          </w:p>
        </w:tc>
        <w:tc>
          <w:tcPr>
            <w:tcW w:type="dxa" w:w="26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9</w:t>
            </w:r>
          </w:p>
        </w:tc>
        <w:tc>
          <w:tcPr>
            <w:tcW w:type="dxa" w:w="46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Casos com datas suficientes para calcular a fase pública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Cobertura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9 / 966 = 0,93%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Parcela da população que pode entrar nos percentis</w:t>
            </w:r>
          </w:p>
        </w:tc>
      </w:tr>
      <w:tr>
        <w:tc>
          <w:tcPr>
            <w:tcW w:type="dxa" w:w="21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P50/P75/P90</w:t>
            </w:r>
          </w:p>
        </w:tc>
        <w:tc>
          <w:tcPr>
            <w:tcW w:type="dxa" w:w="26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Somente 9 casos</w:t>
            </w:r>
          </w:p>
        </w:tc>
        <w:tc>
          <w:tcPr>
            <w:tcW w:type="dxa" w:w="46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Referência exploratória; não representa os 966 contratos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O que são P50, P75 e P90?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P50: </w:t>
      </w:r>
      <w:r>
        <w:rPr>
          <w:rFonts w:ascii="Calibri" w:hAnsi="Calibri"/>
          <w:color w:val="2B2325"/>
        </w:rPr>
        <w:t>mediana; pelo menos 50% das observações terminaram até esse valor.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P75: </w:t>
      </w:r>
      <w:r>
        <w:rPr>
          <w:rFonts w:ascii="Calibri" w:hAnsi="Calibri"/>
          <w:color w:val="2B2325"/>
        </w:rPr>
        <w:t>pelo menos 75% terminaram até esse valor; 25% demoraram mais.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color w:val="2B2325"/>
        </w:rPr>
        <w:t xml:space="preserve">P90: </w:t>
      </w:r>
      <w:r>
        <w:rPr>
          <w:rFonts w:ascii="Calibri" w:hAnsi="Calibri"/>
          <w:color w:val="2B2325"/>
        </w:rPr>
        <w:t>pelo menos 90% terminaram até esse valor; 10% demoraram mais.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O método usado é o posto mais próximo: ordenar os valores e selecionar a posição ceil(p x n). Com amostra pequena, o percentil muda muito quando entra um único caso; por isso o resultado é marcado como exploratório.</w:t>
      </w:r>
    </w:p>
    <w:p>
      <w:pPr>
        <w:pStyle w:val="Heading2"/>
        <w:keepNext/>
      </w:pPr>
      <w:r>
        <w:t>10.3 Quando o histórico pode influenciar o risco?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Somente quando a mesma categoria atingir n maior ou igual a 30 observações válidas. Antes disso, o motor ignora os percentis históricos e usa apenas regras explicáveis do próprio planejamento. Mesmo depois do limiar, P75 é referência gerencial, não prazo normativo.</w:t>
      </w:r>
    </w:p>
    <w:p>
      <w:pPr>
        <w:pStyle w:val="Heading2"/>
        <w:keepNext/>
      </w:pPr>
      <w:r>
        <w:t>10.4 Como validar durante a homologação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Selecionar uma amostra manual de contratos no Portal PNCP.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Comparar número de controle, objeto, datas e URL de origem.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Recalcular duração e percentis fora do sistema.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Confirmar classificação por categoria e política de exclusão.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Documentar divergências, corrigir e repetir antes de habilitar uso estatístico institucional.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SAÍDA</w:t>
      </w:r>
    </w:p>
    <w:p>
      <w:pPr>
        <w:pStyle w:val="Heading1"/>
        <w:keepNext/>
      </w:pPr>
      <w:r>
        <w:t>11. Transparência e relatórios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publicação pública é separada da carteira operacional. Isso permite minimizar dados, aprovar o conteúdo e versionar o que foi efetivamente divulgado.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O snapshot é imutável e versionado por exercício.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Identificadores do processo SEI e outros dados internos não são expostos.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O hash SHA-256 permanece como evidência técnica no banco/API, mas foi retirado da interface de negócio.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Relatórios PDF e XLSX são gerados localmente, sem SaaS obrigatório.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CSV e JSON atendem interoperabilidade e análise técnica; XLSX atende gestão e trabalho de escritório.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3F0EB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B6B57"/>
                <w:sz w:val="22"/>
              </w:rPr>
              <w:t>COMO APRESENTAR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Na tela de Transparência, mostre exercício, versão, data e conteúdo aprovado. Não discuta SHA-256 com o público executivo; explique apenas que a integridade técnica continua verificável nos bastidores.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SEI, PNCP E IDENTIDADE</w:t>
      </w:r>
    </w:p>
    <w:p>
      <w:pPr>
        <w:pStyle w:val="Heading1"/>
        <w:keepNext/>
      </w:pPr>
      <w:r>
        <w:t>12. Integrações: o que existe de verdade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Esta matriz é a referência para qualquer resposta técnica. Não atribua ao produto uma chamada externa que ainda não foi implementada ou autorizada.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850"/>
        <w:gridCol w:w="2700"/>
        <w:gridCol w:w="2560"/>
      </w:tblGrid>
      <w:tr>
        <w:trPr>
          <w:tblHeader w:val="true"/>
        </w:trPr>
        <w:tc>
          <w:tcPr>
            <w:tcW w:type="dxa" w:w="125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INTEGRAÇÃO</w:t>
            </w:r>
          </w:p>
        </w:tc>
        <w:tc>
          <w:tcPr>
            <w:tcW w:type="dxa" w:w="285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EXISTE NO CÓDIGO</w:t>
            </w:r>
          </w:p>
        </w:tc>
        <w:tc>
          <w:tcPr>
            <w:tcW w:type="dxa" w:w="27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AINDA NÃO EXISTE</w:t>
            </w:r>
          </w:p>
        </w:tc>
        <w:tc>
          <w:tcPr>
            <w:tcW w:type="dxa" w:w="25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CONDIÇÃO PARA ATIVAR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Identidade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Fronteira OIDC/LDAP documentada e papéis de domínio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Login institucional, token, grupos, lotação e restrição por unidade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Issuer/metadados, client, grupos e matriz homologada</w:t>
            </w:r>
          </w:p>
        </w:tc>
      </w:tr>
      <w:tr>
        <w:tc>
          <w:tcPr>
            <w:tcW w:type="dxa" w:w="12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SEI</w:t>
            </w:r>
          </w:p>
        </w:tc>
        <w:tc>
          <w:tcPr>
            <w:tcW w:type="dxa" w:w="28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Vínculo manual, validação de número e plano de integração WSDL</w:t>
            </w:r>
          </w:p>
        </w:tc>
        <w:tc>
          <w:tcPr>
            <w:tcW w:type="dxa" w:w="27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Cliente SOAP, autenticação, consulta/criação, documento, fila e reconciliação</w:t>
            </w:r>
          </w:p>
        </w:tc>
        <w:tc>
          <w:tcPr>
            <w:tcW w:type="dxa" w:w="2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WSDL MPRJ, serviço, IP/chave, unidades, tipos, operações e ambiente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PCA/PNCP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Coleta pública, proveniência, gerador e validador local de payload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Autenticação, POST, retificação, exclusão, recibos e reconciliação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Unidade, catálogo, ambiente, credencial e autorização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SEI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O SEI oferece Web Services descritos em WSDL. A instância MPRJ precisa cadastrar o sistema consumidor e liberar operações, unidades, tipos de processo e documentos. O projeto atual não executa SOAP: registra número informado e descreve o plano de operação.</w:t>
      </w:r>
    </w:p>
    <w:p>
      <w:pPr>
        <w:pStyle w:val="Heading2"/>
        <w:keepNext/>
      </w:pPr>
      <w:r>
        <w:t>12.2 PCA/PNCP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O gerador segue a estrutura codigoUnidade, anoPca e itensPlano descrita no serviço oficial. O resultado é sempre não publicável e não existe rotina de transmissão. A coleta histórica usa somente endpoints públicos em leitura.</w:t>
      </w:r>
    </w:p>
    <w:p>
      <w:pPr>
        <w:pStyle w:val="Heading2"/>
        <w:keepNext/>
      </w:pPr>
      <w:r>
        <w:t>12.3 Identidade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O navegador não deve escolher o próprio papel em produção. O backend deve validar a identidade emitida pelo provedor institucional e derivar perfil, unidade e alçada no servidor.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SABATINA DE TI</w:t>
      </w:r>
    </w:p>
    <w:p>
      <w:pPr>
        <w:pStyle w:val="Heading1"/>
        <w:keepNext/>
      </w:pPr>
      <w:r>
        <w:t>13. Arquitetura, segurança e operação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O objetivo desta seção é permitir que um apresentador não técnico descreva a arquitetura com honestidade e saiba quando encaminhar a pergunta para a documentação técnica.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0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TECNOLOGIA/PAPEL</w:t>
            </w:r>
          </w:p>
        </w:tc>
        <w:tc>
          <w:tcPr>
            <w:tcW w:type="dxa" w:w="45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MENSAGEM PARA A TI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Interface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React + TypeScript + Vite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Cliente web responsivo; build validado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API</w:t>
            </w:r>
          </w:p>
        </w:tc>
        <w:tc>
          <w:tcPr>
            <w:tcW w:type="dxa" w:w="3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FastAPI</w:t>
            </w:r>
          </w:p>
        </w:tc>
        <w:tc>
          <w:tcPr>
            <w:tcW w:type="dxa" w:w="4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Regras, autorizações demonstrativas, integrações e auditoria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Banco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PostgreSQL 16 em produção; SQLite em desenvolvimento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Migrations 0001 a 0006 aplicáveis em banco limpo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Implantação</w:t>
            </w:r>
          </w:p>
        </w:tc>
        <w:tc>
          <w:tcPr>
            <w:tcW w:type="dxa" w:w="3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Contêineres Docker</w:t>
            </w:r>
          </w:p>
        </w:tc>
        <w:tc>
          <w:tcPr>
            <w:tcW w:type="dxa" w:w="4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Portátil entre VPS, datacenter e nuvem institucional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Borda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HTTPS e proxy reverso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Ambiente atual é demonstração controlada, não domínio institucional</w:t>
            </w:r>
          </w:p>
        </w:tc>
      </w:tr>
      <w:tr>
        <w:tc>
          <w:tcPr>
            <w:tcW w:type="dxa" w:w="18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Continuidade</w:t>
            </w:r>
          </w:p>
        </w:tc>
        <w:tc>
          <w:tcPr>
            <w:tcW w:type="dxa" w:w="3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Backup, checksum e restauração</w:t>
            </w:r>
          </w:p>
        </w:tc>
        <w:tc>
          <w:tcPr>
            <w:tcW w:type="dxa" w:w="45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Recuperação isolada já foi comprovada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Evidências validadas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13 testes automatizados aprovados.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Frontend compilado com 30 módulos e bundle aproximado de 182 kB.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Migrations aplicadas do zero.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Cabeçalhos HTTP, rate limit, CSP, no-store e correlação de respostas.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Backup com checksum e restauração isolada comprovada.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Transmissões externas bloqueadas e segredos fora do repositório.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3EA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DOCUMENTAÇÃO PARA CONTINUIDADE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A equipe de TI deve começar por docs/36-guia-tecnico-integracoes.md, docs/31-runbook-operacional.md, SECURITY.md, deploy/README.md e RELEASE-CHECKLIST.md. Esses documentos separam implementação existente de dependências institucionais.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PRONTIDÃO</w:t>
      </w:r>
    </w:p>
    <w:p>
      <w:pPr>
        <w:pStyle w:val="Heading1"/>
        <w:keepNext/>
      </w:pPr>
      <w:r>
        <w:t>14. O que está completo e o que ainda falta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resposta correta é: o produto está pronto para homologação institucional. A produção depende de decisões e integrações que somente o MPRJ pode autorizar.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PRONTO NA RC2</w:t>
            </w:r>
          </w:p>
        </w:tc>
        <w:tc>
          <w:tcPr>
            <w:tcW w:type="dxa" w:w="468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PENDENTE PARA PRODUÇÃO INSTITUCIONAL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Ciclo completo, DFD ampliado, edição, retirada e anexos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Patrocinador, dono do produto e regras oficiais</w:t>
            </w:r>
          </w:p>
        </w:tc>
      </w:tr>
      <w:tr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Revisões, pós-LOA, aprovação, execução e auditoria</w:t>
            </w:r>
          </w:p>
        </w:tc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OIDC/LDAP, perfis, unidades e alçadas confiáveis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Risco e retroplanejamento explicáveis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Homologação de parâmetros e calendário</w:t>
            </w:r>
          </w:p>
        </w:tc>
      </w:tr>
      <w:tr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Inteligência PNCP e bloqueio estatístico</w:t>
            </w:r>
          </w:p>
        </w:tc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Validação manual da base e aumento da cobertura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Payload PCA local e vínculo SEI manual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Credenciais, contratos e clientes externos reais</w:t>
            </w:r>
          </w:p>
        </w:tc>
      </w:tr>
      <w:tr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Relatórios, transparência e portabilidade</w:t>
            </w:r>
          </w:p>
        </w:tc>
        <w:tc>
          <w:tcPr>
            <w:tcW w:type="dxa" w:w="468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Domínio, monitoração, retenção, storage e suporte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Nenhum item pendente deve ser simulado com credenciais fictícias. A homologação é justamente o processo para receber essas entradas, implementar as conexões autorizadas e produzir evidências de aceite.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APRESENTAÇÃO</w:t>
      </w:r>
    </w:p>
    <w:p>
      <w:pPr>
        <w:pStyle w:val="Heading1"/>
        <w:keepNext/>
      </w:pPr>
      <w:r>
        <w:t>15. Roteiro de demonstração executiva - 10 minutos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O roteiro abaixo foi escrito para ser seguido literalmente por alguém que ainda não domina a navegação. Ensaie até concluir em oito a dez minutos.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00"/>
        <w:gridCol w:w="5460"/>
      </w:tblGrid>
      <w:tr>
        <w:trPr>
          <w:tblHeader w:val="true"/>
        </w:trPr>
        <w:tc>
          <w:tcPr>
            <w:tcW w:type="dxa" w:w="12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7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54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FALA ESSENCIAL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0:00-0:45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a Visão executiva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 PAC deixa de ser fotografia e passa a ser carteira viva, com valor, prazo, risco, execução e história.</w:t>
            </w:r>
          </w:p>
        </w:tc>
      </w:tr>
      <w:tr>
        <w:tc>
          <w:tcPr>
            <w:tcW w:type="dxa" w:w="1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0:45-2:00</w:t>
            </w:r>
          </w:p>
        </w:tc>
        <w:tc>
          <w:tcPr>
            <w:tcW w:type="dxa" w:w="27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Mostre planejado x executado, situações e prioridades</w:t>
            </w:r>
          </w:p>
        </w:tc>
        <w:tc>
          <w:tcPr>
            <w:tcW w:type="dxa" w:w="5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 liderança começa pelo que exige ação e consegue chegar ao item que explica o indicador.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2:00-4:00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uma demanda de risco alto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Leia objeto, valores, data, motivos do risco, marcos, versão e execução. Os prazos são gerenciais, não normativos.</w:t>
            </w:r>
          </w:p>
        </w:tc>
      </w:tr>
      <w:tr>
        <w:tc>
          <w:tcPr>
            <w:tcW w:type="dxa" w:w="1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4:00-5:15</w:t>
            </w:r>
          </w:p>
        </w:tc>
        <w:tc>
          <w:tcPr>
            <w:tcW w:type="dxa" w:w="27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Nova demanda ou um DFD existente</w:t>
            </w:r>
          </w:p>
        </w:tc>
        <w:tc>
          <w:tcPr>
            <w:tcW w:type="dxa" w:w="5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Mostre campos, cálculo monetário, anexo, edição versionada e retirada justificada.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5:15-6:45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Inteligência PNCP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966 é população; nove é amostra temporal; P75 usa os nove e não calibra o risco abaixo de 30 casos por categoria.</w:t>
            </w:r>
          </w:p>
        </w:tc>
      </w:tr>
      <w:tr>
        <w:tc>
          <w:tcPr>
            <w:tcW w:type="dxa" w:w="1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6:45-7:30</w:t>
            </w:r>
          </w:p>
        </w:tc>
        <w:tc>
          <w:tcPr>
            <w:tcW w:type="dxa" w:w="27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Transparência</w:t>
            </w:r>
          </w:p>
        </w:tc>
        <w:tc>
          <w:tcPr>
            <w:tcW w:type="dxa" w:w="5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 publicação é aprovada, minimizada e separada da carteira operacional; detalhes técnicos ficam nos bastidores.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7:30-8:30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Integrações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Identidade, SEI e PNCP estão desacoplados; nenhuma transmissão está ativa antes de autorização.</w:t>
            </w:r>
          </w:p>
        </w:tc>
      </w:tr>
      <w:tr>
        <w:tc>
          <w:tcPr>
            <w:tcW w:type="dxa" w:w="12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8:30-9:15</w:t>
            </w:r>
          </w:p>
        </w:tc>
        <w:tc>
          <w:tcPr>
            <w:tcW w:type="dxa" w:w="27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Abra Governança</w:t>
            </w:r>
          </w:p>
        </w:tc>
        <w:tc>
          <w:tcPr>
            <w:tcW w:type="dxa" w:w="5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Mostre versão, justificativa, aprovação e evento. A mudança não apaga o passado.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9:15-10:00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Volte à Visão e faça o pedido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Proponho autorizar a homologação institucional, designar responsáveis e abrir os ambientes de teste.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Plano de contingência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Antes da reunião, abra e teste as telas principais.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Deixe uma demanda de risco alto identificada.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Baixe previamente o relatório PDF e a planilha XLSX.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Mantenha o deck aberto para continuar a narrativa se a conexão cair.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Não improvise uma integração externa para compensar indisponibilidade.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FALA</w:t>
      </w:r>
    </w:p>
    <w:p>
      <w:pPr>
        <w:pStyle w:val="Heading1"/>
        <w:keepNext/>
      </w:pPr>
      <w:r>
        <w:t>16. Pitches prontos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Use a versão compatível com o tempo e a audiência. Não misture todos os detalhes técnicos no início.</w:t>
      </w:r>
    </w:p>
    <w:p>
      <w:pPr>
        <w:pStyle w:val="Heading2"/>
        <w:keepNext/>
      </w:pPr>
      <w:r>
        <w:t>16.1 Em 30 segundos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3EA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TEXTO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O PAC Digital transforma o Plano Anual de Contratações em uma carteira viva. Cada demanda passa a ter responsável, valor, prazo, risco, versões, aprovações e execução. A RC2 já demonstra o ciclo completo e está pronta para homologação institucional, com arquitetura preparada para identidade, SEI e PNCP sem transmissão externa não autorizada.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Em três minutos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Hoje, informações de planejamento podem ficar distribuídas entre documentos, planilhas e processos. Isso reduz a visão executiva, faz o risco aparecer tarde e dificulta reconstruir por que uma alteração ocorreu.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O PAC Digital resolve esse problema com uma carteira única. A unidade registra o DFD; a governança valida; as autoridades aprovam; a execução acompanha processo, marcos, resultado e valor contratado; e a transparência publica apenas o recorte aprovado. Alterações criam versões e deixam justificativa.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A RC2 corrigiu o cadastro, ampliou os campos conforme a Resolução GPGJ nº 2.326/2020, criou edição e retirada governadas e incorporou anexo de DFD. A inteligência PNCP usa dados públicos reais, mas bloqueia uso estatístico enquanto a amostra não for suficiente.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2B2325"/>
        </w:rPr>
        <w:t>O produto está pronto para homologação, não para produção irrestrita. O próximo passo é conectar identidade institucional, homologar regras e receber os contratos e credenciais do SEI e do PNCP.</w:t>
      </w:r>
    </w:p>
    <w:p>
      <w:pPr>
        <w:pStyle w:val="Heading2"/>
        <w:keepNext/>
      </w:pPr>
      <w:r>
        <w:t>16.3 Em uma frase para encerrar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EBD4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FECHAMENTO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O que pedimos não é a compra de uma promessa: é a autorização para homologar uma base funcional, auditável, portátil e pronta para ser assumida pelo MPRJ.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SABATINA</w:t>
      </w:r>
    </w:p>
    <w:p>
      <w:pPr>
        <w:pStyle w:val="Heading1"/>
        <w:keepNext/>
      </w:pPr>
      <w:r>
        <w:t>17. Perguntas difíceis e respostas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Responda primeiro em uma frase clara; depois aprofunde somente se pedirem. As respostas abaixo foram calibradas para não prometer além do código.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621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RESPOSTA SEGURA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Já está pronto para produção?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Não. Está pronto para homologação institucional; produção depende de identidade, regras, credenciais, infraestrutura e aceite.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Usa dados reais?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 carteira é fictícia. A inteligência histórica usa dados públicos do PNCP referentes ao CNPJ do MPRJ e não armazena fornecedores.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Por que 966 contratos e nove prazos?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966 é a população importada; nove é o subconjunto com datas completas para calcular a fase pública.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 mediana usa 966 casos?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Não. P50, P75 e P90 usam somente os nove prazos calculáveis.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 que é P75?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É o valor até o qual 75% dos casos observados terminaram; 25% demoraram mais. Não é prazo normativo.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 histórico já altera o risco?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Não nesta amostra. O sistema exige pelo menos 30 casos válidos na mesma categoria.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Já publica no PNCP?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Não. Gera e pré-valida o payload localmente; publicar exige homologação, catálogo e credencial.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Já chama o SEI?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Não. Registra vínculo local e prepara o plano de integração; o cliente SOAP depende do WSDL e das permissões do MPRJ.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Há níveis de acesso?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Há papéis demonstrativos no backend. A autorização confiável exige identidade institucional, grupos, unidade e alçadas homologadas.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O requisitante pode corrigir um erro?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Sim, enquanto estiver em rascunho e não iniciada; a correção cria nova versão.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Pode apagar uma demanda?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Pode retirar logicamente um rascunho indevido com justificativa; a auditoria permanece.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Pode anexar DFD?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Sim, PDF, DOC ou DOCX até 8 MiB. Storage e antivírus institucionais ainda devem ser homologados.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 IA decide alguma coisa?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Não. O motor é explicável e paramétrico; sinaliza atenção, mas a decisão é humana.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Depende da Oracle?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Não. A VPS é apenas o ambiente atual; a solução usa contêineres e PostgreSQL e pode migrar.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Por que não usar só planilha?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Porque a planilha registra; o sistema governa fluxo, versão, autorização, auditoria, risco, execução, integração e transparência.</w:t>
            </w:r>
          </w:p>
        </w:tc>
      </w:tr>
      <w:tr>
        <w:tc>
          <w:tcPr>
            <w:tcW w:type="dxa" w:w="315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Quem dará manutenção?</w:t>
            </w:r>
          </w:p>
        </w:tc>
        <w:tc>
          <w:tcPr>
            <w:tcW w:type="dxa" w:w="621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 homologação deve definir dono do produto, operação, suporte e transferência para a equipe de TI, apoiada pela documentação e pelo código aberto.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DISCIPLINA</w:t>
      </w:r>
    </w:p>
    <w:p>
      <w:pPr>
        <w:pStyle w:val="Heading1"/>
        <w:keepNext/>
      </w:pPr>
      <w:r>
        <w:t>18. O que evitar durante a apresentação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Os maiores riscos da apresentação são exagerar o estágio das integrações, confundir dados fictícios com públicos e transformar parâmetros gerenciais em normas.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5360"/>
      </w:tblGrid>
      <w:tr>
        <w:trPr>
          <w:tblHeader w:val="true"/>
        </w:trPr>
        <w:tc>
          <w:tcPr>
            <w:tcW w:type="dxa" w:w="40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EVITE</w:t>
            </w:r>
          </w:p>
        </w:tc>
        <w:tc>
          <w:tcPr>
            <w:tcW w:type="dxa" w:w="53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USE EM VEZ DISSO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Está tudo pronto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O ciclo está pronto para homologação; integrações e identidade dependem do MPRJ</w:t>
            </w:r>
          </w:p>
        </w:tc>
      </w:tr>
      <w:tr>
        <w:tc>
          <w:tcPr>
            <w:tcW w:type="dxa" w:w="4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Integra com o SEI</w:t>
            </w:r>
          </w:p>
        </w:tc>
        <w:tc>
          <w:tcPr>
            <w:tcW w:type="dxa" w:w="53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 arquitetura está preparada; a chamada SOAP ainda depende do WSDL e da autorização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Publica no PNCP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Gera e valida o payload localmente, sem transmissão</w:t>
            </w:r>
          </w:p>
        </w:tc>
      </w:tr>
      <w:tr>
        <w:tc>
          <w:tcPr>
            <w:tcW w:type="dxa" w:w="4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 IA prevê atrasos</w:t>
            </w:r>
          </w:p>
        </w:tc>
        <w:tc>
          <w:tcPr>
            <w:tcW w:type="dxa" w:w="53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Regras explicáveis sinalizam risco; estatística só entra com amostra suficiente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 mediana de 63 dias vem de 966 contratos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Qualquer percentil vem somente dos casos temporalmente calculáveis</w:t>
            </w:r>
          </w:p>
        </w:tc>
      </w:tr>
      <w:tr>
        <w:tc>
          <w:tcPr>
            <w:tcW w:type="dxa" w:w="40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P75 é o prazo ideal</w:t>
            </w:r>
          </w:p>
        </w:tc>
        <w:tc>
          <w:tcPr>
            <w:tcW w:type="dxa" w:w="53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P75 é um percentil exploratório e não normativo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Pode apagar demanda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Pode retirar logicamente rascunho com justificativa, preservando auditoria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Não mostre o hash SHA-256 na narrativa executiva.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Não exponha credenciais reais, URLs internas ou dados pessoais.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Não altere dados da demonstração sem necessidade durante a reunião.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Não aceite como concluída uma integração apenas porque existem variáveis de configuração.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PREPARAÇÃO</w:t>
      </w:r>
    </w:p>
    <w:p>
      <w:pPr>
        <w:pStyle w:val="Heading1"/>
        <w:keepNext/>
      </w:pPr>
      <w:r>
        <w:t>19. Plano de estudo e ensaio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A segurança do apresentador vem de repetição orientada, não de decorar todas as telas.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9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39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CRITÉRIO DE CONCLUSÃO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1. Entender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Ler seções 1 a 5 e explicar o produto sem abrir o sistema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Conseguir definir PAC, DFD, carteira, revisão e homologação</w:t>
            </w:r>
          </w:p>
        </w:tc>
      </w:tr>
      <w:tr>
        <w:tc>
          <w:tcPr>
            <w:tcW w:type="dxa" w:w="15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2. Operar</w:t>
            </w:r>
          </w:p>
        </w:tc>
        <w:tc>
          <w:tcPr>
            <w:tcW w:type="dxa" w:w="3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Criar uma demanda, conferir total, anexar, editar e retirar um rascunho</w:t>
            </w:r>
          </w:p>
        </w:tc>
        <w:tc>
          <w:tcPr>
            <w:tcW w:type="dxa" w:w="39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Conseguir narrar cada ação e sua evidência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3. Analisar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Abrir um risco alto e a Inteligência PNCP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Explicar fatores, 966 versus 9 e P75 corretamente</w:t>
            </w:r>
          </w:p>
        </w:tc>
      </w:tr>
      <w:tr>
        <w:tc>
          <w:tcPr>
            <w:tcW w:type="dxa" w:w="15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4. Integrar</w:t>
            </w:r>
          </w:p>
        </w:tc>
        <w:tc>
          <w:tcPr>
            <w:tcW w:type="dxa" w:w="3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Estudar a matriz de verdade</w:t>
            </w:r>
          </w:p>
        </w:tc>
        <w:tc>
          <w:tcPr>
            <w:tcW w:type="dxa" w:w="39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Responder SEI, PNCP e identidade sem exagero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5. Demonstrar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Executar o roteiro de 10 minutos duas vezes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Terminar em até 10 minutos sem navegação perdida</w:t>
            </w:r>
          </w:p>
        </w:tc>
      </w:tr>
      <w:tr>
        <w:tc>
          <w:tcPr>
            <w:tcW w:type="dxa" w:w="15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6. Defender</w:t>
            </w:r>
          </w:p>
        </w:tc>
        <w:tc>
          <w:tcPr>
            <w:tcW w:type="dxa" w:w="3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Simular as 16 perguntas difíceis</w:t>
            </w:r>
          </w:p>
        </w:tc>
        <w:tc>
          <w:tcPr>
            <w:tcW w:type="dxa" w:w="39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7"/>
              </w:rPr>
              <w:t>Responder primeiro em até 20 segundos e aprofundar sob demanda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Checklist antes da reunião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Testar o login pac-demo / pac-demo.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Confirmar Visão executiva, Carteira, Inteligência PNCP, Transparência, Integrações e Governança.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Separar uma demanda de risco alto e um DFD que permita mostrar valores e histórico.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Conferir os números atuais da base PNCP; eles podem mudar após nova sincronização.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Baixar PDF e XLSX como contingência.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Abrir o deck com as notas do apresentador.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Definir quem responderá perguntas jurídicas, de contratação e de TI.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Encerrar pedindo decisão, responsável e próximo passo.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REFERÊNCIA RÁPIDA</w:t>
      </w:r>
    </w:p>
    <w:p>
      <w:pPr>
        <w:pStyle w:val="Heading1"/>
        <w:keepNext/>
      </w:pPr>
      <w:r>
        <w:t>20. Cola de uma página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Use esta página nos minutos anteriores à reunião. Ela contém a sequência mínima, os limites e o pedido executivo.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74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LEMBRETE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Tese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Da planilha à carteira governada: valor, prazo, risco, versão, aprovação, execução e história.</w:t>
            </w:r>
          </w:p>
        </w:tc>
      </w:tr>
      <w:tr>
        <w:tc>
          <w:tcPr>
            <w:tcW w:type="dxa" w:w="1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Dados</w:t>
            </w:r>
          </w:p>
        </w:tc>
        <w:tc>
          <w:tcPr>
            <w:tcW w:type="dxa" w:w="7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Carteira fictícia; PNCP público real. Posição de 29/09/2026: 966 contratos, 9 prazos, 0,93%.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Risco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Explicável, paramétrico e não normativo. Histórico só com n &gt;= 30 por categoria.</w:t>
            </w:r>
          </w:p>
        </w:tc>
      </w:tr>
      <w:tr>
        <w:tc>
          <w:tcPr>
            <w:tcW w:type="dxa" w:w="1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DFD</w:t>
            </w:r>
          </w:p>
        </w:tc>
        <w:tc>
          <w:tcPr>
            <w:tcW w:type="dxa" w:w="7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Campos essenciais, cálculo monetário, anexo, edição versionada e retirada justificada.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SEI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Vínculo local; sem cliente SOAP ativo.</w:t>
            </w:r>
          </w:p>
        </w:tc>
      </w:tr>
      <w:tr>
        <w:tc>
          <w:tcPr>
            <w:tcW w:type="dxa" w:w="1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PNCP</w:t>
            </w:r>
          </w:p>
        </w:tc>
        <w:tc>
          <w:tcPr>
            <w:tcW w:type="dxa" w:w="7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Leitura pública e payload local; sem publicação.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Identidade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Papéis demonstrativos; OIDC/LDAP institucional ainda não conectado.</w:t>
            </w:r>
          </w:p>
        </w:tc>
      </w:tr>
      <w:tr>
        <w:tc>
          <w:tcPr>
            <w:tcW w:type="dxa" w:w="19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Prontidão</w:t>
            </w:r>
          </w:p>
        </w:tc>
        <w:tc>
          <w:tcPr>
            <w:tcW w:type="dxa" w:w="74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13 testes, build, migrations e restauração validados.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Pedido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Autorizar homologação, designar responsáveis e liberar ambientes/contratos de teste.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EBD4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2101F"/>
                <w:sz w:val="22"/>
              </w:rPr>
              <w:t>FECHAMENTO SUGERIDO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2B2325"/>
                <w:sz w:val="21"/>
              </w:rPr>
              <w:t>O PAC Digital já demonstra como o MPRJ pode transformar o plano anual em instrumento contínuo de gestão. A decisão agora é institucionalizar: homologar regras, conectar os sistemas autorizados e conduzir um piloto controlado.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C49A3A"/>
          <w:sz w:val="18"/>
        </w:rPr>
        <w:t>REFERÊNCIAS</w:t>
      </w:r>
    </w:p>
    <w:p>
      <w:pPr>
        <w:pStyle w:val="Heading1"/>
        <w:keepNext/>
      </w:pPr>
      <w:r>
        <w:t>21. Fontes e documentação de apoio</w:t>
      </w:r>
    </w:p>
    <w:p>
      <w:pPr>
        <w:keepLines w:val="0"/>
        <w:spacing w:before="0" w:after="240" w:line="300" w:lineRule="auto"/>
      </w:pPr>
      <w:r>
        <w:rPr>
          <w:rFonts w:ascii="Calibri" w:hAnsi="Calibri"/>
          <w:i w:val="0"/>
          <w:color w:val="6B6265"/>
          <w:sz w:val="23"/>
        </w:rPr>
        <w:t>Consulte as fontes abaixo para aprofundar respostas ou encaminhar a sabatina às evidências correspondentes.</w:t>
      </w:r>
    </w:p>
    <w:p>
      <w:pPr>
        <w:pStyle w:val="Heading2"/>
        <w:keepNext/>
      </w:pPr>
      <w:r>
        <w:t>Fontes normativas e técnicas externas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Resolução GPGJ nº 2.326/2020: https://www.mprj.mp.br/documents/20184/2156686/consolidado_2326.pdf/6afeaac9-695c-50ea-6ac6-5e62cb830744?t=1633441582621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Manual de Integração do PNCP v2.6: https://pncp.gov.br/manual/pt-br/latest/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Inserção de PCA no PNCP: https://pncp.gov.br/manual/pt-br/latest/plano_de_contratacao/inserir_plano_de_contratacoes.html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Administração de sistemas externos do SEI: https://manuais.processoeletronico.gov.br/pt-br/latest/SEIADM/Administracao_sei/Man_Adm_SEI_04-Administracao_SEI-11_Sistemas.html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2B2325"/>
        </w:rPr>
        <w:t>Portal SEI do MPRJ: https://portalsei.mprj.mp.br/</w:t>
      </w:r>
    </w:p>
    <w:p>
      <w:pPr>
        <w:pStyle w:val="Heading2"/>
        <w:keepNext/>
      </w:pPr>
      <w:r>
        <w:t>Documentos do projeto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5760"/>
            <w:shd w:fill="42101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STATUS.md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Situação da versão, validações e dependências institucionais</w:t>
            </w:r>
          </w:p>
        </w:tc>
      </w:tr>
      <w:tr>
        <w:tc>
          <w:tcPr>
            <w:tcW w:type="dxa" w:w="36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docs/33-revisao-prontidao-institucional.md</w:t>
            </w:r>
          </w:p>
        </w:tc>
        <w:tc>
          <w:tcPr>
            <w:tcW w:type="dxa" w:w="5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Achados da revisão RC2, correções e riscos residuais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docs/34-matriz-requisitos-pac-dfd.md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Relação entre campos, regras e base normativa</w:t>
            </w:r>
          </w:p>
        </w:tc>
      </w:tr>
      <w:tr>
        <w:tc>
          <w:tcPr>
            <w:tcW w:type="dxa" w:w="36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docs/35-metodologia-inteligencia-pncp.md</w:t>
            </w:r>
          </w:p>
        </w:tc>
        <w:tc>
          <w:tcPr>
            <w:tcW w:type="dxa" w:w="5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Definições, fórmula, amostra, percentis e limiar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docs/36-guia-tecnico-integracoes.md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Matriz de verdade de SEI, PNCP e identidade</w:t>
            </w:r>
          </w:p>
        </w:tc>
      </w:tr>
      <w:tr>
        <w:tc>
          <w:tcPr>
            <w:tcW w:type="dxa" w:w="36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docs/30-plano-homologacao-institucional.md</w:t>
            </w:r>
          </w:p>
        </w:tc>
        <w:tc>
          <w:tcPr>
            <w:tcW w:type="dxa" w:w="5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Frentes, entradas, responsáveis e evidências de aceite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docs/31-runbook-operacional.md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Implantação, saúde, backup, restauração e incidente</w:t>
            </w:r>
          </w:p>
        </w:tc>
      </w:tr>
      <w:tr>
        <w:tc>
          <w:tcPr>
            <w:tcW w:type="dxa" w:w="360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RELEASE-CHECKLIST.md</w:t>
            </w:r>
          </w:p>
        </w:tc>
        <w:tc>
          <w:tcPr>
            <w:tcW w:type="dxa" w:w="5760"/>
            <w:shd w:fill="FBF8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B2325"/>
                <w:sz w:val="18"/>
              </w:rPr>
              <w:t>Separação entre produto concluído e itens pendentes</w:t>
            </w:r>
          </w:p>
        </w:tc>
      </w:tr>
    </w:tbl>
    <w:p>
      <w:pPr>
        <w:spacing w:after="40"/>
      </w:pPr>
    </w:p>
    <w:p>
      <w:pPr>
        <w:keepLines w:val="0"/>
        <w:spacing w:before="0" w:after="0" w:line="300" w:lineRule="auto"/>
      </w:pPr>
      <w:r>
        <w:rPr>
          <w:rFonts w:ascii="Calibri" w:hAnsi="Calibri"/>
          <w:i/>
          <w:color w:val="2B2325"/>
        </w:rPr>
        <w:t>Repositório: https://github.com/M-4vlis/PAC-Digital-MPRJ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120" w:type="dxa"/>
    </w:tblPr>
    <w:tblGrid>
      <w:gridCol w:w="7200"/>
      <w:gridCol w:w="2160"/>
    </w:tblGrid>
    <w:tr>
      <w:trPr>
        <w:tblHeader w:val="true"/>
      </w:trPr>
      <w:tc>
        <w:tcPr>
          <w:tcW w:type="dxa" w:w="720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6B6265"/>
              <w:sz w:val="16"/>
            </w:rPr>
            <w:t>v1.0 RC2  |  Material de capacitação</w:t>
          </w:r>
        </w:p>
      </w:tc>
      <w:tc>
        <w:tcPr>
          <w:tcW w:type="dxa" w:w="216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6B6265"/>
              <w:sz w:val="16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42101F"/>
        <w:sz w:val="17"/>
      </w:rPr>
      <w:t>PAC DIGITAL MPRJ  |  GUIA DE ESTUDO E APRESENTAÇÃO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B23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4210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81C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681C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 Digital MPRJ - Guia de Estudo e Apresentação v1.0 RC2</dc:title>
  <dc:subject>Capacitação autônoma para apresentação executiva e técnica</dc:subject>
  <dc:creator>PAC Digital MPRJ</dc:creator>
  <cp:keywords>PAC, MPRJ, DFD, PNCP, SEI, governança, homologação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