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20"/>
      </w:pPr>
    </w:p>
    <w:p>
      <w:pPr>
        <w:keepLines w:val="0"/>
        <w:spacing w:after="240"/>
        <w:jc w:val="center"/>
      </w:pPr>
      <w:r>
        <w:rPr>
          <w:rFonts w:ascii="Arial" w:hAnsi="Arial"/>
          <w:b/>
          <w:color w:val="C49A3A"/>
          <w:sz w:val="22"/>
        </w:rPr>
        <w:t>GUIA DE DOMÍNIO E APRESENTAÇÃO</w:t>
      </w:r>
    </w:p>
    <w:p>
      <w:pPr>
        <w:keepLines w:val="0"/>
        <w:spacing w:after="160"/>
        <w:jc w:val="center"/>
      </w:pPr>
      <w:r>
        <w:rPr>
          <w:rFonts w:ascii="Arial" w:hAnsi="Arial"/>
          <w:b/>
          <w:color w:val="681C32"/>
          <w:sz w:val="60"/>
        </w:rPr>
        <w:t>PAC Digital MPRJ</w:t>
      </w:r>
    </w:p>
    <w:p>
      <w:pPr>
        <w:keepLines w:val="0"/>
        <w:spacing w:after="560"/>
        <w:jc w:val="center"/>
      </w:pPr>
      <w:r>
        <w:rPr>
          <w:rFonts w:ascii="Arial" w:hAnsi="Arial"/>
          <w:b w:val="0"/>
          <w:color w:val="665C60"/>
          <w:sz w:val="30"/>
        </w:rPr>
        <w:t>Como demonstrar, explicar e defender a v1.0 RC1 com segurança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3EA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OBJETIVO  </w:t>
            </w:r>
            <w:r>
              <w:rPr>
                <w:rFonts w:ascii="Arial" w:hAnsi="Arial"/>
                <w:color w:val="211B1D"/>
                <w:sz w:val="21"/>
              </w:rPr>
              <w:t>Permitir uma apresentação executiva convincente sem exagerar o estágio do produto: mostrar valor, prova técnica e caminho objetivo até a produção institucional.</w:t>
            </w:r>
          </w:p>
        </w:tc>
      </w:tr>
    </w:tbl>
    <w:p>
      <w:pPr>
        <w:spacing w:after="20"/>
      </w:pPr>
    </w:p>
    <w:p>
      <w:pPr>
        <w:spacing w:after="680"/>
      </w:pPr>
    </w:p>
    <w:p>
      <w:pPr>
        <w:keepLines w:val="0"/>
        <w:spacing w:after="100"/>
        <w:jc w:val="center"/>
      </w:pPr>
      <w:r>
        <w:rPr>
          <w:rFonts w:ascii="Arial" w:hAnsi="Arial"/>
          <w:b/>
          <w:color w:val="681C32"/>
          <w:sz w:val="24"/>
        </w:rPr>
        <w:t>Ambiente demonstrativo</w:t>
      </w:r>
    </w:p>
    <w:p>
      <w:pPr>
        <w:keepLines w:val="0"/>
        <w:spacing w:after="40"/>
        <w:jc w:val="center"/>
      </w:pPr>
      <w:r>
        <w:rPr>
          <w:rFonts w:ascii="Arial" w:hAnsi="Arial"/>
          <w:b/>
          <w:color w:val="211B1D"/>
          <w:sz w:val="22"/>
        </w:rPr>
        <w:t>https://pac.163-176-228-150.sslip.io/</w:t>
      </w:r>
    </w:p>
    <w:p>
      <w:pPr>
        <w:keepLines w:val="0"/>
        <w:spacing w:after="560"/>
        <w:jc w:val="center"/>
      </w:pPr>
      <w:r>
        <w:rPr>
          <w:rFonts w:ascii="Arial" w:hAnsi="Arial"/>
          <w:b/>
          <w:color w:val="681C32"/>
          <w:sz w:val="22"/>
        </w:rPr>
        <w:t>usuário: pac-demo   |   senha: pac-demo</w:t>
      </w:r>
    </w:p>
    <w:p>
      <w:pPr>
        <w:keepLines w:val="0"/>
        <w:jc w:val="center"/>
      </w:pPr>
      <w:r>
        <w:rPr>
          <w:rFonts w:ascii="Arial" w:hAnsi="Arial"/>
          <w:b w:val="0"/>
          <w:color w:val="665C60"/>
          <w:sz w:val="19"/>
        </w:rPr>
        <w:t>Uso controlado • carteira fictícia • inteligência histórica com dados públicos do PNCP</w:t>
      </w:r>
    </w:p>
    <w:p>
      <w:pPr>
        <w:pStyle w:val="Heading1"/>
        <w:keepLines w:val="0"/>
        <w:pageBreakBefore/>
      </w:pPr>
      <w:r>
        <w:rPr>
          <w:rFonts w:ascii="Arial" w:hAnsi="Arial"/>
          <w:color w:val="211B1D"/>
          <w:sz w:val="34"/>
        </w:rPr>
        <w:t>1. A mensagem que deve ficar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E9EC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FRASE CENTRAL  </w:t>
            </w:r>
            <w:r>
              <w:rPr>
                <w:rFonts w:ascii="Arial" w:hAnsi="Arial"/>
                <w:color w:val="211B1D"/>
                <w:sz w:val="21"/>
              </w:rPr>
              <w:t>O PAC Digital transforma o plano anual de contratações de documento estático em carteira governada, acompanhável e integrável.</w:t>
            </w:r>
          </w:p>
        </w:tc>
      </w:tr>
    </w:tbl>
    <w:p>
      <w:pPr>
        <w:spacing w:after="20"/>
      </w:pPr>
    </w:p>
    <w:p>
      <w:pPr>
        <w:pStyle w:val="Heading2"/>
        <w:keepLines w:val="0"/>
      </w:pPr>
      <w:r>
        <w:rPr>
          <w:rFonts w:ascii="Arial" w:hAnsi="Arial"/>
          <w:color w:val="211B1D"/>
          <w:sz w:val="26"/>
        </w:rPr>
        <w:t>Três ideias para repetir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Gestão: cada demanda tem responsável, valor, prazo, risco, execução e histórico.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Governança: revisões, justificativas e aprovações deixam evidência verificável.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Integração: identidade, SEI! e PNCP entram por adaptadores, sem reescrever o núcleo.</w:t>
      </w:r>
    </w:p>
    <w:p>
      <w:pPr>
        <w:pStyle w:val="Heading2"/>
        <w:keepLines w:val="0"/>
      </w:pPr>
      <w:r>
        <w:rPr>
          <w:rFonts w:ascii="Arial" w:hAnsi="Arial"/>
          <w:color w:val="211B1D"/>
          <w:sz w:val="26"/>
        </w:rPr>
        <w:t>Posicionamento correto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É uma candidata v1.0 pronta para homologação institucional — não uma promessa conceitual.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A carteira demonstrativa é fictícia; os 964 contratos históricos são dados públicos reais do PNCP referentes ao MPRJ.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Produção depende de decisões e credenciais institucionais, não de reconstrução do produto.</w:t>
      </w:r>
    </w:p>
    <w:p>
      <w:pPr>
        <w:pStyle w:val="Heading1"/>
        <w:keepLines w:val="0"/>
      </w:pPr>
      <w:r>
        <w:rPr>
          <w:rFonts w:ascii="Arial" w:hAnsi="Arial"/>
          <w:color w:val="211B1D"/>
          <w:sz w:val="34"/>
        </w:rPr>
        <w:t>2. Pitch em três durações</w:t>
      </w:r>
    </w:p>
    <w:p>
      <w:pPr>
        <w:pStyle w:val="Heading2"/>
        <w:keepLines w:val="0"/>
      </w:pPr>
      <w:r>
        <w:rPr>
          <w:rFonts w:ascii="Arial" w:hAnsi="Arial"/>
          <w:color w:val="211B1D"/>
          <w:sz w:val="26"/>
        </w:rPr>
        <w:t>30 segundos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E9EC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DIGA  </w:t>
            </w:r>
            <w:r>
              <w:rPr>
                <w:rFonts w:ascii="Arial" w:hAnsi="Arial"/>
                <w:color w:val="211B1D"/>
                <w:sz w:val="21"/>
              </w:rPr>
              <w:t>O PAC Digital MPRJ centraliza planejamento, revisões, execução, riscos e transparência numa única carteira auditável. A v1.0 RC1 já demonstra o ciclo completo, usa inteligência pública do PNCP e foi construída para integrar identidade institucional, SEI! e PNCP sem dependência obrigatória de SaaS. O próximo passo é homologar.</w:t>
            </w:r>
          </w:p>
        </w:tc>
      </w:tr>
    </w:tbl>
    <w:p>
      <w:pPr>
        <w:spacing w:after="20"/>
      </w:pPr>
    </w:p>
    <w:p>
      <w:pPr>
        <w:pStyle w:val="Heading2"/>
        <w:keepLines w:val="0"/>
      </w:pPr>
      <w:r>
        <w:rPr>
          <w:rFonts w:ascii="Arial" w:hAnsi="Arial"/>
          <w:color w:val="211B1D"/>
          <w:sz w:val="26"/>
        </w:rPr>
        <w:t>2 minutos</w:t>
      </w:r>
    </w:p>
    <w:p>
      <w:pPr>
        <w:keepLines w:val="0"/>
      </w:pPr>
      <w:r>
        <w:rPr>
          <w:rFonts w:ascii="Arial" w:hAnsi="Arial"/>
          <w:b w:val="0"/>
          <w:color w:val="211B1D"/>
          <w:sz w:val="21"/>
        </w:rPr>
        <w:t>Hoje, o PAC tende a funcionar como fotografia do planejamento. A proposta é tratá-lo como uma carteira viva. Cada demanda passa a reunir valor, prazo, responsáveis, riscos, marcos, aprovações, execução e histórico. A gestão vê planejado versus executado; as áreas enxergam pendências; e a instituição preserva a memória das decisões.</w:t>
      </w:r>
    </w:p>
    <w:p>
      <w:pPr>
        <w:keepLines w:val="0"/>
      </w:pPr>
      <w:r>
        <w:rPr>
          <w:rFonts w:ascii="Arial" w:hAnsi="Arial"/>
          <w:b w:val="0"/>
          <w:color w:val="211B1D"/>
          <w:sz w:val="21"/>
        </w:rPr>
        <w:t>A RC já entrega o ciclo demonstrável, relatórios, transparência versionada e inteligência baseada em 964 contratos públicos do MPRJ no PNCP. Nenhuma transmissão externa está habilitada. Para produção, precisamos conectar identidade, homologar regras e receber os contratos de integração do SEI! e do PNCP.</w:t>
      </w:r>
    </w:p>
    <w:p>
      <w:pPr>
        <w:pStyle w:val="Heading2"/>
        <w:keepLines w:val="0"/>
      </w:pPr>
      <w:r>
        <w:rPr>
          <w:rFonts w:ascii="Arial" w:hAnsi="Arial"/>
          <w:color w:val="211B1D"/>
          <w:sz w:val="26"/>
        </w:rPr>
        <w:t>10 minutos</w:t>
      </w:r>
    </w:p>
    <w:p>
      <w:pPr>
        <w:pStyle w:val="ListNumber"/>
        <w:spacing w:after="80"/>
        <w:ind w:left="547" w:hanging="274"/>
      </w:pPr>
      <w:r>
        <w:rPr>
          <w:rFonts w:ascii="Arial" w:hAnsi="Arial"/>
          <w:color w:val="211B1D"/>
          <w:sz w:val="21"/>
        </w:rPr>
        <w:t>Problema e proposta — 45 s.</w:t>
      </w:r>
    </w:p>
    <w:p>
      <w:pPr>
        <w:pStyle w:val="ListNumber"/>
        <w:spacing w:after="80"/>
        <w:ind w:left="547" w:hanging="274"/>
      </w:pPr>
      <w:r>
        <w:rPr>
          <w:rFonts w:ascii="Arial" w:hAnsi="Arial"/>
          <w:color w:val="211B1D"/>
          <w:sz w:val="21"/>
        </w:rPr>
        <w:t>Visão executiva — 90 s.</w:t>
      </w:r>
    </w:p>
    <w:p>
      <w:pPr>
        <w:pStyle w:val="ListNumber"/>
        <w:spacing w:after="80"/>
        <w:ind w:left="547" w:hanging="274"/>
      </w:pPr>
      <w:r>
        <w:rPr>
          <w:rFonts w:ascii="Arial" w:hAnsi="Arial"/>
          <w:color w:val="211B1D"/>
          <w:sz w:val="21"/>
        </w:rPr>
        <w:t>Detalhe de uma demanda de alto risco — 2 min.</w:t>
      </w:r>
    </w:p>
    <w:p>
      <w:pPr>
        <w:pStyle w:val="ListNumber"/>
        <w:spacing w:after="80"/>
        <w:ind w:left="547" w:hanging="274"/>
      </w:pPr>
      <w:r>
        <w:rPr>
          <w:rFonts w:ascii="Arial" w:hAnsi="Arial"/>
          <w:color w:val="211B1D"/>
          <w:sz w:val="21"/>
        </w:rPr>
        <w:t>Inteligência PNCP e transparência — 2 min.</w:t>
      </w:r>
    </w:p>
    <w:p>
      <w:pPr>
        <w:pStyle w:val="ListNumber"/>
        <w:spacing w:after="80"/>
        <w:ind w:left="547" w:hanging="274"/>
      </w:pPr>
      <w:r>
        <w:rPr>
          <w:rFonts w:ascii="Arial" w:hAnsi="Arial"/>
          <w:color w:val="211B1D"/>
          <w:sz w:val="21"/>
        </w:rPr>
        <w:t>Integrações e segurança — 90 s.</w:t>
      </w:r>
    </w:p>
    <w:p>
      <w:pPr>
        <w:pStyle w:val="ListNumber"/>
        <w:spacing w:after="80"/>
        <w:ind w:left="547" w:hanging="274"/>
      </w:pPr>
      <w:r>
        <w:rPr>
          <w:rFonts w:ascii="Arial" w:hAnsi="Arial"/>
          <w:color w:val="211B1D"/>
          <w:sz w:val="21"/>
        </w:rPr>
        <w:t>Governança — 60 s.</w:t>
      </w:r>
    </w:p>
    <w:p>
      <w:pPr>
        <w:pStyle w:val="ListNumber"/>
        <w:spacing w:after="80"/>
        <w:ind w:left="547" w:hanging="274"/>
      </w:pPr>
      <w:r>
        <w:rPr>
          <w:rFonts w:ascii="Arial" w:hAnsi="Arial"/>
          <w:color w:val="211B1D"/>
          <w:sz w:val="21"/>
        </w:rPr>
        <w:t>Decisão solicitada — 45 s.</w:t>
      </w:r>
    </w:p>
    <w:p>
      <w:pPr>
        <w:pStyle w:val="Heading1"/>
        <w:keepLines w:val="0"/>
        <w:pageBreakBefore/>
      </w:pPr>
      <w:r>
        <w:rPr>
          <w:rFonts w:ascii="Arial" w:hAnsi="Arial"/>
          <w:color w:val="211B1D"/>
          <w:sz w:val="34"/>
        </w:rPr>
        <w:t>3. Roteiro da demonstração ao vivo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50"/>
        <w:gridCol w:w="4070"/>
        <w:gridCol w:w="3240"/>
      </w:tblGrid>
      <w:t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  <w:top w:w="90" w:type="dxa"/>
              <w:start w:w="120" w:type="dxa"/>
              <w:bottom w:w="90" w:type="dxa"/>
              <w:end w:w="120" w:type="dxa"/>
            </w:tcMar>
            <w:shd w:fill="681C32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TELA</w:t>
            </w:r>
          </w:p>
        </w:tc>
        <w:tc>
          <w:tcPr>
            <w:tcW w:type="dxa" w:w="4070"/>
            <w:vAlign w:val="center"/>
            <w:tcMar>
              <w:top w:w="90" w:type="dxa"/>
              <w:start w:w="120" w:type="dxa"/>
              <w:bottom w:w="90" w:type="dxa"/>
              <w:end w:w="120" w:type="dxa"/>
              <w:top w:w="90" w:type="dxa"/>
              <w:start w:w="120" w:type="dxa"/>
              <w:bottom w:w="90" w:type="dxa"/>
              <w:end w:w="120" w:type="dxa"/>
            </w:tcMar>
            <w:shd w:fill="681C32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 QUE MOSTRAR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  <w:top w:w="90" w:type="dxa"/>
              <w:start w:w="120" w:type="dxa"/>
              <w:bottom w:w="90" w:type="dxa"/>
              <w:end w:w="120" w:type="dxa"/>
            </w:tcMar>
            <w:shd w:fill="681C32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MENSAGEM</w:t>
            </w:r>
          </w:p>
        </w:tc>
      </w:tr>
      <w:tr>
        <w:tc>
          <w:tcPr>
            <w:tcW w:type="dxa" w:w="205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211B1D"/>
                <w:sz w:val="18"/>
              </w:rPr>
              <w:t>1. Visão executiva</w:t>
            </w:r>
          </w:p>
        </w:tc>
        <w:tc>
          <w:tcPr>
            <w:tcW w:type="dxa" w:w="407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Mostre planejado × executado, distribuição, alterações e prioridades.</w:t>
            </w:r>
          </w:p>
        </w:tc>
        <w:tc>
          <w:tcPr>
            <w:tcW w:type="dxa" w:w="324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A liderança começa pelo que exige decisão.</w:t>
            </w:r>
          </w:p>
        </w:tc>
      </w:tr>
      <w:tr>
        <w:tc>
          <w:tcPr>
            <w:tcW w:type="dxa" w:w="20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211B1D"/>
                <w:sz w:val="18"/>
              </w:rPr>
              <w:t>2. Demanda de risco alto</w:t>
            </w:r>
          </w:p>
        </w:tc>
        <w:tc>
          <w:tcPr>
            <w:tcW w:type="dxa" w:w="407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Abra o detalhe e percorra valores, data desejada, motivos do risco e marcos.</w:t>
            </w:r>
          </w:p>
        </w:tc>
        <w:tc>
          <w:tcPr>
            <w:tcW w:type="dxa" w:w="324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O risco é explicável e acionável.</w:t>
            </w:r>
          </w:p>
        </w:tc>
      </w:tr>
      <w:tr>
        <w:tc>
          <w:tcPr>
            <w:tcW w:type="dxa" w:w="205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211B1D"/>
                <w:sz w:val="18"/>
              </w:rPr>
              <w:t>3. Governança</w:t>
            </w:r>
          </w:p>
        </w:tc>
        <w:tc>
          <w:tcPr>
            <w:tcW w:type="dxa" w:w="407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Mostre versão, justificativa, aprovação e eventos.</w:t>
            </w:r>
          </w:p>
        </w:tc>
        <w:tc>
          <w:tcPr>
            <w:tcW w:type="dxa" w:w="324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A mudança não apaga o passado.</w:t>
            </w:r>
          </w:p>
        </w:tc>
      </w:tr>
      <w:tr>
        <w:tc>
          <w:tcPr>
            <w:tcW w:type="dxa" w:w="20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211B1D"/>
                <w:sz w:val="18"/>
              </w:rPr>
              <w:t>4. Inteligência PNCP</w:t>
            </w:r>
          </w:p>
        </w:tc>
        <w:tc>
          <w:tcPr>
            <w:tcW w:type="dxa" w:w="407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Mostre cobertura, P50/P75/P90 e origem pública.</w:t>
            </w:r>
          </w:p>
        </w:tc>
        <w:tc>
          <w:tcPr>
            <w:tcW w:type="dxa" w:w="324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Histórico real melhora a referência sem contaminar a carteira fictícia.</w:t>
            </w:r>
          </w:p>
        </w:tc>
      </w:tr>
      <w:tr>
        <w:tc>
          <w:tcPr>
            <w:tcW w:type="dxa" w:w="205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211B1D"/>
                <w:sz w:val="18"/>
              </w:rPr>
              <w:t>5. Transparência e relatórios</w:t>
            </w:r>
          </w:p>
        </w:tc>
        <w:tc>
          <w:tcPr>
            <w:tcW w:type="dxa" w:w="407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Abra snapshot, hash e exportações PDF/XLSX.</w:t>
            </w:r>
          </w:p>
        </w:tc>
        <w:tc>
          <w:tcPr>
            <w:tcW w:type="dxa" w:w="324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A informação pode ser conferida e levada para fora do sistema.</w:t>
            </w:r>
          </w:p>
        </w:tc>
      </w:tr>
      <w:tr>
        <w:tc>
          <w:tcPr>
            <w:tcW w:type="dxa" w:w="205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211B1D"/>
                <w:sz w:val="18"/>
              </w:rPr>
              <w:t>6. Integrações</w:t>
            </w:r>
          </w:p>
        </w:tc>
        <w:tc>
          <w:tcPr>
            <w:tcW w:type="dxa" w:w="407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Mostre identidade, SEI! e PCA/PNCP separados.</w:t>
            </w:r>
          </w:p>
        </w:tc>
        <w:tc>
          <w:tcPr>
            <w:tcW w:type="dxa" w:w="324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A ativação é controlada e depende de autorização.</w:t>
            </w:r>
          </w:p>
        </w:tc>
      </w:tr>
      <w:tr>
        <w:tc>
          <w:tcPr>
            <w:tcW w:type="dxa" w:w="205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211B1D"/>
                <w:sz w:val="18"/>
              </w:rPr>
              <w:t>7. Fechamento</w:t>
            </w:r>
          </w:p>
        </w:tc>
        <w:tc>
          <w:tcPr>
            <w:tcW w:type="dxa" w:w="407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Volte à visão executiva e peça a homologação.</w:t>
            </w:r>
          </w:p>
        </w:tc>
        <w:tc>
          <w:tcPr>
            <w:tcW w:type="dxa" w:w="324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O próximo passo é institucionalizar, não reinventar.</w:t>
            </w:r>
          </w:p>
        </w:tc>
      </w:tr>
    </w:tbl>
    <w:p>
      <w:pPr>
        <w:pStyle w:val="Heading2"/>
        <w:keepLines w:val="0"/>
      </w:pPr>
      <w:r>
        <w:rPr>
          <w:rFonts w:ascii="Arial" w:hAnsi="Arial"/>
          <w:color w:val="211B1D"/>
          <w:sz w:val="26"/>
        </w:rPr>
        <w:t>Disciplina de apresentação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Não navegar sem objetivo. Cada tela deve responder a uma pergunta executiva.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Não aprofundar arquitetura antes de demonstrar valor para a gestão.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Não chamar parâmetros de prazo de norma; são referências configuráveis.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Não dizer que SEI!/PNCP já transmitem; dizer que os adaptadores e validações estão preparados.</w:t>
      </w:r>
    </w:p>
    <w:p>
      <w:pPr>
        <w:pStyle w:val="Heading1"/>
        <w:keepLines w:val="0"/>
        <w:pageBreakBefore/>
      </w:pPr>
      <w:r>
        <w:rPr>
          <w:rFonts w:ascii="Arial" w:hAnsi="Arial"/>
          <w:color w:val="211B1D"/>
          <w:sz w:val="34"/>
        </w:rPr>
        <w:t>4. Como dominar cada capacidade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4100"/>
        <w:gridCol w:w="3360"/>
      </w:tblGrid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  <w:top w:w="90" w:type="dxa"/>
              <w:start w:w="120" w:type="dxa"/>
              <w:bottom w:w="90" w:type="dxa"/>
              <w:end w:w="120" w:type="dxa"/>
            </w:tcMar>
            <w:shd w:fill="681C32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CAPACIDADE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  <w:top w:w="90" w:type="dxa"/>
              <w:start w:w="120" w:type="dxa"/>
              <w:bottom w:w="90" w:type="dxa"/>
              <w:end w:w="120" w:type="dxa"/>
            </w:tcMar>
            <w:shd w:fill="681C32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VALOR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  <w:top w:w="90" w:type="dxa"/>
              <w:start w:w="120" w:type="dxa"/>
              <w:bottom w:w="90" w:type="dxa"/>
              <w:end w:w="120" w:type="dxa"/>
            </w:tcMar>
            <w:shd w:fill="681C32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 QUE SABER MOSTRAR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211B1D"/>
                <w:sz w:val="18"/>
              </w:rPr>
              <w:t>Carteira</w:t>
            </w:r>
          </w:p>
        </w:tc>
        <w:tc>
          <w:tcPr>
            <w:tcW w:type="dxa" w:w="4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Consolida demandas e permite acompanhar o ciclo inteiro.</w:t>
            </w:r>
          </w:p>
        </w:tc>
        <w:tc>
          <w:tcPr>
            <w:tcW w:type="dxa" w:w="33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responsável, valor, estado, risco, versão</w:t>
            </w:r>
          </w:p>
        </w:tc>
      </w:tr>
      <w:tr>
        <w:tc>
          <w:tcPr>
            <w:tcW w:type="dxa" w:w="190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211B1D"/>
                <w:sz w:val="18"/>
              </w:rPr>
              <w:t>Revisões</w:t>
            </w:r>
          </w:p>
        </w:tc>
        <w:tc>
          <w:tcPr>
            <w:tcW w:type="dxa" w:w="410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Aplica alterações aprovadas criando nova versão.</w:t>
            </w:r>
          </w:p>
        </w:tc>
        <w:tc>
          <w:tcPr>
            <w:tcW w:type="dxa" w:w="336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pedido, aprovação, justificativa, antes/depois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211B1D"/>
                <w:sz w:val="18"/>
              </w:rPr>
              <w:t>Pós-LOA</w:t>
            </w:r>
          </w:p>
        </w:tc>
        <w:tc>
          <w:tcPr>
            <w:tcW w:type="dxa" w:w="4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Preserva valor original, revisado e ajustado.</w:t>
            </w:r>
          </w:p>
        </w:tc>
        <w:tc>
          <w:tcPr>
            <w:tcW w:type="dxa" w:w="33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diferença financeira e motivação</w:t>
            </w:r>
          </w:p>
        </w:tc>
      </w:tr>
      <w:tr>
        <w:tc>
          <w:tcPr>
            <w:tcW w:type="dxa" w:w="190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211B1D"/>
                <w:sz w:val="18"/>
              </w:rPr>
              <w:t>Retroplanejamento</w:t>
            </w:r>
          </w:p>
        </w:tc>
        <w:tc>
          <w:tcPr>
            <w:tcW w:type="dxa" w:w="410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Calcula marcos anteriores à data desejada.</w:t>
            </w:r>
          </w:p>
        </w:tc>
        <w:tc>
          <w:tcPr>
            <w:tcW w:type="dxa" w:w="336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parâmetros configuráveis e não normativos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211B1D"/>
                <w:sz w:val="18"/>
              </w:rPr>
              <w:t>Execução</w:t>
            </w:r>
          </w:p>
        </w:tc>
        <w:tc>
          <w:tcPr>
            <w:tcW w:type="dxa" w:w="4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Separa estado do PAC do estado operacional.</w:t>
            </w:r>
          </w:p>
        </w:tc>
        <w:tc>
          <w:tcPr>
            <w:tcW w:type="dxa" w:w="33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processo, marcos, contratado, resultado</w:t>
            </w:r>
          </w:p>
        </w:tc>
      </w:tr>
      <w:tr>
        <w:tc>
          <w:tcPr>
            <w:tcW w:type="dxa" w:w="190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211B1D"/>
                <w:sz w:val="18"/>
              </w:rPr>
              <w:t>Governança</w:t>
            </w:r>
          </w:p>
        </w:tc>
        <w:tc>
          <w:tcPr>
            <w:tcW w:type="dxa" w:w="410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Mantém eventos e decisões auditáveis.</w:t>
            </w:r>
          </w:p>
        </w:tc>
        <w:tc>
          <w:tcPr>
            <w:tcW w:type="dxa" w:w="336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quem, quando, papel, objeto e consequência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211B1D"/>
                <w:sz w:val="18"/>
              </w:rPr>
              <w:t>Transparência</w:t>
            </w:r>
          </w:p>
        </w:tc>
        <w:tc>
          <w:tcPr>
            <w:tcW w:type="dxa" w:w="4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Publica snapshot imutável com hash.</w:t>
            </w:r>
          </w:p>
        </w:tc>
        <w:tc>
          <w:tcPr>
            <w:tcW w:type="dxa" w:w="33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versão, exercício, integridade e minimização</w:t>
            </w:r>
          </w:p>
        </w:tc>
      </w:tr>
      <w:tr>
        <w:tc>
          <w:tcPr>
            <w:tcW w:type="dxa" w:w="190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211B1D"/>
                <w:sz w:val="18"/>
              </w:rPr>
              <w:t>Relatórios</w:t>
            </w:r>
          </w:p>
        </w:tc>
        <w:tc>
          <w:tcPr>
            <w:tcW w:type="dxa" w:w="410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Gera PDF e XLSX portáteis.</w:t>
            </w:r>
          </w:p>
        </w:tc>
        <w:tc>
          <w:tcPr>
            <w:tcW w:type="dxa" w:w="3360"/>
            <w:shd w:fill="F7F3E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gestão, arquivo e compartilhamento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211B1D"/>
                <w:sz w:val="18"/>
              </w:rPr>
              <w:t>PNCP histórico</w:t>
            </w:r>
          </w:p>
        </w:tc>
        <w:tc>
          <w:tcPr>
            <w:tcW w:type="dxa" w:w="41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Importa contratos públicos do MPRJ.</w:t>
            </w:r>
          </w:p>
        </w:tc>
        <w:tc>
          <w:tcPr>
            <w:tcW w:type="dxa" w:w="336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11B1D"/>
                <w:sz w:val="18"/>
              </w:rPr>
              <w:t>origem, cobertura, P50/P75/P90, sem fornecedores</w:t>
            </w:r>
          </w:p>
        </w:tc>
      </w:tr>
    </w:tbl>
    <w:p>
      <w:pPr>
        <w:pStyle w:val="Heading1"/>
        <w:keepLines w:val="0"/>
        <w:pageBreakBefore/>
      </w:pPr>
      <w:r>
        <w:rPr>
          <w:rFonts w:ascii="Arial" w:hAnsi="Arial"/>
          <w:color w:val="211B1D"/>
          <w:sz w:val="34"/>
        </w:rPr>
        <w:t>5. Integrações: resposta segura</w:t>
      </w:r>
    </w:p>
    <w:p>
      <w:pPr>
        <w:pStyle w:val="Heading2"/>
        <w:keepLines w:val="0"/>
      </w:pPr>
      <w:r>
        <w:rPr>
          <w:rFonts w:ascii="Arial" w:hAnsi="Arial"/>
          <w:color w:val="211B1D"/>
          <w:sz w:val="26"/>
        </w:rPr>
        <w:t>Identidade institucional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A aplicação já trabalha com papéis e autorizações demonstrativas no backend.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Para uso real, deve receber o provedor institucional OIDC/LDAP, os grupos, unidades e alçadas oficiais.</w:t>
      </w:r>
    </w:p>
    <w:p>
      <w:pPr>
        <w:pStyle w:val="Heading2"/>
        <w:keepLines w:val="0"/>
      </w:pPr>
      <w:r>
        <w:rPr>
          <w:rFonts w:ascii="Arial" w:hAnsi="Arial"/>
          <w:color w:val="211B1D"/>
          <w:sz w:val="26"/>
        </w:rPr>
        <w:t>SEI!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A arquitetura prevê adaptador para o Web Service oficial SOAP/WSDL.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Ativação depende do WSDL da instância MPRJ, operações liberadas, unidades, credencial e eventual autorização de IP.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A demonstração preserva vínculo local e prontidão, sem enviar dados internos.</w:t>
      </w:r>
    </w:p>
    <w:p>
      <w:pPr>
        <w:pStyle w:val="Heading2"/>
        <w:keepLines w:val="0"/>
      </w:pPr>
      <w:r>
        <w:rPr>
          <w:rFonts w:ascii="Arial" w:hAnsi="Arial"/>
          <w:color w:val="211B1D"/>
          <w:sz w:val="26"/>
        </w:rPr>
        <w:t>PCA/PNCP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O sistema gera e pré-valida payload localmente, mas não publica.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A base histórica usa a API pública em modo somente leitura, limitada ao CNPJ do MPRJ.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Publicação real exige homologação do payload, catálogo e credencial institucional.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E9DB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REGRA DE OURO  </w:t>
            </w:r>
            <w:r>
              <w:rPr>
                <w:rFonts w:ascii="Arial" w:hAnsi="Arial"/>
                <w:color w:val="211B1D"/>
                <w:sz w:val="21"/>
              </w:rPr>
              <w:t>Integração pronta significa ponto de conexão preparado e testável; não significa credencial concedida nem transmissão autorizada.</w:t>
            </w:r>
          </w:p>
        </w:tc>
      </w:tr>
    </w:tbl>
    <w:p>
      <w:pPr>
        <w:spacing w:after="20"/>
      </w:pPr>
    </w:p>
    <w:p>
      <w:pPr>
        <w:pStyle w:val="Heading1"/>
        <w:keepLines w:val="0"/>
      </w:pPr>
      <w:r>
        <w:rPr>
          <w:rFonts w:ascii="Arial" w:hAnsi="Arial"/>
          <w:color w:val="211B1D"/>
          <w:sz w:val="34"/>
        </w:rPr>
        <w:t>6. Provas que sustentam a proposta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3EA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PRODUTO  </w:t>
            </w:r>
            <w:r>
              <w:rPr>
                <w:rFonts w:ascii="Arial" w:hAnsi="Arial"/>
                <w:color w:val="211B1D"/>
                <w:sz w:val="21"/>
              </w:rPr>
              <w:t>ciclo completo demonstrável; seis demandas fictícias; visão executiva, carteira, detalhe, governança e integrações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3EA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DADOS  </w:t>
            </w:r>
            <w:r>
              <w:rPr>
                <w:rFonts w:ascii="Arial" w:hAnsi="Arial"/>
                <w:color w:val="211B1D"/>
                <w:sz w:val="21"/>
              </w:rPr>
              <w:t>964 contratos públicos do MPRJ no PNCP, 2022–2026; total inicial agregado de R$ 1,432 bilhão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3EA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QUALIDADE  </w:t>
            </w:r>
            <w:r>
              <w:rPr>
                <w:rFonts w:ascii="Arial" w:hAnsi="Arial"/>
                <w:color w:val="211B1D"/>
                <w:sz w:val="21"/>
              </w:rPr>
              <w:t>12 testes automatizados; cadeia de migrations 0001→0005; build React/TypeScript/Vite concluído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3EA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OPERAÇÃO  </w:t>
            </w:r>
            <w:r>
              <w:rPr>
                <w:rFonts w:ascii="Arial" w:hAnsi="Arial"/>
                <w:color w:val="211B1D"/>
                <w:sz w:val="21"/>
              </w:rPr>
              <w:t>HTTPS ativo; PostgreSQL 16; healthchecks; backup com checksum; restauração comprovada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3EA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SEGURANÇA  </w:t>
            </w:r>
            <w:r>
              <w:rPr>
                <w:rFonts w:ascii="Arial" w:hAnsi="Arial"/>
                <w:color w:val="211B1D"/>
                <w:sz w:val="21"/>
              </w:rPr>
              <w:t>CSP, rate limit, no-store, correlação de respostas, segredos fora do repositório e transmissões bloqueadas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3EA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PORTABILIDADE  </w:t>
            </w:r>
            <w:r>
              <w:rPr>
                <w:rFonts w:ascii="Arial" w:hAnsi="Arial"/>
                <w:color w:val="211B1D"/>
                <w:sz w:val="21"/>
              </w:rPr>
              <w:t>Docker, PostgreSQL, FastAPI e React; sem SaaS obrigatório</w:t>
            </w:r>
          </w:p>
        </w:tc>
      </w:tr>
    </w:tbl>
    <w:p>
      <w:pPr>
        <w:spacing w:after="20"/>
      </w:pPr>
    </w:p>
    <w:p>
      <w:pPr>
        <w:pStyle w:val="Heading1"/>
        <w:keepLines w:val="0"/>
        <w:pageBreakBefore/>
      </w:pPr>
      <w:r>
        <w:rPr>
          <w:rFonts w:ascii="Arial" w:hAnsi="Arial"/>
          <w:color w:val="211B1D"/>
          <w:sz w:val="34"/>
        </w:rPr>
        <w:t>7. Perguntas difíceis e respostas</w:t>
      </w:r>
    </w:p>
    <w:p>
      <w:pPr>
        <w:pStyle w:val="Heading2"/>
        <w:keepLines w:val="0"/>
      </w:pPr>
      <w:r>
        <w:rPr>
          <w:rFonts w:ascii="Arial" w:hAnsi="Arial"/>
          <w:color w:val="211B1D"/>
          <w:sz w:val="26"/>
        </w:rPr>
        <w:t>Já está pronto para produção?</w:t>
      </w:r>
    </w:p>
    <w:p>
      <w:pPr>
        <w:keepLines w:val="0"/>
      </w:pPr>
      <w:r>
        <w:rPr>
          <w:rFonts w:ascii="Arial" w:hAnsi="Arial"/>
          <w:b w:val="0"/>
          <w:color w:val="211B1D"/>
          <w:sz w:val="21"/>
        </w:rPr>
        <w:t>Está pronto para homologação institucional. Produção depende de identidade, regras oficiais, credenciais, infraestrutura e aceite das áreas competentes.</w:t>
      </w:r>
    </w:p>
    <w:p>
      <w:pPr>
        <w:pStyle w:val="Heading2"/>
        <w:keepLines w:val="0"/>
      </w:pPr>
      <w:r>
        <w:rPr>
          <w:rFonts w:ascii="Arial" w:hAnsi="Arial"/>
          <w:color w:val="211B1D"/>
          <w:sz w:val="26"/>
        </w:rPr>
        <w:t>Usa dados reais?</w:t>
      </w:r>
    </w:p>
    <w:p>
      <w:pPr>
        <w:keepLines w:val="0"/>
      </w:pPr>
      <w:r>
        <w:rPr>
          <w:rFonts w:ascii="Arial" w:hAnsi="Arial"/>
          <w:b w:val="0"/>
          <w:color w:val="211B1D"/>
          <w:sz w:val="21"/>
        </w:rPr>
        <w:t>A carteira operacional é fictícia. A inteligência histórica usa somente dados públicos do PNCP referentes ao MPRJ e não armazena fornecedores.</w:t>
      </w:r>
    </w:p>
    <w:p>
      <w:pPr>
        <w:pStyle w:val="Heading2"/>
        <w:keepLines w:val="0"/>
      </w:pPr>
      <w:r>
        <w:rPr>
          <w:rFonts w:ascii="Arial" w:hAnsi="Arial"/>
          <w:color w:val="211B1D"/>
          <w:sz w:val="26"/>
        </w:rPr>
        <w:t>Já publica no PNCP?</w:t>
      </w:r>
    </w:p>
    <w:p>
      <w:pPr>
        <w:keepLines w:val="0"/>
      </w:pPr>
      <w:r>
        <w:rPr>
          <w:rFonts w:ascii="Arial" w:hAnsi="Arial"/>
          <w:b w:val="0"/>
          <w:color w:val="211B1D"/>
          <w:sz w:val="21"/>
        </w:rPr>
        <w:t>Não. Gera e valida o payload localmente; publicação exige homologação e credencial.</w:t>
      </w:r>
    </w:p>
    <w:p>
      <w:pPr>
        <w:pStyle w:val="Heading2"/>
        <w:keepLines w:val="0"/>
      </w:pPr>
      <w:r>
        <w:rPr>
          <w:rFonts w:ascii="Arial" w:hAnsi="Arial"/>
          <w:color w:val="211B1D"/>
          <w:sz w:val="26"/>
        </w:rPr>
        <w:t>Integra com o SEI!?</w:t>
      </w:r>
    </w:p>
    <w:p>
      <w:pPr>
        <w:keepLines w:val="0"/>
      </w:pPr>
      <w:r>
        <w:rPr>
          <w:rFonts w:ascii="Arial" w:hAnsi="Arial"/>
          <w:b w:val="0"/>
          <w:color w:val="211B1D"/>
          <w:sz w:val="21"/>
        </w:rPr>
        <w:t>A arquitetura e o adaptador estão preparados para o Web Service oficial. A ativação depende da instância MPRJ e de suas permissões.</w:t>
      </w:r>
    </w:p>
    <w:p>
      <w:pPr>
        <w:pStyle w:val="Heading2"/>
        <w:keepLines w:val="0"/>
      </w:pPr>
      <w:r>
        <w:rPr>
          <w:rFonts w:ascii="Arial" w:hAnsi="Arial"/>
          <w:color w:val="211B1D"/>
          <w:sz w:val="26"/>
        </w:rPr>
        <w:t>Os prazos são oficiais?</w:t>
      </w:r>
    </w:p>
    <w:p>
      <w:pPr>
        <w:keepLines w:val="0"/>
      </w:pPr>
      <w:r>
        <w:rPr>
          <w:rFonts w:ascii="Arial" w:hAnsi="Arial"/>
          <w:b w:val="0"/>
          <w:color w:val="211B1D"/>
          <w:sz w:val="21"/>
        </w:rPr>
        <w:t>Não. São parâmetros gerenciais configuráveis e explicitamente não normativos.</w:t>
      </w:r>
    </w:p>
    <w:p>
      <w:pPr>
        <w:pStyle w:val="Heading2"/>
        <w:keepLines w:val="0"/>
      </w:pPr>
      <w:r>
        <w:rPr>
          <w:rFonts w:ascii="Arial" w:hAnsi="Arial"/>
          <w:color w:val="211B1D"/>
          <w:sz w:val="26"/>
        </w:rPr>
        <w:t>Funciona fora da Oracle?</w:t>
      </w:r>
    </w:p>
    <w:p>
      <w:pPr>
        <w:keepLines w:val="0"/>
      </w:pPr>
      <w:r>
        <w:rPr>
          <w:rFonts w:ascii="Arial" w:hAnsi="Arial"/>
          <w:b w:val="0"/>
          <w:color w:val="211B1D"/>
          <w:sz w:val="21"/>
        </w:rPr>
        <w:t>Sim. A VPS é o ambiente atual de demonstração. A solução pode operar em infraestrutura institucional compatível com contêineres e PostgreSQL.</w:t>
      </w:r>
    </w:p>
    <w:p>
      <w:pPr>
        <w:pStyle w:val="Heading2"/>
        <w:keepLines w:val="0"/>
      </w:pPr>
      <w:r>
        <w:rPr>
          <w:rFonts w:ascii="Arial" w:hAnsi="Arial"/>
          <w:color w:val="211B1D"/>
          <w:sz w:val="26"/>
        </w:rPr>
        <w:t>Há níveis de acesso?</w:t>
      </w:r>
    </w:p>
    <w:p>
      <w:pPr>
        <w:keepLines w:val="0"/>
      </w:pPr>
      <w:r>
        <w:rPr>
          <w:rFonts w:ascii="Arial" w:hAnsi="Arial"/>
          <w:b w:val="0"/>
          <w:color w:val="211B1D"/>
          <w:sz w:val="21"/>
        </w:rPr>
        <w:t>Há papéis e autorização no backend para demonstração. A matriz institucional definitiva deve ser homologada e ligada ao provedor de identidade do MPRJ.</w:t>
      </w:r>
    </w:p>
    <w:p>
      <w:pPr>
        <w:pStyle w:val="Heading2"/>
        <w:keepLines w:val="0"/>
      </w:pPr>
      <w:r>
        <w:rPr>
          <w:rFonts w:ascii="Arial" w:hAnsi="Arial"/>
          <w:color w:val="211B1D"/>
          <w:sz w:val="26"/>
        </w:rPr>
        <w:t>Por que não usar só planilha?</w:t>
      </w:r>
    </w:p>
    <w:p>
      <w:pPr>
        <w:keepLines w:val="0"/>
      </w:pPr>
      <w:r>
        <w:rPr>
          <w:rFonts w:ascii="Arial" w:hAnsi="Arial"/>
          <w:b w:val="0"/>
          <w:color w:val="211B1D"/>
          <w:sz w:val="21"/>
        </w:rPr>
        <w:t>Porque planilha registra; o sistema governa: fluxo, versão, autorização, auditoria, risco, execução, integração e transparência.</w:t>
      </w:r>
    </w:p>
    <w:p>
      <w:pPr>
        <w:pStyle w:val="Heading2"/>
        <w:keepLines w:val="0"/>
      </w:pPr>
      <w:r>
        <w:rPr>
          <w:rFonts w:ascii="Arial" w:hAnsi="Arial"/>
          <w:color w:val="211B1D"/>
          <w:sz w:val="26"/>
        </w:rPr>
        <w:t>A IA decide alguma coisa?</w:t>
      </w:r>
    </w:p>
    <w:p>
      <w:pPr>
        <w:keepLines w:val="0"/>
      </w:pPr>
      <w:r>
        <w:rPr>
          <w:rFonts w:ascii="Arial" w:hAnsi="Arial"/>
          <w:b w:val="0"/>
          <w:color w:val="211B1D"/>
          <w:sz w:val="21"/>
        </w:rPr>
        <w:t>Não. O motor de risco é explicável e paramétrico; recomenda atenção, mas a decisão permanece humana e auditável.</w:t>
      </w:r>
    </w:p>
    <w:p>
      <w:pPr>
        <w:pStyle w:val="Heading2"/>
        <w:keepLines w:val="0"/>
      </w:pPr>
      <w:r>
        <w:rPr>
          <w:rFonts w:ascii="Arial" w:hAnsi="Arial"/>
          <w:color w:val="211B1D"/>
          <w:sz w:val="26"/>
        </w:rPr>
        <w:t>Qual é o custo de dependência tecnológica?</w:t>
      </w:r>
    </w:p>
    <w:p>
      <w:pPr>
        <w:keepLines w:val="0"/>
      </w:pPr>
      <w:r>
        <w:rPr>
          <w:rFonts w:ascii="Arial" w:hAnsi="Arial"/>
          <w:b w:val="0"/>
          <w:color w:val="211B1D"/>
          <w:sz w:val="21"/>
        </w:rPr>
        <w:t>Baixo: código aberto, banco padrão, contêineres e ausência de SaaS obrigatório reduzem aprisionamento.</w:t>
      </w:r>
    </w:p>
    <w:p>
      <w:pPr>
        <w:pStyle w:val="Heading1"/>
        <w:keepLines w:val="0"/>
        <w:pageBreakBefore/>
      </w:pPr>
      <w:r>
        <w:rPr>
          <w:rFonts w:ascii="Arial" w:hAnsi="Arial"/>
          <w:color w:val="211B1D"/>
          <w:sz w:val="34"/>
        </w:rPr>
        <w:t>8. O que dizer — e o que evitar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  <w:top w:w="90" w:type="dxa"/>
              <w:start w:w="120" w:type="dxa"/>
              <w:bottom w:w="90" w:type="dxa"/>
              <w:end w:w="120" w:type="dxa"/>
            </w:tcMar>
            <w:shd w:fill="681C32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PREFIRA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  <w:top w:w="90" w:type="dxa"/>
              <w:start w:w="120" w:type="dxa"/>
              <w:bottom w:w="90" w:type="dxa"/>
              <w:end w:w="120" w:type="dxa"/>
            </w:tcMar>
            <w:shd w:fill="681C32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EVITE</w:t>
            </w:r>
          </w:p>
        </w:tc>
      </w:tr>
      <w:tr>
        <w:tc>
          <w:tcPr>
            <w:tcW w:type="dxa" w:w="4680"/>
            <w:shd w:fill="E8F1E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color w:val="211B1D"/>
                <w:sz w:val="19"/>
              </w:rPr>
              <w:t>“Pronto para homologação institucional.”</w:t>
            </w:r>
          </w:p>
        </w:tc>
        <w:tc>
          <w:tcPr>
            <w:tcW w:type="dxa" w:w="4680"/>
            <w:shd w:fill="F6E5E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color w:val="211B1D"/>
                <w:sz w:val="19"/>
              </w:rPr>
              <w:t>“Pronto para produção imediata.”</w:t>
            </w:r>
          </w:p>
        </w:tc>
      </w:tr>
      <w:tr>
        <w:tc>
          <w:tcPr>
            <w:tcW w:type="dxa" w:w="4680"/>
            <w:shd w:fill="E8F1E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color w:val="211B1D"/>
                <w:sz w:val="19"/>
              </w:rPr>
              <w:t>“Adaptador preparado para o SEI!.”</w:t>
            </w:r>
          </w:p>
        </w:tc>
        <w:tc>
          <w:tcPr>
            <w:tcW w:type="dxa" w:w="4680"/>
            <w:shd w:fill="F6E5E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color w:val="211B1D"/>
                <w:sz w:val="19"/>
              </w:rPr>
              <w:t>“Já está integrado ao SEI!.”</w:t>
            </w:r>
          </w:p>
        </w:tc>
      </w:tr>
      <w:tr>
        <w:tc>
          <w:tcPr>
            <w:tcW w:type="dxa" w:w="4680"/>
            <w:shd w:fill="E8F1E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color w:val="211B1D"/>
                <w:sz w:val="19"/>
              </w:rPr>
              <w:t>“Payload PNCP pré-validado, sem publicação.”</w:t>
            </w:r>
          </w:p>
        </w:tc>
        <w:tc>
          <w:tcPr>
            <w:tcW w:type="dxa" w:w="4680"/>
            <w:shd w:fill="F6E5E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color w:val="211B1D"/>
                <w:sz w:val="19"/>
              </w:rPr>
              <w:t>“Publica no PNCP.”</w:t>
            </w:r>
          </w:p>
        </w:tc>
      </w:tr>
      <w:tr>
        <w:tc>
          <w:tcPr>
            <w:tcW w:type="dxa" w:w="4680"/>
            <w:shd w:fill="E8F1E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color w:val="211B1D"/>
                <w:sz w:val="19"/>
              </w:rPr>
              <w:t>“Parâmetros gerenciais configuráveis.”</w:t>
            </w:r>
          </w:p>
        </w:tc>
        <w:tc>
          <w:tcPr>
            <w:tcW w:type="dxa" w:w="4680"/>
            <w:shd w:fill="F6E5E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color w:val="211B1D"/>
                <w:sz w:val="19"/>
              </w:rPr>
              <w:t>“Prazos normativos do MPRJ.”</w:t>
            </w:r>
          </w:p>
        </w:tc>
      </w:tr>
      <w:tr>
        <w:tc>
          <w:tcPr>
            <w:tcW w:type="dxa" w:w="4680"/>
            <w:shd w:fill="E8F1E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color w:val="211B1D"/>
                <w:sz w:val="19"/>
              </w:rPr>
              <w:t>“Carteira fictícia com histórico público real separado.”</w:t>
            </w:r>
          </w:p>
        </w:tc>
        <w:tc>
          <w:tcPr>
            <w:tcW w:type="dxa" w:w="4680"/>
            <w:shd w:fill="F6E5E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color w:val="211B1D"/>
                <w:sz w:val="19"/>
              </w:rPr>
              <w:t>“O sistema já contém dados internos reais.”</w:t>
            </w:r>
          </w:p>
        </w:tc>
      </w:tr>
      <w:tr>
        <w:tc>
          <w:tcPr>
            <w:tcW w:type="dxa" w:w="4680"/>
            <w:shd w:fill="E8F1E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color w:val="211B1D"/>
                <w:sz w:val="19"/>
              </w:rPr>
              <w:t>“Risco explicável para apoiar decisão.”</w:t>
            </w:r>
          </w:p>
        </w:tc>
        <w:tc>
          <w:tcPr>
            <w:tcW w:type="dxa" w:w="4680"/>
            <w:shd w:fill="F6E5E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color w:val="211B1D"/>
                <w:sz w:val="19"/>
              </w:rPr>
              <w:t>“O sistema decide automaticamente.”</w:t>
            </w:r>
          </w:p>
        </w:tc>
      </w:tr>
    </w:tbl>
    <w:p>
      <w:pPr>
        <w:pStyle w:val="Heading1"/>
        <w:keepLines w:val="0"/>
        <w:pageBreakBefore/>
      </w:pPr>
      <w:r>
        <w:rPr>
          <w:rFonts w:ascii="Arial" w:hAnsi="Arial"/>
          <w:color w:val="211B1D"/>
          <w:sz w:val="34"/>
        </w:rPr>
        <w:t>9. Pedido executivo e plano de 90 dias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E9EC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DECISÃO SOLICITADA  </w:t>
            </w:r>
            <w:r>
              <w:rPr>
                <w:rFonts w:ascii="Arial" w:hAnsi="Arial"/>
                <w:color w:val="211B1D"/>
                <w:sz w:val="21"/>
              </w:rPr>
              <w:t>Autorizar a homologação institucional do PAC Digital MPRJ, designando responsáveis e liberando ambientes e contratos de integração.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3EA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0–30 dias  </w:t>
            </w:r>
            <w:r>
              <w:rPr>
                <w:rFonts w:ascii="Arial" w:hAnsi="Arial"/>
                <w:color w:val="211B1D"/>
                <w:sz w:val="21"/>
              </w:rPr>
              <w:t>Oficina funcional; estados, prazos e alçadas; ambiente de homologação; identidade e matriz de perfis.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3EA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31–60 dias  </w:t>
            </w:r>
            <w:r>
              <w:rPr>
                <w:rFonts w:ascii="Arial" w:hAnsi="Arial"/>
                <w:color w:val="211B1D"/>
                <w:sz w:val="21"/>
              </w:rPr>
              <w:t>Conexão OIDC/LDAP; SEI! e PNCP em teste; validações de segurança, acessibilidade e conteúdo.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3EA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61–90 dias  </w:t>
            </w:r>
            <w:r>
              <w:rPr>
                <w:rFonts w:ascii="Arial" w:hAnsi="Arial"/>
                <w:color w:val="211B1D"/>
                <w:sz w:val="21"/>
              </w:rPr>
              <w:t>Piloto controlado; treinamento; evidências de aceite; decisão formal de entrada em produção.</w:t>
            </w:r>
          </w:p>
        </w:tc>
      </w:tr>
    </w:tbl>
    <w:p>
      <w:pPr>
        <w:spacing w:after="20"/>
      </w:pPr>
    </w:p>
    <w:p>
      <w:pPr>
        <w:pStyle w:val="Heading2"/>
        <w:keepLines w:val="0"/>
      </w:pPr>
      <w:r>
        <w:rPr>
          <w:rFonts w:ascii="Arial" w:hAnsi="Arial"/>
          <w:color w:val="211B1D"/>
          <w:sz w:val="26"/>
        </w:rPr>
        <w:t>Critério de sucesso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Cada frente tem responsável, entrada necessária, evidência de aceite e decisão registrada.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Nenhuma credencial ou dado interno real entra no ambiente antes da autorização correspondente.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A entrada em produção ocorre sem troca de arquitetura nem reimplementação do domínio.</w:t>
      </w:r>
    </w:p>
    <w:p>
      <w:pPr>
        <w:pStyle w:val="Heading1"/>
        <w:keepLines w:val="0"/>
      </w:pPr>
      <w:r>
        <w:rPr>
          <w:rFonts w:ascii="Arial" w:hAnsi="Arial"/>
          <w:color w:val="211B1D"/>
          <w:sz w:val="34"/>
        </w:rPr>
        <w:t>10. Plano de estudo e ensaio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3EA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Dia 1 — narrativa  </w:t>
            </w:r>
            <w:r>
              <w:rPr>
                <w:rFonts w:ascii="Arial" w:hAnsi="Arial"/>
                <w:color w:val="211B1D"/>
                <w:sz w:val="21"/>
              </w:rPr>
              <w:t>Memorize a frase central, o pitch de 30 segundos e o pedido executivo.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3EA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Dia 2 — produto  </w:t>
            </w:r>
            <w:r>
              <w:rPr>
                <w:rFonts w:ascii="Arial" w:hAnsi="Arial"/>
                <w:color w:val="211B1D"/>
                <w:sz w:val="21"/>
              </w:rPr>
              <w:t>Percorra a demonstração três vezes e aprenda onde cada prova aparece.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3EA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Dia 3 — integrações  </w:t>
            </w:r>
            <w:r>
              <w:rPr>
                <w:rFonts w:ascii="Arial" w:hAnsi="Arial"/>
                <w:color w:val="211B1D"/>
                <w:sz w:val="21"/>
              </w:rPr>
              <w:t>Treine as respostas sobre identidade, SEI!, PNCP e limites da RC.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3EA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Dia 4 — objeções  </w:t>
            </w:r>
            <w:r>
              <w:rPr>
                <w:rFonts w:ascii="Arial" w:hAnsi="Arial"/>
                <w:color w:val="211B1D"/>
                <w:sz w:val="21"/>
              </w:rPr>
              <w:t>Responda às dez perguntas difíceis em até 30 segundos cada.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3EA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Dia 5 — ensaio real  </w:t>
            </w:r>
            <w:r>
              <w:rPr>
                <w:rFonts w:ascii="Arial" w:hAnsi="Arial"/>
                <w:color w:val="211B1D"/>
                <w:sz w:val="21"/>
              </w:rPr>
              <w:t>Apresente em 10 minutos, cronometre e corte qualquer desvio técnico.</w:t>
            </w:r>
          </w:p>
        </w:tc>
      </w:tr>
    </w:tbl>
    <w:p>
      <w:pPr>
        <w:spacing w:after="20"/>
      </w:pPr>
    </w:p>
    <w:p>
      <w:pPr>
        <w:pStyle w:val="Heading2"/>
        <w:keepLines w:val="0"/>
      </w:pPr>
      <w:r>
        <w:rPr>
          <w:rFonts w:ascii="Arial" w:hAnsi="Arial"/>
          <w:color w:val="211B1D"/>
          <w:sz w:val="26"/>
        </w:rPr>
        <w:t>Checklist antes da reunião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Abrir o ambiente e validar login.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Confirmar que Visão executiva, Inteligência PNCP e Integrações carregam.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Deixar uma demanda de alto risco identificada.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Baixar previamente um PDF e um XLSX como contingência.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Levar o deck em PPTX e este guia em DOCX.</w:t>
      </w:r>
    </w:p>
    <w:p>
      <w:pPr>
        <w:pStyle w:val="ListBullet"/>
        <w:spacing w:after="80" w:line="283" w:lineRule="auto"/>
        <w:ind w:left="547" w:hanging="274"/>
      </w:pPr>
      <w:r>
        <w:rPr>
          <w:rFonts w:ascii="Arial" w:hAnsi="Arial"/>
          <w:color w:val="211B1D"/>
          <w:sz w:val="21"/>
        </w:rPr>
        <w:t>Fechar com uma decisão concreta, responsável e prazo.</w:t>
      </w:r>
    </w:p>
    <w:p>
      <w:pPr>
        <w:pStyle w:val="Heading1"/>
        <w:keepLines w:val="0"/>
        <w:pageBreakBefore/>
      </w:pPr>
      <w:r>
        <w:rPr>
          <w:rFonts w:ascii="Arial" w:hAnsi="Arial"/>
          <w:color w:val="211B1D"/>
          <w:sz w:val="34"/>
        </w:rPr>
        <w:t>11. Cola de uma página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E9EC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PROBLEMA  </w:t>
            </w:r>
            <w:r>
              <w:rPr>
                <w:rFonts w:ascii="Arial" w:hAnsi="Arial"/>
                <w:color w:val="211B1D"/>
                <w:sz w:val="21"/>
              </w:rPr>
              <w:t>PAC estático não produz visão contínua, alerta antecipado nem memória institucional.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E9EC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SOLUÇÃO  </w:t>
            </w:r>
            <w:r>
              <w:rPr>
                <w:rFonts w:ascii="Arial" w:hAnsi="Arial"/>
                <w:color w:val="211B1D"/>
                <w:sz w:val="21"/>
              </w:rPr>
              <w:t>Carteira única para planejar, revisar, aprovar, executar, integrar e publicar com rastreabilidade.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E9EC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PROVA  </w:t>
            </w:r>
            <w:r>
              <w:rPr>
                <w:rFonts w:ascii="Arial" w:hAnsi="Arial"/>
                <w:color w:val="211B1D"/>
                <w:sz w:val="21"/>
              </w:rPr>
              <w:t>12 testes; 964 contratos públicos PNCP; HTTPS ativo; PostgreSQL; backup e restauração validados.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E9EC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DIFERENCIAL  </w:t>
            </w:r>
            <w:r>
              <w:rPr>
                <w:rFonts w:ascii="Arial" w:hAnsi="Arial"/>
                <w:color w:val="211B1D"/>
                <w:sz w:val="21"/>
              </w:rPr>
              <w:t>Open source, portátil, sem SaaS obrigatório, risco explicável e integrações desacopladas.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E9EC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LIMITE HONESTO  </w:t>
            </w:r>
            <w:r>
              <w:rPr>
                <w:rFonts w:ascii="Arial" w:hAnsi="Arial"/>
                <w:color w:val="211B1D"/>
                <w:sz w:val="21"/>
              </w:rPr>
              <w:t>Carteira fictícia e transmissões externas bloqueadas até homologação e autorização.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E9EC"/>
          </w:tcPr>
          <w:p>
            <w:pPr>
              <w:spacing w:after="0"/>
            </w:pPr>
            <w:r>
              <w:rPr>
                <w:rFonts w:ascii="Arial" w:hAnsi="Arial"/>
                <w:b/>
                <w:color w:val="681C32"/>
                <w:sz w:val="21"/>
              </w:rPr>
              <w:t xml:space="preserve">PEDIDO  </w:t>
            </w:r>
            <w:r>
              <w:rPr>
                <w:rFonts w:ascii="Arial" w:hAnsi="Arial"/>
                <w:color w:val="211B1D"/>
                <w:sz w:val="21"/>
              </w:rPr>
              <w:t>Autorizar homologação institucional com responsáveis por regras, identidade, SEI!, PNCP, infraestrutura e aceite.</w:t>
            </w:r>
          </w:p>
        </w:tc>
      </w:tr>
    </w:tbl>
    <w:p>
      <w:pPr>
        <w:spacing w:after="20"/>
      </w:pPr>
    </w:p>
    <w:p>
      <w:pPr>
        <w:pStyle w:val="Heading2"/>
        <w:keepLines w:val="0"/>
      </w:pPr>
      <w:r>
        <w:rPr>
          <w:rFonts w:ascii="Arial" w:hAnsi="Arial"/>
          <w:color w:val="211B1D"/>
          <w:sz w:val="26"/>
        </w:rPr>
        <w:t>Fechamento sugerido</w:t>
      </w:r>
    </w:p>
    <w:p>
      <w:pPr>
        <w:keepLines w:val="0"/>
        <w:spacing w:after="280"/>
        <w:jc w:val="center"/>
      </w:pPr>
      <w:r>
        <w:rPr>
          <w:rFonts w:ascii="Arial" w:hAnsi="Arial"/>
          <w:b/>
          <w:color w:val="681C32"/>
          <w:sz w:val="24"/>
        </w:rPr>
        <w:t>“O que estamos propondo não é mais uma planilha nem um protótipo isolado. É uma base institucional pronta para ser homologada, conectada e assumida pelo MPRJ como instrumento de gestão.”</w:t>
      </w:r>
    </w:p>
    <w:p>
      <w:pPr>
        <w:keepLines w:val="0"/>
        <w:jc w:val="center"/>
      </w:pPr>
      <w:r>
        <w:rPr>
          <w:rFonts w:ascii="Arial" w:hAnsi="Arial"/>
          <w:b/>
          <w:color w:val="211B1D"/>
          <w:sz w:val="21"/>
        </w:rPr>
        <w:t>Acesso de demonstração: pac-demo / pac-demo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5C60"/>
        <w:sz w:val="16"/>
      </w:rPr>
      <w:t>v1.0 RC1  •  material de preparação executiva  •  setembro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665C60"/>
        <w:sz w:val="17"/>
      </w:rPr>
      <w:t>PAC DIGITAL MPRJ  |  GUIA DE DOMÍNIO E APRESENTAÇÃO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11B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681C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681C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681C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 Digital MPRJ — Guia de estudo e apresentação</dc:title>
  <dc:subject>Material executivo de domínio, demonstração e defesa da v1.0 RC1</dc:subject>
  <dc:creator>PAC Digital MPRJ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