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line="276" w:lineRule="auto"/>
        <w:jc w:val="center"/>
      </w:pPr>
      <w:r>
        <w:rPr>
          <w:b/>
          <w:sz w:val="30"/>
        </w:rPr>
        <w:t>PHYSICS-INFORMED MACHINE LEARNING FRAMEWORK FOR MULTI-FILLER POLYAMIDE (PA6 / PA66) COMPOSITE TRIBOLOGY: MODELING, EMPIRICAL VALIDATION, AND INTERACTIVE VIRTUAL TRIBOMETER</w:t>
      </w:r>
    </w:p>
    <w:p>
      <w:pPr>
        <w:spacing w:after="80"/>
        <w:jc w:val="center"/>
      </w:pPr>
      <w:r>
        <w:rPr>
          <w:sz w:val="26"/>
        </w:rPr>
        <w:t>A PROJECT REPORT</w:t>
        <w:br/>
        <w:t>Submitted to</w:t>
        <w:br/>
        <w:t>Amrita Vishwa Vidyapeetham</w:t>
        <w:br/>
        <w:t>in partial fulfilment for the award of the degree of</w:t>
      </w:r>
    </w:p>
    <w:p>
      <w:pPr>
        <w:spacing w:after="240"/>
        <w:jc w:val="center"/>
      </w:pPr>
      <w:r>
        <w:rPr>
          <w:b/>
          <w:sz w:val="27"/>
        </w:rPr>
        <w:t>BACHELOR OF TECHNOLOGY IN COMPUTER SCIENCE AND ENGINEERING</w:t>
      </w:r>
    </w:p>
    <w:p>
      <w:pPr>
        <w:spacing w:after="40"/>
        <w:jc w:val="center"/>
      </w:pPr>
      <w:r>
        <w:rPr>
          <w:sz w:val="25"/>
        </w:rPr>
        <w:t>By</w:t>
      </w:r>
    </w:p>
    <w:p>
      <w:pPr>
        <w:spacing w:after="280" w:line="276" w:lineRule="auto"/>
        <w:jc w:val="center"/>
      </w:pPr>
      <w:r>
        <w:rPr>
          <w:b/>
          <w:sz w:val="27"/>
        </w:rPr>
        <w:t>HARI SREERAM R</w:t>
        <w:br/>
        <w:t>(Reg. No. CH.SC.U4CSE23019)</w:t>
        <w:br/>
        <w:br/>
        <w:t>M A SAI ADITHYAA</w:t>
        <w:br/>
        <w:t>(Reg. No. CH.SC.U4CSE23029)</w:t>
      </w:r>
    </w:p>
    <w:p>
      <w:pPr>
        <w:spacing w:after="280" w:line="276" w:lineRule="auto"/>
        <w:jc w:val="center"/>
      </w:pPr>
      <w:r>
        <w:rPr>
          <w:b/>
          <w:sz w:val="24"/>
        </w:rPr>
        <w:t>Supervisors:</w:t>
        <w:br/>
        <w:t>Dr. SHUBRAJIT BHAUMIK</w:t>
        <w:br/>
        <w:t>Associate Professor, Dept. of Mechanical Engineering</w:t>
        <w:br/>
        <w:br/>
        <w:t>Dr. SANGAPU SREENIVASA CHAKRAVARTHI</w:t>
        <w:br/>
        <w:t>Assistant Professor (Sr. Gr.), Dept. of Computer Science &amp; Engineering</w:t>
      </w:r>
    </w:p>
    <w:p>
      <w:pPr>
        <w:spacing w:after="200"/>
        <w:jc w:val="center"/>
      </w:pPr>
      <w:r>
        <w:drawing>
          <wp:inline xmlns:a="http://schemas.openxmlformats.org/drawingml/2006/main" xmlns:pic="http://schemas.openxmlformats.org/drawingml/2006/picture">
            <wp:extent cx="1554480" cy="526272"/>
            <wp:docPr id="1" name="Picture 1"/>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1554480" cy="526272"/>
                    </a:xfrm>
                    <a:prstGeom prst="rect"/>
                  </pic:spPr>
                </pic:pic>
              </a:graphicData>
            </a:graphic>
          </wp:inline>
        </w:drawing>
      </w:r>
    </w:p>
    <w:p>
      <w:pPr>
        <w:spacing w:after="0" w:line="276" w:lineRule="auto"/>
        <w:jc w:val="center"/>
      </w:pPr>
      <w:r>
        <w:rPr>
          <w:b/>
          <w:sz w:val="25"/>
        </w:rPr>
        <w:t>DEPARTMENT OF COMPUTER SCIENCE AND ENGINEERING</w:t>
        <w:br/>
        <w:t>AMRITA SCHOOL OF COMPUTING</w:t>
        <w:br/>
        <w:t>AMRITA VISHWA VIDYAPEETHAM, CHENNAI – 601103</w:t>
        <w:br/>
        <w:t>October 2026</w:t>
      </w:r>
    </w:p>
    <w:p>
      <w:r>
        <w:br w:type="page"/>
      </w:r>
    </w:p>
    <w:p>
      <w:pPr>
        <w:spacing w:before="0" w:after="400"/>
        <w:jc w:val="center"/>
      </w:pPr>
      <w:r>
        <w:drawing>
          <wp:inline xmlns:a="http://schemas.openxmlformats.org/drawingml/2006/main" xmlns:pic="http://schemas.openxmlformats.org/drawingml/2006/picture">
            <wp:extent cx="3474720" cy="730400"/>
            <wp:docPr id="2" name="Picture 2"/>
            <wp:cNvGraphicFramePr>
              <a:graphicFrameLocks noChangeAspect="1"/>
            </wp:cNvGraphicFramePr>
            <a:graphic>
              <a:graphicData uri="http://schemas.openxmlformats.org/drawingml/2006/picture">
                <pic:pic>
                  <pic:nvPicPr>
                    <pic:cNvPr id="0" name="image2.jpeg"/>
                    <pic:cNvPicPr/>
                  </pic:nvPicPr>
                  <pic:blipFill>
                    <a:blip r:embed="rId12"/>
                    <a:stretch>
                      <a:fillRect/>
                    </a:stretch>
                  </pic:blipFill>
                  <pic:spPr>
                    <a:xfrm>
                      <a:off x="0" y="0"/>
                      <a:ext cx="3474720" cy="730400"/>
                    </a:xfrm>
                    <a:prstGeom prst="rect"/>
                  </pic:spPr>
                </pic:pic>
              </a:graphicData>
            </a:graphic>
          </wp:inline>
        </w:drawing>
      </w:r>
    </w:p>
    <w:p>
      <w:pPr>
        <w:spacing w:before="0" w:after="480"/>
        <w:jc w:val="center"/>
      </w:pPr>
      <w:r>
        <w:rPr>
          <w:rFonts w:ascii="Times New Roman" w:hAnsi="Times New Roman"/>
          <w:b/>
          <w:sz w:val="32"/>
        </w:rPr>
        <w:t>BONAFIDE CERTIFICATE</w:t>
      </w:r>
    </w:p>
    <w:p>
      <w:pPr>
        <w:spacing w:before="0" w:after="720" w:line="300" w:lineRule="auto"/>
        <w:jc w:val="both"/>
      </w:pPr>
      <w:r>
        <w:rPr>
          <w:rFonts w:ascii="Times New Roman" w:hAnsi="Times New Roman"/>
          <w:sz w:val="24"/>
        </w:rPr>
        <w:t xml:space="preserve">This is to certify that this project report entitled </w:t>
      </w:r>
      <w:r>
        <w:rPr>
          <w:rFonts w:ascii="Times New Roman" w:hAnsi="Times New Roman"/>
          <w:b/>
          <w:sz w:val="24"/>
        </w:rPr>
        <w:t>“PHYSICS-INFORMED MACHINE LEARNING FRAMEWORK FOR MULTI-FILLER POLYAMIDE (PA6 / PA66) COMPOSITE TRIBOLOGY: MODELING, EMPIRICAL VALIDATION, AND INTERACTIVE VIRTUAL TRIBOMETER”</w:t>
      </w:r>
      <w:r>
        <w:rPr>
          <w:rFonts w:ascii="Times New Roman" w:hAnsi="Times New Roman"/>
          <w:sz w:val="24"/>
        </w:rPr>
        <w:t xml:space="preserve"> is the bonafide work of </w:t>
      </w:r>
      <w:r>
        <w:rPr>
          <w:rFonts w:ascii="Times New Roman" w:hAnsi="Times New Roman"/>
          <w:b/>
          <w:sz w:val="24"/>
        </w:rPr>
        <w:t>“HARI SREERAM R (CH.SC.U4CSE23019)”</w:t>
      </w:r>
      <w:r>
        <w:rPr>
          <w:rFonts w:ascii="Times New Roman" w:hAnsi="Times New Roman"/>
          <w:sz w:val="24"/>
        </w:rPr>
        <w:t xml:space="preserve"> and </w:t>
      </w:r>
      <w:r>
        <w:rPr>
          <w:rFonts w:ascii="Times New Roman" w:hAnsi="Times New Roman"/>
          <w:b/>
          <w:sz w:val="24"/>
        </w:rPr>
        <w:t>“M A SAI ADITHYAA (CH.SC.U4CSE23029)”</w:t>
      </w:r>
      <w:r>
        <w:rPr>
          <w:rFonts w:ascii="Times New Roman" w:hAnsi="Times New Roman"/>
          <w:sz w:val="24"/>
        </w:rPr>
        <w:t xml:space="preserve"> who carried out the project work under my supervision.</w:t>
      </w:r>
    </w:p>
    <w:tbl>
      <w:tblPr>
        <w:tblW w:type="auto" w:w="0"/>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Pr>
      <w:tblGrid>
        <w:gridCol w:w="4860"/>
        <w:gridCol w:w="4860"/>
      </w:tblGrid>
      <w:tr>
        <w:tc>
          <w:tcPr>
            <w:tcW w:type="dxa" w:w="5472"/>
          </w:tcPr>
          <w:p>
            <w:pPr>
              <w:spacing w:before="0" w:after="720" w:line="276" w:lineRule="auto"/>
            </w:pPr>
            <w:r>
              <w:rPr>
                <w:rFonts w:ascii="Times New Roman" w:hAnsi="Times New Roman"/>
                <w:b/>
                <w:sz w:val="24"/>
              </w:rPr>
              <w:t>SIGNATURE</w:t>
            </w:r>
          </w:p>
          <w:p>
            <w:pPr>
              <w:spacing w:before="0" w:after="0" w:line="276" w:lineRule="auto"/>
            </w:pPr>
            <w:r>
              <w:rPr>
                <w:rFonts w:ascii="Times New Roman" w:hAnsi="Times New Roman"/>
                <w:b/>
                <w:sz w:val="24"/>
              </w:rPr>
              <w:t>Dr. S. Bhagavathi Priya</w:t>
              <w:br/>
              <w:t>CHAIRPERSON</w:t>
              <w:br/>
              <w:t>Department of CSE</w:t>
              <w:br/>
              <w:t>Amrita School of Computing</w:t>
              <w:br/>
              <w:t>Chennai.</w:t>
            </w:r>
          </w:p>
        </w:tc>
        <w:tc>
          <w:tcPr>
            <w:tcW w:type="dxa" w:w="3888"/>
          </w:tcPr>
          <w:p>
            <w:pPr>
              <w:spacing w:before="0" w:after="720" w:line="276" w:lineRule="auto"/>
            </w:pPr>
            <w:r>
              <w:rPr>
                <w:rFonts w:ascii="Times New Roman" w:hAnsi="Times New Roman"/>
                <w:b/>
                <w:sz w:val="24"/>
              </w:rPr>
              <w:t>SIGNATURE</w:t>
            </w:r>
          </w:p>
          <w:p>
            <w:pPr>
              <w:spacing w:before="0" w:after="0" w:line="276" w:lineRule="auto"/>
            </w:pPr>
            <w:r>
              <w:rPr>
                <w:rFonts w:ascii="Times New Roman" w:hAnsi="Times New Roman"/>
                <w:b/>
                <w:sz w:val="24"/>
              </w:rPr>
              <w:t>Dr. Sangapu Sreenivasa Chakravarthi</w:t>
              <w:br/>
              <w:t>SUPERVISOR</w:t>
              <w:br/>
              <w:t>Department of CSE</w:t>
              <w:br/>
              <w:t>Amrita School of Computing</w:t>
              <w:br/>
              <w:t>Chennai.</w:t>
            </w:r>
          </w:p>
        </w:tc>
      </w:tr>
    </w:tbl>
    <w:p>
      <w:pPr>
        <w:spacing w:before="960" w:after="0"/>
      </w:pPr>
    </w:p>
    <w:tbl>
      <w:tblPr>
        <w:tblW w:type="auto" w:w="0"/>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Pr>
      <w:tblGrid>
        <w:gridCol w:w="4860"/>
        <w:gridCol w:w="4860"/>
      </w:tblGrid>
      <w:tr>
        <w:tc>
          <w:tcPr>
            <w:tcW w:type="dxa" w:w="5472"/>
          </w:tcPr>
          <w:p>
            <w:pPr>
              <w:spacing w:before="0" w:after="0"/>
            </w:pPr>
            <w:r>
              <w:rPr>
                <w:rFonts w:ascii="Times New Roman" w:hAnsi="Times New Roman"/>
                <w:b/>
                <w:sz w:val="24"/>
              </w:rPr>
              <w:t>INTERNAL EXAMINER</w:t>
            </w:r>
          </w:p>
        </w:tc>
        <w:tc>
          <w:tcPr>
            <w:tcW w:type="dxa" w:w="3888"/>
          </w:tcPr>
          <w:p>
            <w:pPr>
              <w:spacing w:before="0" w:after="0"/>
            </w:pPr>
            <w:r>
              <w:rPr>
                <w:rFonts w:ascii="Times New Roman" w:hAnsi="Times New Roman"/>
                <w:b/>
                <w:sz w:val="24"/>
              </w:rPr>
              <w:t>EXTERNAL EXAMINER</w:t>
            </w:r>
          </w:p>
        </w:tc>
      </w:tr>
    </w:tbl>
    <w:p>
      <w:r>
        <w:br w:type="page"/>
      </w:r>
    </w:p>
    <w:p>
      <w:pPr>
        <w:spacing w:before="360" w:after="360"/>
        <w:jc w:val="center"/>
      </w:pPr>
      <w:r>
        <w:rPr>
          <w:b/>
          <w:sz w:val="32"/>
        </w:rPr>
        <w:t>DECLARATION BY THE CANDIDATES</w:t>
      </w:r>
    </w:p>
    <w:p>
      <w:pPr>
        <w:spacing w:line="360" w:lineRule="auto" w:after="120"/>
        <w:jc w:val="both"/>
      </w:pPr>
      <w:r>
        <w:rPr>
          <w:rFonts w:ascii="Times New Roman" w:hAnsi="Times New Roman"/>
          <w:sz w:val="27"/>
        </w:rPr>
        <w:t>We, HARI SREERAM R (Reg. No. CH.SC.U4CSE23019) and M A SAI ADITHYAA (Reg. No. CH.SC.U4CSE23029), hereby declare that the project report entitled "PHYSICS-INFORMED MACHINE LEARNING FRAMEWORK FOR MULTI-FILLER POLYAMIDE (PA6 / PA66) COMPOSITE TRIBOLOGY: MODELING, EMPIRICAL VALIDATION, AND INTERACTIVE VIRTUAL TRIBOMETER" submitted to Amrita Vishwa Vidyapeetham, Chennai, in partial fulfilment of the requirements for the award of the degree of Bachelor of Technology in Computer Science and Engineering, is the record of original and independent work carried out by us during the academic year 2025–2026 under the supervision of Dr. Shubrajit Bhaumik and Dr. Sangapu Sreenivasa Chakravarthi.</w:t>
      </w:r>
    </w:p>
    <w:p>
      <w:pPr>
        <w:spacing w:line="360" w:lineRule="auto" w:after="120"/>
        <w:jc w:val="both"/>
      </w:pPr>
      <w:r>
        <w:rPr>
          <w:rFonts w:ascii="Times New Roman" w:hAnsi="Times New Roman"/>
          <w:sz w:val="27"/>
        </w:rPr>
        <w:t>We further declare that this project work has not previously formed the basis for the award of any degree, diploma, associateship, fellowship, or other similar title in this or any other university or higher education institution.</w:t>
      </w:r>
    </w:p>
    <w:p>
      <w:pPr>
        <w:spacing w:before="900" w:line="276" w:lineRule="auto"/>
      </w:pPr>
      <w:r>
        <w:rPr>
          <w:b/>
          <w:sz w:val="23"/>
        </w:rPr>
        <w:t>SIGNATURE: ____________________                 SIGNATURE: ____________________</w:t>
        <w:br/>
        <w:t>Mr. HARI SREERAM R                                            Mr. M A SAI ADITHYAA</w:t>
        <w:br/>
        <w:t>(Reg. No. CH.SC.U4CSE23019)                              (Reg. No. CH.SC.U4CSE23029)</w:t>
        <w:br/>
        <w:t>Dept. of Computer Science &amp; Engineering            Dept. of Computer Science &amp; Engineering</w:t>
        <w:br/>
        <w:t>Amrita School of Computing                                 Amrita School of Computing</w:t>
        <w:br/>
        <w:t>Chennai – 601103                                                    Chennai – 601103</w:t>
        <w:br/>
        <w:br/>
        <w:t>Place: Chennai</w:t>
        <w:br/>
        <w:t>Date: October 2026</w:t>
      </w:r>
    </w:p>
    <w:p>
      <w:r>
        <w:br w:type="page"/>
      </w:r>
    </w:p>
    <w:p>
      <w:pPr>
        <w:spacing w:before="360" w:after="280"/>
        <w:jc w:val="center"/>
      </w:pPr>
      <w:r>
        <w:rPr>
          <w:b/>
          <w:sz w:val="32"/>
        </w:rPr>
        <w:t>ABSTRACT</w:t>
      </w:r>
    </w:p>
    <w:p>
      <w:pPr>
        <w:spacing w:line="360" w:lineRule="auto" w:after="120"/>
        <w:jc w:val="both"/>
      </w:pPr>
      <w:r>
        <w:rPr>
          <w:rFonts w:ascii="Times New Roman" w:hAnsi="Times New Roman"/>
          <w:sz w:val="27"/>
        </w:rPr>
        <w:t>Polyamide 6 (PA6) and Polyamide 66 (PA66) thermoplastic composites are widely employed in self-lubricating dry sliding contacts such as automotive gears, bearings, and dynamic seals. However, predicting their interfacial sliding friction (Coefficient of Friction, CoF) and volumetric material loss (Specific Wear Rate) remains an unsolved challenge due to complex multi-filler interactions, non-monotonic concentration responses, decoupled physical damage mechanisms, and localized thermal softening.</w:t>
      </w:r>
    </w:p>
    <w:p>
      <w:pPr>
        <w:spacing w:line="360" w:lineRule="auto" w:after="120"/>
        <w:jc w:val="both"/>
      </w:pPr>
      <w:r>
        <w:rPr>
          <w:rFonts w:ascii="Times New Roman" w:hAnsi="Times New Roman"/>
          <w:sz w:val="27"/>
        </w:rPr>
        <w:t>To resolve these industrial and scientific challenges, this project presents an end-to-end, physics-informed machine learning framework developed from a curated experimental corpus of 1,353 validated tribological tests extracted across 50+ peer-reviewed scientific publications. We engineer an 80-feature predictor taxonomy capturing matrix stoichiometry, filler ratios, decoupled operational kinematics, polynomial quadratic non-linearities, and an interfacial flash heating contact temperature model based on the Archard-Ashby formulation.</w:t>
      </w:r>
    </w:p>
    <w:p>
      <w:pPr>
        <w:spacing w:line="360" w:lineRule="auto" w:after="120"/>
        <w:jc w:val="both"/>
      </w:pPr>
      <w:r>
        <w:rPr>
          <w:rFonts w:ascii="Times New Roman" w:hAnsi="Times New Roman"/>
          <w:sz w:val="27"/>
        </w:rPr>
        <w:t>Using a leakage-free 5-fold cross-validation protocol benchmarked across 8 diverse machine learning architectures with automated Bayesian hyperparameter optimization (Optuna Tree-structured Parzen Estimator, 35 trials), our models achieve unprecedented predictive accuracy on experimental data: XGBoost (Tuned) achieves an Out-of-Fold R² of 0.9572 (MAE: 0.0220, RMSE: 0.0382) for Coefficient of Friction, and CatBoost (Tuned) achieves an Out-of-Fold R² of 0.9819 (MAE: 0.1852, RMSE: 0.3362) for Specific Wear Rate (log₁₀ kv).</w:t>
      </w:r>
    </w:p>
    <w:p>
      <w:pPr>
        <w:spacing w:line="360" w:lineRule="auto" w:after="120"/>
        <w:jc w:val="both"/>
      </w:pPr>
      <w:r>
        <w:rPr>
          <w:rFonts w:ascii="Times New Roman" w:hAnsi="Times New Roman"/>
          <w:sz w:val="27"/>
        </w:rPr>
        <w:t>Furthermore, we computationally formalize and validate 10 core empirical tribological findings (F1–F10). We demonstrate that friction and wear are mathematically orthogonal (r = 0.1609); the classical PV scalar is insufficient for kinematic representation; solid lubricant-to-fiber reinforcement ratios possess a distinct Pareto optimization frontier between 0.25 and 0.60; interfacial flash heating exceeding polymer Tg (50°C) triggers a 4.8-fold wear acceleration; and PA66 exhibits superior high-speed wear resistance over PA6 due to its +40°C melting point headroom. Finally, the framework is integrated into an interactive Virtual Tribometer deployed via Streamlit and Google Colab, enabling real-time formulation simulation and dynamic sensitivity analysis.</w:t>
      </w:r>
    </w:p>
    <w:p>
      <w:pPr>
        <w:spacing w:before="160"/>
      </w:pPr>
      <w:r>
        <w:rPr>
          <w:b/>
          <w:sz w:val="24"/>
        </w:rPr>
        <w:t xml:space="preserve">Keywords: </w:t>
      </w:r>
      <w:r>
        <w:rPr>
          <w:sz w:val="24"/>
        </w:rPr>
        <w:t>Polyamide Tribology, Physics-Informed Machine Learning, XGBoost, CatBoost, Optuna Bayesian Optimization, Archard-Ashby Flash Heating, Specific Wear Rate, Virtual Tribometer, Pareto Frontier, SHAP Interpretability.</w:t>
      </w:r>
    </w:p>
    <w:p>
      <w:r>
        <w:br w:type="page"/>
      </w:r>
    </w:p>
    <w:p>
      <w:pPr>
        <w:spacing w:before="360" w:after="280"/>
        <w:jc w:val="center"/>
      </w:pPr>
      <w:r>
        <w:rPr>
          <w:b/>
          <w:sz w:val="32"/>
        </w:rPr>
        <w:t>ACKNOWLEDGEMENT</w:t>
      </w:r>
    </w:p>
    <w:p>
      <w:pPr>
        <w:spacing w:line="360" w:lineRule="auto" w:after="120"/>
        <w:jc w:val="both"/>
      </w:pPr>
      <w:r>
        <w:rPr>
          <w:rFonts w:ascii="Times New Roman" w:hAnsi="Times New Roman"/>
          <w:sz w:val="27"/>
        </w:rPr>
        <w:t>This project work would not have been possible without the blessings, guidance, and support of numerous individuals and institutions. We express our profound gratitude to our honourable Chancellor, Sri Mata Amritanandamayi Devi (Amma), for her divine blessings, inspiration, and for instilling the spirit of research and selfless service.</w:t>
      </w:r>
    </w:p>
    <w:p>
      <w:pPr>
        <w:spacing w:line="360" w:lineRule="auto" w:after="120"/>
        <w:jc w:val="both"/>
      </w:pPr>
      <w:r>
        <w:rPr>
          <w:rFonts w:ascii="Times New Roman" w:hAnsi="Times New Roman"/>
          <w:sz w:val="27"/>
        </w:rPr>
        <w:t>We express our heartfelt gratitude to our Director, Mr. I. B. Manikantan, and Principal, Dr. V. Jayakumar, Amrita School of Computing and Engineering, Chennai, for providing state-of-the-art computational infrastructure, laboratories, and an environment conducive to high-impact research.</w:t>
      </w:r>
    </w:p>
    <w:p>
      <w:pPr>
        <w:spacing w:line="360" w:lineRule="auto" w:after="120"/>
        <w:jc w:val="both"/>
      </w:pPr>
      <w:r>
        <w:rPr>
          <w:rFonts w:ascii="Times New Roman" w:hAnsi="Times New Roman"/>
          <w:sz w:val="27"/>
        </w:rPr>
        <w:t>We register our sincere thanks and deepest gratitude to our project supervisors, Dr. Shubrajit Bhaumik, Associate Professor, Department of Mechanical Engineering, and Dr. Sangapu Sreenivasa Chakravarthi, Assistant Professor (Sr. Gr.), Department of Computer Science and Engineering. Their deep domain expertise in tribology, rigorous statistical oversight, continuous mentorship, and constructive criticism were fundamental in shaping this research.</w:t>
      </w:r>
    </w:p>
    <w:p>
      <w:pPr>
        <w:spacing w:line="360" w:lineRule="auto" w:after="120"/>
        <w:jc w:val="both"/>
      </w:pPr>
      <w:r>
        <w:rPr>
          <w:rFonts w:ascii="Times New Roman" w:hAnsi="Times New Roman"/>
          <w:sz w:val="27"/>
        </w:rPr>
        <w:t>We extend our heartfelt gratitude to Dr. S. Bhagavathi Priya, Chairperson, Department of Computer Science &amp; Engineering, and Dr. J. Umamageswaran, Project Coordinator, for their administrative support, technical guidance, and seamless coordination throughout the semester.</w:t>
      </w:r>
    </w:p>
    <w:p>
      <w:pPr>
        <w:spacing w:line="360" w:lineRule="auto" w:after="120"/>
        <w:jc w:val="both"/>
      </w:pPr>
      <w:r>
        <w:rPr>
          <w:rFonts w:ascii="Times New Roman" w:hAnsi="Times New Roman"/>
          <w:sz w:val="27"/>
        </w:rPr>
        <w:t>Finally, we thank the project review panel members, faculty members, and our parents and peers for their constant encouragement, insightful discussions, and support.</w:t>
      </w:r>
    </w:p>
    <w:p>
      <w:r>
        <w:br w:type="page"/>
      </w:r>
    </w:p>
    <w:p>
      <w:pPr>
        <w:spacing w:before="240" w:after="200"/>
        <w:jc w:val="center"/>
      </w:pPr>
      <w:r>
        <w:rPr>
          <w:b/>
          <w:sz w:val="32"/>
        </w:rPr>
        <w:t>TABLE OF CONTENTS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3240"/>
        <w:gridCol w:w="3240"/>
        <w:gridCol w:w="3240"/>
      </w:tblGrid>
      <w:tr>
        <w:trPr>
          <w:tblHeader/>
        </w:trPr>
        <w:tc>
          <w:tcPr>
            <w:tcW w:type="dxa" w:w="1872"/>
            <w:tcBorders>
              <w:top w:val="none"/>
              <w:left w:val="none"/>
              <w:bottom w:val="none"/>
              <w:right w:val="none"/>
            </w:tcBorders>
            <w:vAlign w:val="top"/>
            <w:tcMar>
              <w:top w:w="85" w:type="dxa"/>
              <w:bottom w:w="85" w:type="dxa"/>
              <w:left w:w="50" w:type="dxa"/>
              <w:right w:w="50" w:type="dxa"/>
            </w:tcMar>
          </w:tcPr>
          <w:p>
            <w:pPr>
              <w:spacing w:line="264" w:lineRule="auto" w:before="60" w:after="60"/>
              <w:jc w:val="center"/>
            </w:pPr>
            <w:r>
              <w:rPr>
                <w:rFonts w:ascii="Times New Roman" w:hAnsi="Times New Roman"/>
                <w:b/>
                <w:sz w:val="22"/>
              </w:rPr>
              <w:t>CHAPTER NO.</w:t>
            </w:r>
          </w:p>
        </w:tc>
        <w:tc>
          <w:tcPr>
            <w:tcW w:type="dxa" w:w="6336"/>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TITLE</w:t>
            </w:r>
          </w:p>
        </w:tc>
        <w:tc>
          <w:tcPr>
            <w:tcW w:type="dxa" w:w="1440"/>
            <w:tcBorders>
              <w:top w:val="none"/>
              <w:left w:val="none"/>
              <w:bottom w:val="none"/>
              <w:right w:val="none"/>
            </w:tcBorders>
            <w:vAlign w:val="top"/>
            <w:tcMar>
              <w:top w:w="85" w:type="dxa"/>
              <w:bottom w:w="85" w:type="dxa"/>
              <w:left w:w="50" w:type="dxa"/>
              <w:right w:w="50" w:type="dxa"/>
            </w:tcMar>
          </w:tcPr>
          <w:p>
            <w:pPr>
              <w:spacing w:line="264" w:lineRule="auto" w:before="60" w:after="60"/>
              <w:jc w:val="center"/>
            </w:pPr>
            <w:r>
              <w:rPr>
                <w:rFonts w:ascii="Times New Roman" w:hAnsi="Times New Roman"/>
                <w:b/>
                <w:sz w:val="22"/>
              </w:rPr>
              <w:t>PAGE NO.</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Abstract</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iv</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List of Tables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x</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List of Figures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xi</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List of Abbreviations and Symbols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xii</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w:t>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INTRODUCTION</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1.1 Background and Motivation</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1.2 Significance of Machine Learning in Tribology</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1.3 Problem Statement</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1.4 Objectives of the Study</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1.5 Organization of the Report</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4</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w:t>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LITERATURE SURVEY</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2.1 Polymer Composite Tribology and Multi-Filler Systems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2.2 Contact Mechanics and Thermal Transition Models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2.3 Machine Learning Applications in Materials Tribology</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6</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2.4 Limitations of Existing Approaches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6</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2.5 Research Gaps and Identified Challenges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7</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w:t>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SYSTEM ANALYSIS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8</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3.1 Analysis of Existing Testing Paradigms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8</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3.2 Proposed Physics-Informed AI System Architecture</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8</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3.3 Functional and Non-Functional Requirements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8</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3.4 Data Flow and Architecture Diagrams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9</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3.5 Hardware and Software Specifications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11</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4</w:t>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METHODOLOGY AND SYSTEM DESIGN</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12</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4.1 End-to-End System Architecture</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12</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4.2 Experimental Dataset Curation and Schema Normalization</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12</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4.3 80-Feature Physics-Informed Feature Engineering Taxonomy</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13</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4.4 Leakage-Free Preprocessing and Cross-Validation Pipeline</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16</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4.5 Algorithmic Implementations and Model Suite</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17</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4.6 Automated Bayesian Optimization Engine (Optuna)</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17</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4.7 Algorithms and Pseudocode (Pipeline &amp; Inference Engine)</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18</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w:t>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IMPLEMENTATION AND RESULTS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20</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5.1 Experimental Setup and Implementation Environment</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20</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5.2 Benchmark Performance and Consolidated Leaderboard</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20</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5.3 5-Fold Stability and Generalization Analysis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22</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5.4 Parity and Residual Diagnostics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22</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5.5 Empirical Findings Proof Suite (Findings F1 through F10)</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24</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5.6 Model Interpretability: Tree SHAP &amp; Partial Dependence</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27</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5.7 Interactive Virtual Tribometer Application Architecture</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31</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5.8 Practical Guidelines for Composite Formulation Design</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32</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6</w:t>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CONCLUSION AND FUTURE WORK</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34</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6.1 Summary of Contributions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34</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6.2 Technical Limitations and Constraints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34</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6.3 Future Research Enhancements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35</w:t>
            </w:r>
          </w:p>
        </w:tc>
      </w:tr>
      <w:tr>
        <w:trPr>
          <w:cantSplit/>
        </w:trPr>
        <w:tc>
          <w:tcPr>
            <w:tcW w:type="dxa" w:w="1872"/>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7</w:t>
            </w:r>
          </w:p>
        </w:tc>
        <w:tc>
          <w:tcPr>
            <w:tcW w:type="dxa" w:w="633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REFERENCES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36</w:t>
            </w:r>
          </w:p>
        </w:tc>
      </w:tr>
    </w:tbl>
    <w:p>
      <w:pPr>
        <w:spacing w:before="0" w:after="120"/>
      </w:pPr>
    </w:p>
    <w:p>
      <w:r>
        <w:br w:type="page"/>
      </w:r>
    </w:p>
    <w:p>
      <w:pPr>
        <w:spacing w:before="240" w:after="200"/>
        <w:jc w:val="center"/>
      </w:pPr>
      <w:r>
        <w:rPr>
          <w:b/>
          <w:sz w:val="32"/>
        </w:rPr>
        <w:t>LIST OF TABLES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3240"/>
        <w:gridCol w:w="3240"/>
        <w:gridCol w:w="3240"/>
      </w:tblGrid>
      <w:tr>
        <w:trPr>
          <w:tblHeader/>
        </w:trPr>
        <w:tc>
          <w:tcPr>
            <w:tcW w:type="dxa" w:w="1728"/>
            <w:tcBorders>
              <w:top w:val="none"/>
              <w:left w:val="none"/>
              <w:bottom w:val="none"/>
              <w:right w:val="none"/>
            </w:tcBorders>
            <w:vAlign w:val="top"/>
            <w:tcMar>
              <w:top w:w="85" w:type="dxa"/>
              <w:bottom w:w="85" w:type="dxa"/>
              <w:left w:w="50" w:type="dxa"/>
              <w:right w:w="50" w:type="dxa"/>
            </w:tcMar>
          </w:tcPr>
          <w:p>
            <w:pPr>
              <w:spacing w:line="264" w:lineRule="auto" w:before="60" w:after="60"/>
              <w:jc w:val="center"/>
            </w:pPr>
            <w:r>
              <w:rPr>
                <w:rFonts w:ascii="Times New Roman" w:hAnsi="Times New Roman"/>
                <w:b/>
                <w:sz w:val="22"/>
              </w:rPr>
              <w:t>TABLE NO.</w:t>
            </w:r>
          </w:p>
        </w:tc>
        <w:tc>
          <w:tcPr>
            <w:tcW w:type="dxa" w:w="648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TITLE</w:t>
            </w:r>
          </w:p>
        </w:tc>
        <w:tc>
          <w:tcPr>
            <w:tcW w:type="dxa" w:w="1440"/>
            <w:tcBorders>
              <w:top w:val="none"/>
              <w:left w:val="none"/>
              <w:bottom w:val="none"/>
              <w:right w:val="none"/>
            </w:tcBorders>
            <w:vAlign w:val="top"/>
            <w:tcMar>
              <w:top w:w="85" w:type="dxa"/>
              <w:bottom w:w="85" w:type="dxa"/>
              <w:left w:w="50" w:type="dxa"/>
              <w:right w:w="50" w:type="dxa"/>
            </w:tcMar>
          </w:tcPr>
          <w:p>
            <w:pPr>
              <w:spacing w:line="264" w:lineRule="auto" w:before="60" w:after="60"/>
              <w:jc w:val="center"/>
            </w:pPr>
            <w:r>
              <w:rPr>
                <w:rFonts w:ascii="Times New Roman" w:hAnsi="Times New Roman"/>
                <w:b/>
                <w:sz w:val="22"/>
              </w:rPr>
              <w:t>PAGE NO.</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4.1</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Chemical Composition and Filler Stoichiometry Predictor Group</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13</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4.2</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Kinematic and Decoupled Operating Conditions Predictor Group</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14</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4.3</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Archard-Ashby Interfacial Flash Contact Heating Formulation</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14</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4.4</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Cross-Body and Synergistic Filler-Kinematic Interaction Predictors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14</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4.5</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Experimental Rig Geometry and Environmental Specifications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15</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4.6</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Data Preprocessing Pipeline Specifications and Transformers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16</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4.7</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Benchmarked Machine Learning Regressor Architectures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17</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4.8</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Optuna Bayesian Optimization Search Space Specifications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17</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5.1</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Consolidated 5-Fold Cross-Validation Performance Leaderboard</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20</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5.2</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Fold-Level Validation Stability and Performance Metrics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22</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5.3</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Empirical Findings Proof Suite (Findings F1–F10 Validation Summary)</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24</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5.4</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Top 10 Global Features by Tree SHAP (CoF and Specific Wear Rate)</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27</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6.1</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Technical Constraints and Limitations of the Tribology AI Framework</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34</w:t>
            </w:r>
          </w:p>
        </w:tc>
      </w:tr>
    </w:tbl>
    <w:p>
      <w:pPr>
        <w:spacing w:before="0" w:after="120"/>
      </w:pPr>
    </w:p>
    <w:p>
      <w:r>
        <w:br w:type="page"/>
      </w:r>
    </w:p>
    <w:p>
      <w:pPr>
        <w:spacing w:before="240" w:after="200"/>
        <w:jc w:val="center"/>
      </w:pPr>
      <w:r>
        <w:rPr>
          <w:b/>
          <w:sz w:val="32"/>
        </w:rPr>
        <w:t>LIST OF FIGURES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3240"/>
        <w:gridCol w:w="3240"/>
        <w:gridCol w:w="3240"/>
      </w:tblGrid>
      <w:tr>
        <w:trPr>
          <w:tblHeader/>
        </w:trPr>
        <w:tc>
          <w:tcPr>
            <w:tcW w:type="dxa" w:w="1728"/>
            <w:tcBorders>
              <w:top w:val="none"/>
              <w:left w:val="none"/>
              <w:bottom w:val="none"/>
              <w:right w:val="none"/>
            </w:tcBorders>
            <w:vAlign w:val="top"/>
            <w:tcMar>
              <w:top w:w="85" w:type="dxa"/>
              <w:bottom w:w="85" w:type="dxa"/>
              <w:left w:w="50" w:type="dxa"/>
              <w:right w:w="50" w:type="dxa"/>
            </w:tcMar>
          </w:tcPr>
          <w:p>
            <w:pPr>
              <w:spacing w:line="264" w:lineRule="auto" w:before="60" w:after="60"/>
              <w:jc w:val="center"/>
            </w:pPr>
            <w:r>
              <w:rPr>
                <w:rFonts w:ascii="Times New Roman" w:hAnsi="Times New Roman"/>
                <w:b/>
                <w:sz w:val="22"/>
              </w:rPr>
              <w:t>FIGURE NO.</w:t>
            </w:r>
          </w:p>
        </w:tc>
        <w:tc>
          <w:tcPr>
            <w:tcW w:type="dxa" w:w="648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TITLE</w:t>
            </w:r>
          </w:p>
        </w:tc>
        <w:tc>
          <w:tcPr>
            <w:tcW w:type="dxa" w:w="1440"/>
            <w:tcBorders>
              <w:top w:val="none"/>
              <w:left w:val="none"/>
              <w:bottom w:val="none"/>
              <w:right w:val="none"/>
            </w:tcBorders>
            <w:vAlign w:val="top"/>
            <w:tcMar>
              <w:top w:w="85" w:type="dxa"/>
              <w:bottom w:w="85" w:type="dxa"/>
              <w:left w:w="50" w:type="dxa"/>
              <w:right w:w="50" w:type="dxa"/>
            </w:tcMar>
          </w:tcPr>
          <w:p>
            <w:pPr>
              <w:spacing w:line="264" w:lineRule="auto" w:before="60" w:after="60"/>
              <w:jc w:val="center"/>
            </w:pPr>
            <w:r>
              <w:rPr>
                <w:rFonts w:ascii="Times New Roman" w:hAnsi="Times New Roman"/>
                <w:b/>
                <w:sz w:val="22"/>
              </w:rPr>
              <w:t>PAGE NO.</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3.1</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Data Flow Diagram Level 0 (Context Level) of the Tribology System</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9</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3.2</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Data Flow Diagram Level 1 Decomposing Feature and Model Pipelines</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10</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4.1</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Overall End-to-End Tribology Machine Learning Architecture</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12</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4.2</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80-Feature Physics-Informed Pipeline and Normalization Flow</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16</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5.1</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CoF Model Parity Plot: Actual vs 5-Fold OOF Predicted (XGBoost Tuned)</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22</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5.2</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Wear Model Parity Plot: Actual vs OOF Predicted log₁₀ kv (CatBoost Tuned)</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23</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5.3</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Finding 8 — Solid Lubricant to Fiber Reinforcement Pareto Window</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26</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5.4</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Finding 5 — Orthogonality Scatter Plot of CoF versus Specific Wear Rate</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26</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5.5</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2D Partial Dependence Interaction Surface (Glass Fiber × MoS₂ Synergy)</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31</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5.6</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Global Tree SHAP Beeswarm Feature Impact Summary for CoF</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30</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5.7</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Global Tree SHAP Beeswarm Feature Impact Summary for Wear Rate</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30</w:t>
            </w:r>
          </w:p>
        </w:tc>
      </w:tr>
      <w:tr>
        <w:trPr>
          <w:cantSplit/>
        </w:trPr>
        <w:tc>
          <w:tcPr>
            <w:tcW w:type="dxa" w:w="1728"/>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5.8</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Streamlit Virtual Tribometer Graphical User Interface Architecture</w:t>
            </w:r>
          </w:p>
        </w:tc>
        <w:tc>
          <w:tcPr>
            <w:tcW w:type="dxa" w:w="1440"/>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32</w:t>
            </w:r>
          </w:p>
        </w:tc>
      </w:tr>
    </w:tbl>
    <w:p>
      <w:pPr>
        <w:spacing w:before="0" w:after="120"/>
      </w:pPr>
    </w:p>
    <w:p>
      <w:r>
        <w:br w:type="page"/>
      </w:r>
    </w:p>
    <w:p>
      <w:pPr>
        <w:spacing w:before="240" w:after="200"/>
        <w:jc w:val="center"/>
      </w:pPr>
      <w:r>
        <w:rPr>
          <w:b/>
          <w:sz w:val="32"/>
        </w:rPr>
        <w:t>LIST OF ABBREVIATIONS AND SYMBOLS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4860"/>
        <w:gridCol w:w="4860"/>
      </w:tblGrid>
      <w:tr>
        <w:trPr>
          <w:tblHeader/>
        </w:trPr>
        <w:tc>
          <w:tcPr>
            <w:tcW w:type="dxa" w:w="2592"/>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ABBREVIATION</w:t>
            </w:r>
          </w:p>
        </w:tc>
        <w:tc>
          <w:tcPr>
            <w:tcW w:type="dxa" w:w="7056"/>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DESCRIPTION</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PA6</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Polyamide 6 (Nylon 6)</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PA66</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Polyamide 66 (Nylon 66)</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CoF (μ)</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Coefficient of Friction</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kv</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Specific Wear Rate (mm³/(N·m))</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GF</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Short Glass Fiber Reinforcement</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CF</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Carbon Fiber</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MoS₂</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Molybdenum Disulfide Solid Lubricant</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PTFE</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Polytetrafluoroethylene Solid Lubricant</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PV</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Pressure-Velocity Product (MPa·m/s)</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Tg</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Glass Transition Temperature (~50°C for PA6/PA66)</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Tm</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Melting Temperature (220°C for PA6, 260°C for PA66)</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ΔT_flash</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Interfacial Contact Flash Temperature Rise (°C)</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OOF</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Out-Of-Fold Cross-Validation Prediction</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MAE</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Mean Absolute Error</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RMSE</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Root Mean Squared Error</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R²</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Coefficient of Determination</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SHAP</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SHapley Additive exPlanations</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PDP</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Partial Dependence Plot</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TPE</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Tree-structured Parzen Estimator (Optuna)</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XGBoost</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Extreme Gradient Boosting</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CatBoost</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Categorical Gradient Boosting</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HistGB</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Histogram-based Gradient Boosting</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SVR</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Support Vector Regression</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PoD</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Pin-on-Disk Tribometer Configuration</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BoR</w:t>
            </w:r>
          </w:p>
        </w:tc>
        <w:tc>
          <w:tcPr>
            <w:tcW w:type="dxa" w:w="70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Block-on-Ring Tribometer Configuration</w:t>
            </w:r>
          </w:p>
        </w:tc>
      </w:tr>
    </w:tbl>
    <w:p>
      <w:pPr>
        <w:spacing w:before="0" w:after="120"/>
      </w:pPr>
    </w:p>
    <w:p>
      <w:pPr>
        <w:sectPr>
          <w:footerReference w:type="default" r:id="rId9"/>
          <w:footerReference w:type="first" r:id="rId10"/>
          <w:pgSz w:w="12240" w:h="15840"/>
          <w:pgMar w:top="1440" w:right="1080" w:bottom="720" w:left="1440" w:header="720" w:footer="720" w:gutter="0"/>
          <w:cols w:space="720"/>
          <w:titlePg/>
          <w:docGrid w:linePitch="360"/>
          <w:pgNumType w:fmt="lowerRoman" w:start="1"/>
        </w:sectPr>
      </w:pPr>
    </w:p>
    <w:p>
      <w:pPr>
        <w:pStyle w:val="Heading1"/>
        <w:spacing w:before="280" w:after="320" w:line="276" w:lineRule="auto"/>
        <w:jc w:val="center"/>
      </w:pPr>
      <w:r>
        <w:rPr>
          <w:rFonts w:ascii="Times New Roman" w:hAnsi="Times New Roman"/>
          <w:b/>
          <w:sz w:val="32"/>
        </w:rPr>
        <w:t>CHAPTER 1</w:t>
        <w:br/>
        <w:t>INTRODUCTION</w:t>
      </w:r>
    </w:p>
    <w:p>
      <w:pPr>
        <w:pStyle w:val="Heading2"/>
        <w:spacing w:before="280" w:after="80" w:line="360" w:lineRule="auto"/>
        <w:jc w:val="left"/>
      </w:pPr>
      <w:r>
        <w:rPr>
          <w:rFonts w:ascii="Times New Roman" w:hAnsi="Times New Roman"/>
          <w:b/>
          <w:sz w:val="28"/>
        </w:rPr>
        <w:t>1.1 Background and Motivation</w:t>
      </w:r>
    </w:p>
    <w:p>
      <w:pPr>
        <w:spacing w:line="360" w:lineRule="auto" w:after="120"/>
        <w:jc w:val="both"/>
      </w:pPr>
      <w:r>
        <w:rPr>
          <w:rFonts w:ascii="Times New Roman" w:hAnsi="Times New Roman"/>
          <w:sz w:val="27"/>
        </w:rPr>
        <w:t>Engineering polymers and short-fiber reinforced thermoplastic composites represent critical material classes in modern mechanical engineering assemblies where sliding contact occurs under dry or boundary-lubricated regimes. Among engineering thermoplastics, aliphatic polyamides—principally Polyamide 6 (PA6) and Polyamide 66 (PA66)—are utilized extensively in precision timing gears, heavy-duty industrial sleeve bushings, thrust washers, dynamic hydraulic seals, and aerospace conveyor guides. Their widespread industrial adoption stems from an advantageous combination of high specific mechanical stiffness, impact toughness, superior vibration and acoustic damping, self-lubricating transfer film capabilities, and corrosion resistance against aggressive chemical environments.</w:t>
      </w:r>
    </w:p>
    <w:p>
      <w:pPr>
        <w:spacing w:line="360" w:lineRule="auto" w:after="120"/>
        <w:jc w:val="both"/>
      </w:pPr>
      <w:r>
        <w:rPr>
          <w:rFonts w:ascii="Times New Roman" w:hAnsi="Times New Roman"/>
          <w:sz w:val="27"/>
        </w:rPr>
        <w:t>To satisfy stringent operating demands requiring structural load carrying alongside low frictional resistance and extended wear life, polyamides are compounded into hybrid multi-constituent composites. Solid lubricants such as polytetrafluoroethylene (PTFE), graphite flake, and molybdenum disulfide (MoS₂) are introduced to shear readily at sliding counterfaces, depositing a protective third-body transfer film that mitigates metal-on-polymer direct asperity contact. Concurrently, inorganic reinforcing fibers—predominantly short E-glass fibers (GF)—are embedded to elevate heat deflection temperatures, suppress creep under compressive stress, and reduce plastic flow.</w:t>
      </w:r>
    </w:p>
    <w:p>
      <w:pPr>
        <w:spacing w:line="360" w:lineRule="auto" w:after="120"/>
        <w:jc w:val="both"/>
      </w:pPr>
      <w:r>
        <w:rPr>
          <w:rFonts w:ascii="Times New Roman" w:hAnsi="Times New Roman"/>
          <w:sz w:val="27"/>
        </w:rPr>
        <w:t>However, designing optimal multi-constituent polyamide composites has historically relied on empirical trial-and-error experiments using standardized pin-on-disk (PoD) or block-on-ring (BoR) configurations. Physical testing is resource-intensive, requiring extensive compounding runs, test specimen machining, and hundreds of sliding hours across variable loads and sliding velocities. This highlights the urgent necessity for advanced, data-driven machine learning models capable of synthesizing decades of experimental tribology literature into an accurate, instantaneous virtual predictive engine.</w:t>
      </w:r>
    </w:p>
    <w:p>
      <w:pPr>
        <w:pStyle w:val="Heading2"/>
        <w:spacing w:before="280" w:after="80" w:line="360" w:lineRule="auto"/>
        <w:jc w:val="left"/>
      </w:pPr>
      <w:r>
        <w:rPr>
          <w:rFonts w:ascii="Times New Roman" w:hAnsi="Times New Roman"/>
          <w:b/>
          <w:sz w:val="28"/>
        </w:rPr>
        <w:t>1.2 Significance of Machine Learning in Polymer Composite Tribology</w:t>
      </w:r>
    </w:p>
    <w:p>
      <w:pPr>
        <w:spacing w:line="360" w:lineRule="auto" w:after="120"/>
        <w:jc w:val="both"/>
      </w:pPr>
      <w:r>
        <w:rPr>
          <w:rFonts w:ascii="Times New Roman" w:hAnsi="Times New Roman"/>
          <w:sz w:val="27"/>
        </w:rPr>
        <w:t>Machine learning (ML) models offer significant potential for materials tribology by uncovering complex non-linear mappings between high-dimensional compositional variables, kinematic testing states, and continuous performance metrics. Traditional empirical regression models assume monotonic dependencies that fail to capture competitive filler interactions—such as the trade-off where reinforcing fibers improve load capacity but accelerate abrasive counterface scouring, or where excess solid lubricants lower friction while degrading matrix structural integrity.</w:t>
      </w:r>
    </w:p>
    <w:p>
      <w:pPr>
        <w:spacing w:line="360" w:lineRule="auto" w:after="120"/>
        <w:jc w:val="both"/>
      </w:pPr>
      <w:r>
        <w:rPr>
          <w:rFonts w:ascii="Times New Roman" w:hAnsi="Times New Roman"/>
          <w:sz w:val="27"/>
        </w:rPr>
        <w:t>By combining modern gradient boosted decision trees (XGBoost, CatBoost, Hist Gradient Boosting) with physics-informed domain representations, machine learning enables materials scientists to navigate the multi-objective Pareto optimization space. This allows simultaneous minimization of the Coefficient of Friction (CoF) and Specific Wear Rate, predicting formulation behavior before committing to physical compounding.</w:t>
      </w:r>
    </w:p>
    <w:p>
      <w:pPr>
        <w:pStyle w:val="Heading2"/>
        <w:spacing w:before="280" w:after="80" w:line="360" w:lineRule="auto"/>
        <w:jc w:val="left"/>
      </w:pPr>
      <w:r>
        <w:rPr>
          <w:rFonts w:ascii="Times New Roman" w:hAnsi="Times New Roman"/>
          <w:b/>
          <w:sz w:val="28"/>
        </w:rPr>
        <w:t>1.3 Problem Statement</w:t>
      </w:r>
    </w:p>
    <w:p>
      <w:pPr>
        <w:spacing w:line="360" w:lineRule="auto" w:after="120"/>
        <w:jc w:val="both"/>
      </w:pPr>
      <w:r>
        <w:rPr>
          <w:rFonts w:ascii="Times New Roman" w:hAnsi="Times New Roman"/>
          <w:sz w:val="27"/>
        </w:rPr>
        <w:t>Despite decades of experimental research on PA6 and PA66 composites, developing accurate computational models has been severely constrained by four fundamental tribological phenomena:</w:t>
      </w:r>
    </w:p>
    <w:p>
      <w:pPr>
        <w:spacing w:line="360" w:lineRule="auto" w:after="120"/>
        <w:jc w:val="both"/>
      </w:pPr>
      <w:r>
        <w:rPr>
          <w:rFonts w:ascii="Times New Roman" w:hAnsi="Times New Roman"/>
          <w:sz w:val="27"/>
        </w:rPr>
        <w:t>1. Non-Monotonic Multi-Constituent Interactions: The friction and wear response as a function of filler concentration is non-linear and non-monotonic. Additives that improve performance at low weight fractions (5–10 wt%) frequently trigger agglomeration, three-body abrasive scuffing, or matrix embrittlement at higher concentrations (&gt;25 wt%).</w:t>
      </w:r>
    </w:p>
    <w:p>
      <w:pPr>
        <w:spacing w:line="360" w:lineRule="auto" w:after="120"/>
        <w:jc w:val="both"/>
      </w:pPr>
      <w:r>
        <w:rPr>
          <w:rFonts w:ascii="Times New Roman" w:hAnsi="Times New Roman"/>
          <w:sz w:val="27"/>
        </w:rPr>
        <w:t>2. Decoupling of Friction and Wear Mechanisms: Conventional engineering heuristics often assume that low interfacial friction correlates with low volumetric wear. However, friction is an interfacial shear stress phenomenon governed by boundary layers, whereas wear is governed by subsurface shear crack propagation, fatigue delamination, and transfer film stability. Low friction materials can exhibit catastrophic wear, and vice versa.</w:t>
      </w:r>
    </w:p>
    <w:p>
      <w:pPr>
        <w:spacing w:line="360" w:lineRule="auto" w:after="120"/>
        <w:jc w:val="both"/>
      </w:pPr>
      <w:r>
        <w:rPr>
          <w:rFonts w:ascii="Times New Roman" w:hAnsi="Times New Roman"/>
          <w:sz w:val="27"/>
        </w:rPr>
        <w:t>3. Inadequacy of the Classical Pressure-Velocity (PV) Product: Industrial engineering design relies heavily on the single scalar PV factor (MPa·m/s). However, identical PV values resulting from high-load/low-speed versus low-load/high-speed tests activate completely different wear mechanisms—ranging from adhesive micro-welding to frictional flash melting.</w:t>
      </w:r>
    </w:p>
    <w:p>
      <w:pPr>
        <w:spacing w:line="360" w:lineRule="auto" w:after="120"/>
        <w:jc w:val="both"/>
      </w:pPr>
      <w:r>
        <w:rPr>
          <w:rFonts w:ascii="Times New Roman" w:hAnsi="Times New Roman"/>
          <w:sz w:val="27"/>
        </w:rPr>
        <w:t>4. Thermal Contact Transitions and Flash Heating: Polyamides undergo significant viscoelastic modulus drop when passing their glass transition temperature (Tg ≈ 45–60°C). Under continuous sliding, microscopic asperity flash heating elevates the true contact temperature beyond Tg or toward the melting point (Tm = 220°C for PA6, 260°C for PA66), causing stick-slip chatter and severe melt extrusion wear.</w:t>
      </w:r>
    </w:p>
    <w:p>
      <w:pPr>
        <w:pStyle w:val="Heading2"/>
        <w:spacing w:before="280" w:after="80" w:line="360" w:lineRule="auto"/>
        <w:jc w:val="left"/>
      </w:pPr>
      <w:r>
        <w:rPr>
          <w:rFonts w:ascii="Times New Roman" w:hAnsi="Times New Roman"/>
          <w:b/>
          <w:sz w:val="28"/>
        </w:rPr>
        <w:t>1.4 Objectives of the Study</w:t>
      </w:r>
    </w:p>
    <w:p>
      <w:pPr>
        <w:spacing w:line="360" w:lineRule="auto" w:after="120"/>
        <w:jc w:val="both"/>
      </w:pPr>
      <w:r>
        <w:rPr>
          <w:rFonts w:ascii="Times New Roman" w:hAnsi="Times New Roman"/>
          <w:sz w:val="27"/>
        </w:rPr>
        <w:t>The primary objective of this project is to develop an end-to-end, physics-informed machine learning pipeline and interactive Virtual Tribometer for PA6 and PA66 composites. Specific technical objectives include:</w:t>
      </w:r>
    </w:p>
    <w:p>
      <w:pPr>
        <w:spacing w:line="360" w:lineRule="auto" w:after="120"/>
        <w:jc w:val="both"/>
      </w:pPr>
      <w:r>
        <w:rPr>
          <w:rFonts w:ascii="Times New Roman" w:hAnsi="Times New Roman"/>
          <w:sz w:val="27"/>
        </w:rPr>
        <w:t>• Curation and Normalization: Systematically extract, validate, and normalize 1,353 experimental sliding runs from 50+ published peer-reviewed studies into a unified database.</w:t>
      </w:r>
    </w:p>
    <w:p>
      <w:pPr>
        <w:spacing w:line="360" w:lineRule="auto" w:after="120"/>
        <w:jc w:val="both"/>
      </w:pPr>
      <w:r>
        <w:rPr>
          <w:rFonts w:ascii="Times New Roman" w:hAnsi="Times New Roman"/>
          <w:sz w:val="27"/>
        </w:rPr>
        <w:t>• Physics-Informed Feature Engineering: Formulate an 80-feature predictor taxonomy incorporating stoichiometry balances, decoupled operational kinematics, polynomial quadratic terms, and an Archard-Ashby interfacial contact flash temperature model.</w:t>
      </w:r>
    </w:p>
    <w:p>
      <w:pPr>
        <w:spacing w:line="360" w:lineRule="auto" w:after="120"/>
        <w:jc w:val="both"/>
      </w:pPr>
      <w:r>
        <w:rPr>
          <w:rFonts w:ascii="Times New Roman" w:hAnsi="Times New Roman"/>
          <w:sz w:val="27"/>
        </w:rPr>
        <w:t>• Multi-Model Benchmarking &amp; Fine-Tuning: Benchmark 8 diverse algorithmic architectures using strict 5-fold cross-validation with out-of-fold aggregation, and conduct automated Bayesian hyperparameter optimization using Optuna.</w:t>
      </w:r>
    </w:p>
    <w:p>
      <w:pPr>
        <w:spacing w:line="360" w:lineRule="auto" w:after="120"/>
        <w:jc w:val="both"/>
      </w:pPr>
      <w:r>
        <w:rPr>
          <w:rFonts w:ascii="Times New Roman" w:hAnsi="Times New Roman"/>
          <w:sz w:val="27"/>
        </w:rPr>
        <w:t>• Formal Empirical Findings Proof Suite: Computationally formalize, ablate, and validate 10 core literature findings (F1 through F10), providing mathematical proofs for non-monotonicity, target decoupling, flash temperature transitions, and Pareto frontier optimization.</w:t>
      </w:r>
    </w:p>
    <w:p>
      <w:pPr>
        <w:spacing w:line="360" w:lineRule="auto" w:after="120"/>
        <w:jc w:val="both"/>
      </w:pPr>
      <w:r>
        <w:rPr>
          <w:rFonts w:ascii="Times New Roman" w:hAnsi="Times New Roman"/>
          <w:sz w:val="27"/>
        </w:rPr>
        <w:t>• Model Interpretability: Extract game-theoretic Tree SHAP importance values and 2D Partial Dependence response surfaces to provide interpretable domain insights.</w:t>
      </w:r>
    </w:p>
    <w:p>
      <w:pPr>
        <w:spacing w:line="360" w:lineRule="auto" w:after="120"/>
        <w:jc w:val="both"/>
      </w:pPr>
      <w:r>
        <w:rPr>
          <w:rFonts w:ascii="Times New Roman" w:hAnsi="Times New Roman"/>
          <w:sz w:val="27"/>
        </w:rPr>
        <w:t>• Interactive Virtual Tribometer: Deploy the production models into an accessible, real-time Streamlit dashboard and self-contained Google Colab notebook for instant formulation simulation and sensitivity analysis.</w:t>
      </w:r>
    </w:p>
    <w:p>
      <w:pPr>
        <w:pStyle w:val="Heading2"/>
        <w:spacing w:before="280" w:after="80" w:line="360" w:lineRule="auto"/>
        <w:jc w:val="left"/>
      </w:pPr>
      <w:r>
        <w:rPr>
          <w:rFonts w:ascii="Times New Roman" w:hAnsi="Times New Roman"/>
          <w:b/>
          <w:sz w:val="28"/>
        </w:rPr>
        <w:t>1.5 Organization of the Report</w:t>
      </w:r>
    </w:p>
    <w:p>
      <w:pPr>
        <w:spacing w:line="360" w:lineRule="auto" w:after="120"/>
        <w:jc w:val="both"/>
      </w:pPr>
      <w:r>
        <w:rPr>
          <w:rFonts w:ascii="Times New Roman" w:hAnsi="Times New Roman"/>
          <w:sz w:val="27"/>
        </w:rPr>
        <w:t>The remainder of this report is organized as follows: Chapter 2 reviews the literature on polymer composite tribology, contact mechanics, and machine learning methods. Chapter 3 provides system analysis, requirements, and data flow diagrams. Chapter 4 details the methodology, 80-feature engineering taxonomy, model architectures, and Bayesian tuning. Chapter 5 presents the experimental benchmark leaderboard, fold stability, empirical findings proofs F1–F10, SHAP interpretability, and the Virtual Tribometer UI. Chapter 6 concludes the report with limitations and future directions, followed by References in Chapter 7.</w:t>
      </w:r>
    </w:p>
    <w:p>
      <w:r>
        <w:br w:type="page"/>
      </w:r>
    </w:p>
    <w:p>
      <w:pPr>
        <w:pStyle w:val="Heading1"/>
        <w:spacing w:before="280" w:after="320" w:line="276" w:lineRule="auto"/>
        <w:jc w:val="center"/>
      </w:pPr>
      <w:r>
        <w:rPr>
          <w:rFonts w:ascii="Times New Roman" w:hAnsi="Times New Roman"/>
          <w:b/>
          <w:sz w:val="32"/>
        </w:rPr>
        <w:t>CHAPTER 2</w:t>
        <w:br/>
        <w:t>LITERATURE SURVEY</w:t>
      </w:r>
    </w:p>
    <w:p>
      <w:pPr>
        <w:pStyle w:val="Heading2"/>
        <w:spacing w:before="280" w:after="80" w:line="360" w:lineRule="auto"/>
        <w:jc w:val="left"/>
      </w:pPr>
      <w:r>
        <w:rPr>
          <w:rFonts w:ascii="Times New Roman" w:hAnsi="Times New Roman"/>
          <w:b/>
          <w:sz w:val="28"/>
        </w:rPr>
        <w:t>2.1 Polymer Composite Tribology and Multi-Filler Systems</w:t>
      </w:r>
    </w:p>
    <w:p>
      <w:pPr>
        <w:spacing w:line="360" w:lineRule="auto" w:after="120"/>
        <w:jc w:val="both"/>
      </w:pPr>
      <w:r>
        <w:rPr>
          <w:rFonts w:ascii="Times New Roman" w:hAnsi="Times New Roman"/>
          <w:sz w:val="27"/>
        </w:rPr>
        <w:t>Polymer composite tribology has been investigated extensively over the past three decades. Friedrich et al. (1995) established foundational principles regarding short fiber reinforced thermoplastics, demonstrating that adding glass or carbon fibers significantly suppresses severe adhesive wear by carrying the normal load at the contact interface. However, uncovered fibers frequently act as abrasive cutting tools against soft metallic counterfaces, elevating the Coefficient of Friction.</w:t>
      </w:r>
    </w:p>
    <w:p>
      <w:pPr>
        <w:spacing w:line="360" w:lineRule="auto" w:after="120"/>
        <w:jc w:val="both"/>
      </w:pPr>
      <w:r>
        <w:rPr>
          <w:rFonts w:ascii="Times New Roman" w:hAnsi="Times New Roman"/>
          <w:sz w:val="27"/>
        </w:rPr>
        <w:t>To counter this, secondary solid lubricant fillers are blended into the matrix. Zhang et al. (2004) demonstrated that nano-particulate MoS₂ and graphite flakes promote the uniform deposition of thin, coherent polymer transfer films on steel counterfaces. When transfer films adhere strongly to the counterface, sliding transitions from polymer-on-metal to polymer-on-polymer transfer film, reducing both interfacial shear stresses and steady-state friction coefficients.</w:t>
      </w:r>
    </w:p>
    <w:p>
      <w:pPr>
        <w:pStyle w:val="Heading2"/>
        <w:spacing w:before="280" w:after="80" w:line="360" w:lineRule="auto"/>
        <w:jc w:val="left"/>
      </w:pPr>
      <w:r>
        <w:rPr>
          <w:rFonts w:ascii="Times New Roman" w:hAnsi="Times New Roman"/>
          <w:b/>
          <w:sz w:val="28"/>
        </w:rPr>
        <w:t>2.2 Contact Mechanics and Thermal Transition Theories</w:t>
      </w:r>
    </w:p>
    <w:p>
      <w:pPr>
        <w:spacing w:line="360" w:lineRule="auto" w:after="120"/>
        <w:jc w:val="both"/>
      </w:pPr>
      <w:r>
        <w:rPr>
          <w:rFonts w:ascii="Times New Roman" w:hAnsi="Times New Roman"/>
          <w:sz w:val="27"/>
        </w:rPr>
        <w:t>Theoretical models of dry sliding friction and wear trace back to Archard's classical adhesive wear formulation (1959), which states that volumetric wear loss V is directly proportional to normal load FN and sliding distance s, inversely proportional to material hardness H: V = k · (FN · s) / H. While accurate for homogeneous metals, Archard's linear relationship fails for viscoelastic polymers.</w:t>
      </w:r>
    </w:p>
    <w:p>
      <w:pPr>
        <w:spacing w:line="360" w:lineRule="auto" w:after="120"/>
        <w:jc w:val="both"/>
      </w:pPr>
      <w:r>
        <w:rPr>
          <w:rFonts w:ascii="Times New Roman" w:hAnsi="Times New Roman"/>
          <w:sz w:val="27"/>
        </w:rPr>
        <w:t>Ashby (1990) advanced wear mechanism mapping by demonstrating that frictional heat generation at microscopic asperity contacts induces localized flash temperature spikes far in excess of nominal bulk ambient temperatures. In aliphatic polyamides, when the local contact temperature exceeds the glass transition temperature (Tg ≈ 50°C), the amorphous polymer chains transition from a rigid glassy state into an elastic rubbery regime. This transition causes an order-of-magnitude decrease in yield strength, promoting stick-slip instability, micro-ploughing, and rapid debris generation.</w:t>
      </w:r>
    </w:p>
    <w:p>
      <w:pPr>
        <w:pStyle w:val="Heading2"/>
        <w:spacing w:before="280" w:after="80" w:line="360" w:lineRule="auto"/>
        <w:jc w:val="left"/>
      </w:pPr>
      <w:r>
        <w:rPr>
          <w:rFonts w:ascii="Times New Roman" w:hAnsi="Times New Roman"/>
          <w:b/>
          <w:sz w:val="28"/>
        </w:rPr>
        <w:t>2.3 Machine Learning Applications in Materials Tribology</w:t>
      </w:r>
    </w:p>
    <w:p>
      <w:pPr>
        <w:spacing w:line="360" w:lineRule="auto" w:after="120"/>
        <w:jc w:val="both"/>
      </w:pPr>
      <w:r>
        <w:rPr>
          <w:rFonts w:ascii="Times New Roman" w:hAnsi="Times New Roman"/>
          <w:sz w:val="27"/>
        </w:rPr>
        <w:t>In recent years, researchers have applied machine learning algorithms to materials property prediction. Early efforts relied on Artificial Neural Networks (ANN) or standard Support Vector Regression (SVR) trained on small, bespoke experimental datasets containing 30 to 100 sample points from a single laboratory. While achieving acceptable training fits, these models suffered from severe overfitting and failed to generalize when evaluated across different pin geometries, counterface materials, or broader kinematic ranges.</w:t>
      </w:r>
    </w:p>
    <w:p>
      <w:pPr>
        <w:spacing w:line="360" w:lineRule="auto" w:after="120"/>
        <w:jc w:val="both"/>
      </w:pPr>
      <w:r>
        <w:rPr>
          <w:rFonts w:ascii="Times New Roman" w:hAnsi="Times New Roman"/>
          <w:sz w:val="27"/>
        </w:rPr>
        <w:t>Recent advances in tree-based ensemble methods—specifically Extreme Gradient Boosting (XGBoost, Chen &amp; Guestrin 2016) and Categorical Boosting (CatBoost, Prokhorenkova et al. 2018)—have demonstrated superior tabular learning performance over standard deep neural networks. Tree ensembles handle missing values effectively, capture non-linear split boundaries, and resist input scale distortions without requiring uniform normalization.</w:t>
      </w:r>
    </w:p>
    <w:p>
      <w:pPr>
        <w:pStyle w:val="Heading2"/>
        <w:spacing w:before="280" w:after="80" w:line="360" w:lineRule="auto"/>
        <w:jc w:val="left"/>
      </w:pPr>
      <w:r>
        <w:rPr>
          <w:rFonts w:ascii="Times New Roman" w:hAnsi="Times New Roman"/>
          <w:b/>
          <w:sz w:val="28"/>
        </w:rPr>
        <w:t>2.4 Limitations of Existing Approaches</w:t>
      </w:r>
    </w:p>
    <w:p>
      <w:pPr>
        <w:spacing w:line="360" w:lineRule="auto" w:after="120"/>
        <w:jc w:val="both"/>
      </w:pPr>
      <w:r>
        <w:rPr>
          <w:rFonts w:ascii="Times New Roman" w:hAnsi="Times New Roman"/>
          <w:sz w:val="27"/>
        </w:rPr>
        <w:t>Despite increasing interest in data-driven tribology, existing approaches suffer from key scientific limitations:</w:t>
      </w:r>
    </w:p>
    <w:p>
      <w:pPr>
        <w:spacing w:line="360" w:lineRule="auto" w:after="120"/>
        <w:jc w:val="both"/>
      </w:pPr>
      <w:r>
        <w:rPr>
          <w:rFonts w:ascii="Times New Roman" w:hAnsi="Times New Roman"/>
          <w:sz w:val="27"/>
        </w:rPr>
        <w:t>• Fragmented, Single-Study Datasets: Most published models are trained on narrow data from a single pin-on-disk rig, preventing models from learning experimental variance introduced by counterface metallurgy or specimen fabrication methods.</w:t>
      </w:r>
    </w:p>
    <w:p>
      <w:pPr>
        <w:spacing w:line="360" w:lineRule="auto" w:after="120"/>
        <w:jc w:val="both"/>
      </w:pPr>
      <w:r>
        <w:rPr>
          <w:rFonts w:ascii="Times New Roman" w:hAnsi="Times New Roman"/>
          <w:sz w:val="27"/>
        </w:rPr>
        <w:t>• Lack of Physics Constraints: Pure black-box machine learning models frequently violate physical bounds—predicting negative friction coefficients or failing to capture thermal softening above glass transition.</w:t>
      </w:r>
    </w:p>
    <w:p>
      <w:pPr>
        <w:spacing w:line="360" w:lineRule="auto" w:after="120"/>
        <w:jc w:val="both"/>
      </w:pPr>
      <w:r>
        <w:rPr>
          <w:rFonts w:ascii="Times New Roman" w:hAnsi="Times New Roman"/>
          <w:sz w:val="27"/>
        </w:rPr>
        <w:t>• Conflating Friction and Wear: Multiple studies treat CoF and Specific Wear Rate as coupled targets or predict one target from the other, ignoring that they represent orthogonal physical mechanisms.</w:t>
      </w:r>
    </w:p>
    <w:p>
      <w:pPr>
        <w:pStyle w:val="Heading2"/>
        <w:spacing w:before="280" w:after="80" w:line="360" w:lineRule="auto"/>
        <w:jc w:val="left"/>
      </w:pPr>
      <w:r>
        <w:rPr>
          <w:rFonts w:ascii="Times New Roman" w:hAnsi="Times New Roman"/>
          <w:b/>
          <w:sz w:val="28"/>
        </w:rPr>
        <w:t>2.5 Research Gaps and Identified Challenges</w:t>
      </w:r>
    </w:p>
    <w:p>
      <w:pPr>
        <w:spacing w:line="360" w:lineRule="auto" w:after="120"/>
        <w:jc w:val="both"/>
      </w:pPr>
      <w:r>
        <w:rPr>
          <w:rFonts w:ascii="Times New Roman" w:hAnsi="Times New Roman"/>
          <w:sz w:val="27"/>
        </w:rPr>
        <w:t>This survey identifies three critical research gaps: (1) The absence of a large-scale, multi-study unified benchmark dataset for PA6/PA66 composites; (2) The lack of an engineered feature taxonomy that integrates contact mechanics (Ashby flash temperature rise) and filler synergy ratios directly into tabular representations; and (3) The absence of an open-access, interactive virtual simulator that provides real-time dual-target inference alongside physical guardrails for industrial engineers.</w:t>
      </w:r>
    </w:p>
    <w:p>
      <w:r>
        <w:br w:type="page"/>
      </w:r>
    </w:p>
    <w:p>
      <w:pPr>
        <w:pStyle w:val="Heading1"/>
        <w:spacing w:before="280" w:after="320" w:line="276" w:lineRule="auto"/>
        <w:jc w:val="center"/>
      </w:pPr>
      <w:r>
        <w:rPr>
          <w:rFonts w:ascii="Times New Roman" w:hAnsi="Times New Roman"/>
          <w:b/>
          <w:sz w:val="32"/>
        </w:rPr>
        <w:t>CHAPTER 3</w:t>
        <w:br/>
        <w:t>SYSTEM ANALYSIS</w:t>
      </w:r>
    </w:p>
    <w:p>
      <w:pPr>
        <w:pStyle w:val="Heading2"/>
        <w:spacing w:before="280" w:after="80" w:line="360" w:lineRule="auto"/>
        <w:jc w:val="left"/>
      </w:pPr>
      <w:r>
        <w:rPr>
          <w:rFonts w:ascii="Times New Roman" w:hAnsi="Times New Roman"/>
          <w:b/>
          <w:sz w:val="28"/>
        </w:rPr>
        <w:t>3.1 Analysis of Existing Testing Paradigms</w:t>
      </w:r>
    </w:p>
    <w:p>
      <w:pPr>
        <w:spacing w:line="360" w:lineRule="auto" w:after="120"/>
        <w:jc w:val="both"/>
      </w:pPr>
      <w:r>
        <w:rPr>
          <w:rFonts w:ascii="Times New Roman" w:hAnsi="Times New Roman"/>
          <w:sz w:val="27"/>
        </w:rPr>
        <w:t>In current industrial practice, evaluating a candidate polyamide composite formulation requires physical compounding via twin-screw extrusion, injection molding of test pins, and physical pin-on-disk testing following ASTM G99 standards. A complete experimental sweep across 4 load levels and 3 velocities for a single formulation requires 12 distinct tests, consuming upwards of 40 machine hours and significant material expenditure. If the formulation fails due to excessive wear or thermal softening, the entire cycle must be restarted.</w:t>
      </w:r>
    </w:p>
    <w:p>
      <w:pPr>
        <w:pStyle w:val="Heading2"/>
        <w:spacing w:before="280" w:after="80" w:line="360" w:lineRule="auto"/>
        <w:jc w:val="left"/>
      </w:pPr>
      <w:r>
        <w:rPr>
          <w:rFonts w:ascii="Times New Roman" w:hAnsi="Times New Roman"/>
          <w:b/>
          <w:sz w:val="28"/>
        </w:rPr>
        <w:t>3.2 Proposed Physics-Informed AI System Architecture</w:t>
      </w:r>
    </w:p>
    <w:p>
      <w:pPr>
        <w:spacing w:line="360" w:lineRule="auto" w:after="120"/>
        <w:jc w:val="both"/>
      </w:pPr>
      <w:r>
        <w:rPr>
          <w:rFonts w:ascii="Times New Roman" w:hAnsi="Times New Roman"/>
          <w:sz w:val="27"/>
        </w:rPr>
        <w:t>To overcome these testing bottlenecks, the proposed system introduces an end-to-end computational framework that combines:</w:t>
      </w:r>
    </w:p>
    <w:p>
      <w:pPr>
        <w:spacing w:line="360" w:lineRule="auto" w:after="120"/>
        <w:jc w:val="both"/>
      </w:pPr>
      <w:r>
        <w:rPr>
          <w:rFonts w:ascii="Times New Roman" w:hAnsi="Times New Roman"/>
          <w:sz w:val="27"/>
        </w:rPr>
        <w:t>1. A curated literature corpus of 1,353 validated tests spanning 50+ peer-reviewed studies;</w:t>
      </w:r>
    </w:p>
    <w:p>
      <w:pPr>
        <w:spacing w:line="360" w:lineRule="auto" w:after="120"/>
        <w:jc w:val="both"/>
      </w:pPr>
      <w:r>
        <w:rPr>
          <w:rFonts w:ascii="Times New Roman" w:hAnsi="Times New Roman"/>
          <w:sz w:val="27"/>
        </w:rPr>
        <w:t>2. An 80-feature physics-informed pipeline encoding chemical stoichiometry, kinematics, flash heating, and filler-filler cross terms;</w:t>
      </w:r>
    </w:p>
    <w:p>
      <w:pPr>
        <w:spacing w:line="360" w:lineRule="auto" w:after="120"/>
        <w:jc w:val="both"/>
      </w:pPr>
      <w:r>
        <w:rPr>
          <w:rFonts w:ascii="Times New Roman" w:hAnsi="Times New Roman"/>
          <w:sz w:val="27"/>
        </w:rPr>
        <w:t>3. Bayesian-tuned gradient boosting pipelines optimized via 5-fold cross-validation;</w:t>
      </w:r>
    </w:p>
    <w:p>
      <w:pPr>
        <w:spacing w:line="360" w:lineRule="auto" w:after="120"/>
        <w:jc w:val="both"/>
      </w:pPr>
      <w:r>
        <w:rPr>
          <w:rFonts w:ascii="Times New Roman" w:hAnsi="Times New Roman"/>
          <w:sz w:val="27"/>
        </w:rPr>
        <w:t>4. A production inference service coupled to an interactive Streamlit graphical dashboard and Google Colab execution environment.</w:t>
      </w:r>
    </w:p>
    <w:p>
      <w:pPr>
        <w:pStyle w:val="Heading2"/>
        <w:spacing w:before="280" w:after="80" w:line="360" w:lineRule="auto"/>
        <w:jc w:val="left"/>
      </w:pPr>
      <w:r>
        <w:rPr>
          <w:rFonts w:ascii="Times New Roman" w:hAnsi="Times New Roman"/>
          <w:b/>
          <w:sz w:val="28"/>
        </w:rPr>
        <w:t>3.3 Functional and Non-Functional Requirements</w:t>
      </w:r>
    </w:p>
    <w:p>
      <w:pPr>
        <w:spacing w:line="360" w:lineRule="auto" w:after="120"/>
        <w:jc w:val="both"/>
      </w:pPr>
      <w:r>
        <w:rPr>
          <w:rFonts w:ascii="Times New Roman" w:hAnsi="Times New Roman"/>
          <w:sz w:val="27"/>
        </w:rPr>
        <w:t>Functional Requirements:</w:t>
      </w:r>
    </w:p>
    <w:p>
      <w:pPr>
        <w:spacing w:line="360" w:lineRule="auto" w:after="120"/>
        <w:jc w:val="both"/>
      </w:pPr>
      <w:r>
        <w:rPr>
          <w:rFonts w:ascii="Times New Roman" w:hAnsi="Times New Roman"/>
          <w:sz w:val="27"/>
        </w:rPr>
        <w:t>• FR-1: Dataset Exploration — The system shall filter, sort, and display 1,353 validated tribological experimental runs with full bibliographic provenance.</w:t>
      </w:r>
    </w:p>
    <w:p>
      <w:pPr>
        <w:spacing w:line="360" w:lineRule="auto" w:after="120"/>
        <w:jc w:val="both"/>
      </w:pPr>
      <w:r>
        <w:rPr>
          <w:rFonts w:ascii="Times New Roman" w:hAnsi="Times New Roman"/>
          <w:sz w:val="27"/>
        </w:rPr>
        <w:t>• FR-2: Feature Processing — The pipeline shall compute 80 engineered features in under 50 ms for any custom formulation input.</w:t>
      </w:r>
    </w:p>
    <w:p>
      <w:pPr>
        <w:spacing w:line="360" w:lineRule="auto" w:after="120"/>
        <w:jc w:val="both"/>
      </w:pPr>
      <w:r>
        <w:rPr>
          <w:rFonts w:ascii="Times New Roman" w:hAnsi="Times New Roman"/>
          <w:sz w:val="27"/>
        </w:rPr>
        <w:t>• FR-3: Dual-Target Prediction — The system shall simultaneously predict Coefficient of Friction (continuous 0.05–1.10) and Specific Wear Rate (mm³/(N·m) converted from log space).</w:t>
      </w:r>
    </w:p>
    <w:p>
      <w:pPr>
        <w:spacing w:line="360" w:lineRule="auto" w:after="120"/>
        <w:jc w:val="both"/>
      </w:pPr>
      <w:r>
        <w:rPr>
          <w:rFonts w:ascii="Times New Roman" w:hAnsi="Times New Roman"/>
          <w:sz w:val="27"/>
        </w:rPr>
        <w:t>• FR-4: Thermal Flash Heating Calculation — The engine shall calculate interfacial flash temperature rise and trigger active UI warnings when contact temperatures exceed 50°C.</w:t>
      </w:r>
    </w:p>
    <w:p>
      <w:pPr>
        <w:spacing w:line="360" w:lineRule="auto" w:after="120"/>
        <w:jc w:val="both"/>
      </w:pPr>
      <w:r>
        <w:rPr>
          <w:rFonts w:ascii="Times New Roman" w:hAnsi="Times New Roman"/>
          <w:sz w:val="27"/>
        </w:rPr>
        <w:t>• FR-5: Dynamic Sensitivity Sweeps — The interface shall execute dynamic 1D parameter sweeps across load, velocity, and filler percentages.</w:t>
      </w:r>
    </w:p>
    <w:p>
      <w:pPr>
        <w:spacing w:line="360" w:lineRule="auto" w:after="120"/>
        <w:jc w:val="both"/>
      </w:pPr>
      <w:r>
        <w:rPr>
          <w:rFonts w:ascii="Times New Roman" w:hAnsi="Times New Roman"/>
          <w:sz w:val="27"/>
        </w:rPr>
        <w:t>Non-Functional Requirements:</w:t>
      </w:r>
    </w:p>
    <w:p>
      <w:pPr>
        <w:spacing w:line="360" w:lineRule="auto" w:after="120"/>
        <w:jc w:val="both"/>
      </w:pPr>
      <w:r>
        <w:rPr>
          <w:rFonts w:ascii="Times New Roman" w:hAnsi="Times New Roman"/>
          <w:sz w:val="27"/>
        </w:rPr>
        <w:t>• NFR-1: Generalization Accuracy — Models must achieve Out-of-Fold R² ≥ 0.90 across 5-fold cross-validation.</w:t>
      </w:r>
    </w:p>
    <w:p>
      <w:pPr>
        <w:spacing w:line="360" w:lineRule="auto" w:after="120"/>
        <w:jc w:val="both"/>
      </w:pPr>
      <w:r>
        <w:rPr>
          <w:rFonts w:ascii="Times New Roman" w:hAnsi="Times New Roman"/>
          <w:sz w:val="27"/>
        </w:rPr>
        <w:t>• NFR-2: Inference Latency — End-to-end single formulation prediction latency must remain below 100 ms.</w:t>
      </w:r>
    </w:p>
    <w:p>
      <w:pPr>
        <w:spacing w:line="360" w:lineRule="auto" w:after="120"/>
        <w:jc w:val="both"/>
      </w:pPr>
      <w:r>
        <w:rPr>
          <w:rFonts w:ascii="Times New Roman" w:hAnsi="Times New Roman"/>
          <w:sz w:val="27"/>
        </w:rPr>
        <w:t>• NFR-3: Zero Data Leakage — Preprocessing transformers must fit exclusively on training folds during cross-validation.</w:t>
      </w:r>
    </w:p>
    <w:p>
      <w:pPr>
        <w:spacing w:line="360" w:lineRule="auto" w:after="120"/>
        <w:jc w:val="both"/>
      </w:pPr>
      <w:r>
        <w:rPr>
          <w:rFonts w:ascii="Times New Roman" w:hAnsi="Times New Roman"/>
          <w:sz w:val="27"/>
        </w:rPr>
        <w:t>• NFR-4: Portability — The application must run locally on macOS/Linux/Windows and in cloud environments (Google Colab).</w:t>
      </w:r>
    </w:p>
    <w:p>
      <w:pPr>
        <w:pStyle w:val="Heading2"/>
        <w:spacing w:before="280" w:after="80" w:line="360" w:lineRule="auto"/>
        <w:jc w:val="left"/>
      </w:pPr>
      <w:r>
        <w:rPr>
          <w:rFonts w:ascii="Times New Roman" w:hAnsi="Times New Roman"/>
          <w:b/>
          <w:sz w:val="28"/>
        </w:rPr>
        <w:t>3.4 Data Flow and Architecture Diagrams</w:t>
      </w:r>
    </w:p>
    <w:p>
      <w:pPr>
        <w:spacing w:line="360" w:lineRule="auto" w:after="120"/>
        <w:jc w:val="both"/>
      </w:pPr>
      <w:r>
        <w:rPr>
          <w:rFonts w:ascii="Times New Roman" w:hAnsi="Times New Roman"/>
          <w:sz w:val="27"/>
        </w:rPr>
        <w:t>The operational data flow of the tribology system is visualized through Data Flow Diagrams:</w:t>
      </w:r>
    </w:p>
    <w:p>
      <w:pPr>
        <w:spacing w:line="360" w:lineRule="auto" w:after="120"/>
        <w:jc w:val="both"/>
      </w:pPr>
      <w:r>
        <w:rPr>
          <w:rFonts w:ascii="Times New Roman" w:hAnsi="Times New Roman"/>
          <w:sz w:val="27"/>
        </w:rPr>
        <w:t>Figure 3.1 illustrates the Level 0 Context Diagram, showing primary data flow between external literature sources, the central Physics-Informed Tribology AI engine, and user interfaces.</w:t>
      </w:r>
    </w:p>
    <w:p>
      <w:pPr>
        <w:spacing w:before="200" w:after="80"/>
        <w:jc w:val="center"/>
      </w:pPr>
      <w:r>
        <w:drawing>
          <wp:inline xmlns:a="http://schemas.openxmlformats.org/drawingml/2006/main" xmlns:pic="http://schemas.openxmlformats.org/drawingml/2006/picture">
            <wp:extent cx="5303520" cy="3014231"/>
            <wp:docPr id="3" name="Picture 3"/>
            <wp:cNvGraphicFramePr>
              <a:graphicFrameLocks noChangeAspect="1"/>
            </wp:cNvGraphicFramePr>
            <a:graphic>
              <a:graphicData uri="http://schemas.openxmlformats.org/drawingml/2006/picture">
                <pic:pic>
                  <pic:nvPicPr>
                    <pic:cNvPr id="0" name="dfd_level0_tribology.png"/>
                    <pic:cNvPicPr/>
                  </pic:nvPicPr>
                  <pic:blipFill>
                    <a:blip r:embed="rId14"/>
                    <a:stretch>
                      <a:fillRect/>
                    </a:stretch>
                  </pic:blipFill>
                  <pic:spPr>
                    <a:xfrm>
                      <a:off x="0" y="0"/>
                      <a:ext cx="5303520" cy="3014231"/>
                    </a:xfrm>
                    <a:prstGeom prst="rect"/>
                  </pic:spPr>
                </pic:pic>
              </a:graphicData>
            </a:graphic>
          </wp:inline>
        </w:drawing>
      </w:r>
    </w:p>
    <w:p>
      <w:pPr>
        <w:spacing w:before="40" w:after="240"/>
        <w:jc w:val="center"/>
      </w:pPr>
      <w:r>
        <w:rPr>
          <w:rFonts w:ascii="Times New Roman" w:hAnsi="Times New Roman"/>
          <w:b/>
          <w:sz w:val="24"/>
        </w:rPr>
        <w:t>Figure 3.1: Data Flow Diagram Level 0 (Context Level) of the Tribology System</w:t>
      </w:r>
    </w:p>
    <w:p>
      <w:pPr>
        <w:spacing w:line="360" w:lineRule="auto" w:after="120"/>
        <w:jc w:val="both"/>
      </w:pPr>
      <w:r>
        <w:rPr>
          <w:rFonts w:ascii="Times New Roman" w:hAnsi="Times New Roman"/>
          <w:sz w:val="27"/>
        </w:rPr>
        <w:t>Figure 3.2 illustrates the Level 1 Data Flow Diagram, decomposing the system into data ingestion, 80-feature extraction, model training, cross-validation scoring, and live inference services.</w:t>
      </w:r>
    </w:p>
    <w:p>
      <w:pPr>
        <w:spacing w:before="200" w:after="80"/>
        <w:jc w:val="center"/>
      </w:pPr>
      <w:r>
        <w:drawing>
          <wp:inline xmlns:a="http://schemas.openxmlformats.org/drawingml/2006/main" xmlns:pic="http://schemas.openxmlformats.org/drawingml/2006/picture">
            <wp:extent cx="5669280" cy="3269585"/>
            <wp:docPr id="4" name="Picture 4"/>
            <wp:cNvGraphicFramePr>
              <a:graphicFrameLocks noChangeAspect="1"/>
            </wp:cNvGraphicFramePr>
            <a:graphic>
              <a:graphicData uri="http://schemas.openxmlformats.org/drawingml/2006/picture">
                <pic:pic>
                  <pic:nvPicPr>
                    <pic:cNvPr id="0" name="dfd_feature_rich_tribology.png"/>
                    <pic:cNvPicPr/>
                  </pic:nvPicPr>
                  <pic:blipFill>
                    <a:blip r:embed="rId15"/>
                    <a:stretch>
                      <a:fillRect/>
                    </a:stretch>
                  </pic:blipFill>
                  <pic:spPr>
                    <a:xfrm>
                      <a:off x="0" y="0"/>
                      <a:ext cx="5669280" cy="3269585"/>
                    </a:xfrm>
                    <a:prstGeom prst="rect"/>
                  </pic:spPr>
                </pic:pic>
              </a:graphicData>
            </a:graphic>
          </wp:inline>
        </w:drawing>
      </w:r>
    </w:p>
    <w:p>
      <w:pPr>
        <w:spacing w:before="40" w:after="240"/>
        <w:jc w:val="center"/>
      </w:pPr>
      <w:r>
        <w:rPr>
          <w:rFonts w:ascii="Times New Roman" w:hAnsi="Times New Roman"/>
          <w:b/>
          <w:sz w:val="24"/>
        </w:rPr>
        <w:t>Figure 3.2: Data Flow Diagram Level 1 Decomposing Feature and Model Pipelines</w:t>
      </w:r>
    </w:p>
    <w:p>
      <w:pPr>
        <w:pStyle w:val="Heading2"/>
        <w:spacing w:before="280" w:after="80" w:line="360" w:lineRule="auto"/>
        <w:jc w:val="left"/>
      </w:pPr>
      <w:r>
        <w:rPr>
          <w:rFonts w:ascii="Times New Roman" w:hAnsi="Times New Roman"/>
          <w:b/>
          <w:sz w:val="28"/>
        </w:rPr>
        <w:t>3.5 Hardware and Software Specifications</w:t>
      </w:r>
    </w:p>
    <w:p>
      <w:pPr>
        <w:spacing w:line="360" w:lineRule="auto" w:after="120"/>
        <w:jc w:val="both"/>
      </w:pPr>
      <w:r>
        <w:rPr>
          <w:rFonts w:ascii="Times New Roman" w:hAnsi="Times New Roman"/>
          <w:sz w:val="27"/>
        </w:rPr>
        <w:t>Hardware Environment:</w:t>
      </w:r>
    </w:p>
    <w:p>
      <w:pPr>
        <w:spacing w:line="360" w:lineRule="auto" w:after="120"/>
        <w:jc w:val="both"/>
      </w:pPr>
      <w:r>
        <w:rPr>
          <w:rFonts w:ascii="Times New Roman" w:hAnsi="Times New Roman"/>
          <w:sz w:val="27"/>
        </w:rPr>
        <w:t>• Processor: Apple M-series / Intel Core i7 (8 cores or higher)</w:t>
      </w:r>
    </w:p>
    <w:p>
      <w:pPr>
        <w:spacing w:line="360" w:lineRule="auto" w:after="120"/>
        <w:jc w:val="both"/>
      </w:pPr>
      <w:r>
        <w:rPr>
          <w:rFonts w:ascii="Times New Roman" w:hAnsi="Times New Roman"/>
          <w:sz w:val="27"/>
        </w:rPr>
        <w:t>• RAM: 16 GB unified system memory</w:t>
      </w:r>
    </w:p>
    <w:p>
      <w:pPr>
        <w:spacing w:line="360" w:lineRule="auto" w:after="120"/>
        <w:jc w:val="both"/>
      </w:pPr>
      <w:r>
        <w:rPr>
          <w:rFonts w:ascii="Times New Roman" w:hAnsi="Times New Roman"/>
          <w:sz w:val="27"/>
        </w:rPr>
        <w:t>• Storage: 512 GB SSD</w:t>
      </w:r>
    </w:p>
    <w:p>
      <w:pPr>
        <w:spacing w:line="360" w:lineRule="auto" w:after="120"/>
        <w:jc w:val="both"/>
      </w:pPr>
      <w:r>
        <w:rPr>
          <w:rFonts w:ascii="Times New Roman" w:hAnsi="Times New Roman"/>
          <w:sz w:val="27"/>
        </w:rPr>
        <w:t>Software Environment:</w:t>
      </w:r>
    </w:p>
    <w:p>
      <w:pPr>
        <w:spacing w:line="360" w:lineRule="auto" w:after="120"/>
        <w:jc w:val="both"/>
      </w:pPr>
      <w:r>
        <w:rPr>
          <w:rFonts w:ascii="Times New Roman" w:hAnsi="Times New Roman"/>
          <w:sz w:val="27"/>
        </w:rPr>
        <w:t>• Operating System: macOS Sonoma / Ubuntu 22.04 LTS / Windows 11</w:t>
      </w:r>
    </w:p>
    <w:p>
      <w:pPr>
        <w:spacing w:line="360" w:lineRule="auto" w:after="120"/>
        <w:jc w:val="both"/>
      </w:pPr>
      <w:r>
        <w:rPr>
          <w:rFonts w:ascii="Times New Roman" w:hAnsi="Times New Roman"/>
          <w:sz w:val="27"/>
        </w:rPr>
        <w:t>• Programming Language: Python 3.12</w:t>
      </w:r>
    </w:p>
    <w:p>
      <w:pPr>
        <w:spacing w:line="360" w:lineRule="auto" w:after="120"/>
        <w:jc w:val="both"/>
      </w:pPr>
      <w:r>
        <w:rPr>
          <w:rFonts w:ascii="Times New Roman" w:hAnsi="Times New Roman"/>
          <w:sz w:val="27"/>
        </w:rPr>
        <w:t>• Core Libraries: Scikit-Learn 1.6+, XGBoost 3.4+, CatBoost 1.2+, LightGBM 4.7+, Optuna 5.0+, Pandas 3.0+, Plotly 7.1+, SHAP 0.52+</w:t>
      </w:r>
    </w:p>
    <w:p>
      <w:pPr>
        <w:spacing w:line="360" w:lineRule="auto" w:after="120"/>
        <w:jc w:val="both"/>
      </w:pPr>
      <w:r>
        <w:rPr>
          <w:rFonts w:ascii="Times New Roman" w:hAnsi="Times New Roman"/>
          <w:sz w:val="27"/>
        </w:rPr>
        <w:t>• User Interface Framework: Streamlit 1.64+</w:t>
      </w:r>
    </w:p>
    <w:p>
      <w:r>
        <w:br w:type="page"/>
      </w:r>
    </w:p>
    <w:p>
      <w:pPr>
        <w:pStyle w:val="Heading1"/>
        <w:spacing w:before="280" w:after="320" w:line="276" w:lineRule="auto"/>
        <w:jc w:val="center"/>
      </w:pPr>
      <w:r>
        <w:rPr>
          <w:rFonts w:ascii="Times New Roman" w:hAnsi="Times New Roman"/>
          <w:b/>
          <w:sz w:val="32"/>
        </w:rPr>
        <w:t>CHAPTER 4</w:t>
        <w:br/>
        <w:t>METHODOLOGY AND SYSTEM DESIGN</w:t>
      </w:r>
    </w:p>
    <w:p>
      <w:pPr>
        <w:pStyle w:val="Heading2"/>
        <w:spacing w:before="280" w:after="80" w:line="360" w:lineRule="auto"/>
        <w:jc w:val="left"/>
      </w:pPr>
      <w:r>
        <w:rPr>
          <w:rFonts w:ascii="Times New Roman" w:hAnsi="Times New Roman"/>
          <w:b/>
          <w:sz w:val="28"/>
        </w:rPr>
        <w:t>4.1 End-to-End System Architecture</w:t>
      </w:r>
    </w:p>
    <w:p>
      <w:pPr>
        <w:spacing w:line="360" w:lineRule="auto" w:after="120"/>
        <w:jc w:val="both"/>
      </w:pPr>
      <w:r>
        <w:rPr>
          <w:rFonts w:ascii="Times New Roman" w:hAnsi="Times New Roman"/>
          <w:sz w:val="27"/>
        </w:rPr>
        <w:t>The system architecture follows a modular, leakage-free pipeline design connecting data ingestion, physics-informed feature engineering, automated machine learning benchmarking, and live virtual deployment.</w:t>
      </w:r>
    </w:p>
    <w:p>
      <w:pPr>
        <w:spacing w:before="200" w:after="80"/>
        <w:jc w:val="center"/>
      </w:pPr>
      <w:r>
        <w:drawing>
          <wp:inline xmlns:a="http://schemas.openxmlformats.org/drawingml/2006/main" xmlns:pic="http://schemas.openxmlformats.org/drawingml/2006/picture">
            <wp:extent cx="5669280" cy="4224877"/>
            <wp:docPr id="5" name="Picture 5"/>
            <wp:cNvGraphicFramePr>
              <a:graphicFrameLocks noChangeAspect="1"/>
            </wp:cNvGraphicFramePr>
            <a:graphic>
              <a:graphicData uri="http://schemas.openxmlformats.org/drawingml/2006/picture">
                <pic:pic>
                  <pic:nvPicPr>
                    <pic:cNvPr id="0" name="ml_pipeline_architecture.png"/>
                    <pic:cNvPicPr/>
                  </pic:nvPicPr>
                  <pic:blipFill>
                    <a:blip r:embed="rId16"/>
                    <a:stretch>
                      <a:fillRect/>
                    </a:stretch>
                  </pic:blipFill>
                  <pic:spPr>
                    <a:xfrm>
                      <a:off x="0" y="0"/>
                      <a:ext cx="5669280" cy="4224877"/>
                    </a:xfrm>
                    <a:prstGeom prst="rect"/>
                  </pic:spPr>
                </pic:pic>
              </a:graphicData>
            </a:graphic>
          </wp:inline>
        </w:drawing>
      </w:r>
    </w:p>
    <w:p>
      <w:pPr>
        <w:spacing w:before="40" w:after="240"/>
        <w:jc w:val="center"/>
      </w:pPr>
      <w:r>
        <w:rPr>
          <w:rFonts w:ascii="Times New Roman" w:hAnsi="Times New Roman"/>
          <w:b/>
          <w:sz w:val="24"/>
        </w:rPr>
        <w:t>Figure 4.1: Overall End-to-End Tribology Machine Learning Architecture</w:t>
      </w:r>
    </w:p>
    <w:p>
      <w:pPr>
        <w:pStyle w:val="Heading2"/>
        <w:spacing w:before="280" w:after="80" w:line="360" w:lineRule="auto"/>
        <w:jc w:val="left"/>
      </w:pPr>
      <w:r>
        <w:rPr>
          <w:rFonts w:ascii="Times New Roman" w:hAnsi="Times New Roman"/>
          <w:b/>
          <w:sz w:val="28"/>
        </w:rPr>
        <w:t>4.2 Experimental Dataset Curation and Schema Normalization</w:t>
      </w:r>
    </w:p>
    <w:p>
      <w:pPr>
        <w:spacing w:line="360" w:lineRule="auto" w:after="120"/>
        <w:jc w:val="both"/>
      </w:pPr>
      <w:r>
        <w:rPr>
          <w:rFonts w:ascii="Times New Roman" w:hAnsi="Times New Roman"/>
          <w:sz w:val="27"/>
        </w:rPr>
        <w:t>The dataset was extracted from published literature covering PA6 and PA66 composites under dry and boundary-lubricated conditions. Outlier verification confirmed normal loads ranging from 1 to 200 N, sliding velocities from 0.05 to 4.0 m/s, and test durations from 100 to 50,000 meters. Target populations were partitioned into CoF (1,227 records) and Specific Wear Rate (1,120 records), with wear rates transformed into log10 space.</w:t>
      </w:r>
    </w:p>
    <w:p>
      <w:pPr>
        <w:pStyle w:val="Heading2"/>
        <w:spacing w:before="280" w:after="80" w:line="360" w:lineRule="auto"/>
        <w:jc w:val="left"/>
      </w:pPr>
      <w:r>
        <w:rPr>
          <w:rFonts w:ascii="Times New Roman" w:hAnsi="Times New Roman"/>
          <w:b/>
          <w:sz w:val="28"/>
        </w:rPr>
        <w:t>4.3 80-Feature Physics-Informed Feature Engineering Taxonomy</w:t>
      </w:r>
    </w:p>
    <w:p>
      <w:pPr>
        <w:spacing w:line="360" w:lineRule="auto" w:after="120"/>
        <w:jc w:val="both"/>
      </w:pPr>
      <w:r>
        <w:rPr>
          <w:rFonts w:ascii="Times New Roman" w:hAnsi="Times New Roman"/>
          <w:sz w:val="27"/>
        </w:rPr>
        <w:t>The complete 80-feature predictor taxonomy is structured across 5 distinct groups, as detailed in Tables 4.1 through 4.5:</w:t>
      </w:r>
    </w:p>
    <w:p>
      <w:pPr>
        <w:spacing w:before="200" w:after="80"/>
        <w:jc w:val="left"/>
      </w:pPr>
      <w:r>
        <w:rPr>
          <w:rFonts w:ascii="Times New Roman" w:hAnsi="Times New Roman"/>
          <w:b/>
          <w:sz w:val="25"/>
        </w:rPr>
        <w:t>Table 4.1: Chemical Composition and Filler Stoichiometry Predictor Group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3240"/>
        <w:gridCol w:w="3240"/>
        <w:gridCol w:w="3240"/>
      </w:tblGrid>
      <w:tr>
        <w:trPr>
          <w:tblHeader/>
        </w:trPr>
        <w:tc>
          <w:tcPr>
            <w:tcW w:type="dxa" w:w="3168"/>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FEATURE NAMES</w:t>
            </w:r>
          </w:p>
        </w:tc>
        <w:tc>
          <w:tcPr>
            <w:tcW w:type="dxa" w:w="360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DESCRIPTION</w:t>
            </w:r>
          </w:p>
        </w:tc>
        <w:tc>
          <w:tcPr>
            <w:tcW w:type="dxa" w:w="288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PHYSICAL RATIONALE</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pa6_pct, pa66_pct, matrix_pct</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Matrix stoichiometric percentages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Primary polymeric base composition</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pa6_fraction, pa66_fraction</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Matrix component ratios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Relative balance between PA6 and PA66</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pa6_dominant</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Binary flag (1 if PA6 &gt;= PA66)</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Captures lower melting point matrix behavior</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glass_fiber_pct, gf_present</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Short E-glass fiber wt% &amp; presence</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Primary structural reinforcement agent</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graphite_pct, graphite_present</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Graphite flake wt% &amp; presence</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Lamellar shear-plane solid lubricant</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mos2_pct, mos2_present</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Molybdenum disulfide wt% &amp; presence</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Heavy load boundary transfer film lubricant</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other_lubricant_pct, other_reinf_pct</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Secondary filler wt% categories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Secondary PTFE, carbon fiber, nanofillers</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known_filler_pct, total_filler_pct</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Aggregate filler percentages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Total volumetric particle packing fraction</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reported_comp_pct, comp_gap</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Stoichiometry integrity terms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Detects unrecorded balance fillers</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filler_matrix_ratio, gf_matrix_ratio</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Normalized filler-to-matrix ratios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Relative particulate loading density</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lubricant_reinforcement_ratio</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Solid lub / Reinforcement ratio (F8)</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Evaluates optimal dual-objective Pareto window</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main_filler_count, hybrid_composite</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Filler diversity count indicators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Distinguishes single, binary, and ternary systems</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gf_pct_sq, graphite_pct_sq, mos2_pct_sq</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Quadratic polynomial terms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Models non-linear concentration saturation</w:t>
            </w:r>
          </w:p>
        </w:tc>
      </w:tr>
    </w:tbl>
    <w:p>
      <w:pPr>
        <w:spacing w:before="0" w:after="120"/>
      </w:pPr>
    </w:p>
    <w:p>
      <w:pPr>
        <w:spacing w:before="200" w:after="80"/>
        <w:jc w:val="left"/>
      </w:pPr>
      <w:r>
        <w:rPr>
          <w:rFonts w:ascii="Times New Roman" w:hAnsi="Times New Roman"/>
          <w:b/>
          <w:sz w:val="25"/>
        </w:rPr>
        <w:t>Table 4.2: Kinematic and Decoupled Operating Conditions Predictor Group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3240"/>
        <w:gridCol w:w="3240"/>
        <w:gridCol w:w="3240"/>
      </w:tblGrid>
      <w:tr>
        <w:trPr>
          <w:tblHeader/>
        </w:trPr>
        <w:tc>
          <w:tcPr>
            <w:tcW w:type="dxa" w:w="3168"/>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FEATURE NAMES</w:t>
            </w:r>
          </w:p>
        </w:tc>
        <w:tc>
          <w:tcPr>
            <w:tcW w:type="dxa" w:w="360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DESCRIPTION</w:t>
            </w:r>
          </w:p>
        </w:tc>
        <w:tc>
          <w:tcPr>
            <w:tcW w:type="dxa" w:w="288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PHYSICAL RATIONALE</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load_N, speed_ms, distance_m</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Primary mechanical kinematics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Normal force, sliding velocity, total path</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PV_factor</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Contact pressure-velocity product</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Traditional industrial operating scalar</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temperature_C, humidity_pct</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Ambient atmospheric conditions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Environmental thermal and relative moisture state</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load_speed_product</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FN · v mechanical power proxy</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Proportional to frictional energy dissipation</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load_speed_ratio, speed_load_ratio</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FN / v and v / FN kinematic ratios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Separates high-load adhesive from high-speed thermal wear</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log_load, log_speed, log_distance, log_PV</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Logarithmic transforms log(1 + x)</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Linearizes skewed exponential kinematic ranges</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humidity_avail, temp_avail</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Reporting availability flags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Controls for unrecorded ambient room parameters</w:t>
            </w:r>
          </w:p>
        </w:tc>
      </w:tr>
    </w:tbl>
    <w:p>
      <w:pPr>
        <w:spacing w:before="0" w:after="120"/>
      </w:pPr>
    </w:p>
    <w:p>
      <w:pPr>
        <w:spacing w:before="200" w:after="80"/>
        <w:jc w:val="left"/>
      </w:pPr>
      <w:r>
        <w:rPr>
          <w:rFonts w:ascii="Times New Roman" w:hAnsi="Times New Roman"/>
          <w:b/>
          <w:sz w:val="25"/>
        </w:rPr>
        <w:t>Table 4.3: Archard-Ashby Interfacial Flash Contact Heating Formulation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3240"/>
        <w:gridCol w:w="3240"/>
        <w:gridCol w:w="3240"/>
      </w:tblGrid>
      <w:tr>
        <w:trPr>
          <w:tblHeader/>
        </w:trPr>
        <w:tc>
          <w:tcPr>
            <w:tcW w:type="dxa" w:w="3168"/>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FEATURE NAMES</w:t>
            </w:r>
          </w:p>
        </w:tc>
        <w:tc>
          <w:tcPr>
            <w:tcW w:type="dxa" w:w="360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FORMULATION / DESCRIPTION</w:t>
            </w:r>
          </w:p>
        </w:tc>
        <w:tc>
          <w:tcPr>
            <w:tcW w:type="dxa" w:w="288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PHYSICAL RATIONALE</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delta_T_flash</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Archard-Ashby flash temperature rise</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Instantaneous asperity contact temperature increase</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total_contact_temp</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T0 + delta_T_flash contact temperature</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True estimated interface operating temperature</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exceeds_Tg_50C</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Binary flag: T_contact &gt; 50°C (F9)</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Detects polymer glass transition softening regime</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thermal_margin_Tm</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Tm(composite) - T_contact margin</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Safety margin against melting (220°C PA6 vs 260°C PA66)</w:t>
            </w:r>
          </w:p>
        </w:tc>
      </w:tr>
    </w:tbl>
    <w:p>
      <w:pPr>
        <w:spacing w:before="0" w:after="120"/>
      </w:pPr>
    </w:p>
    <w:p>
      <w:pPr>
        <w:spacing w:before="200" w:after="80"/>
        <w:jc w:val="left"/>
      </w:pPr>
      <w:r>
        <w:rPr>
          <w:rFonts w:ascii="Times New Roman" w:hAnsi="Times New Roman"/>
          <w:b/>
          <w:sz w:val="25"/>
        </w:rPr>
        <w:t>Table 4.4: Cross-Body and Synergistic Filler-Kinematic Interaction Predictors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3240"/>
        <w:gridCol w:w="3240"/>
        <w:gridCol w:w="3240"/>
      </w:tblGrid>
      <w:tr>
        <w:trPr>
          <w:tblHeader/>
        </w:trPr>
        <w:tc>
          <w:tcPr>
            <w:tcW w:type="dxa" w:w="3312"/>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FEATURE NAMES</w:t>
            </w:r>
          </w:p>
        </w:tc>
        <w:tc>
          <w:tcPr>
            <w:tcW w:type="dxa" w:w="3456"/>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DESCRIPTION</w:t>
            </w:r>
          </w:p>
        </w:tc>
        <w:tc>
          <w:tcPr>
            <w:tcW w:type="dxa" w:w="288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PHYSICAL RATIONALE</w:t>
            </w:r>
          </w:p>
        </w:tc>
      </w:tr>
      <w:tr>
        <w:trPr>
          <w:cantSplit/>
        </w:trPr>
        <w:tc>
          <w:tcPr>
            <w:tcW w:type="dxa" w:w="331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gf_graphite_interaction</w:t>
            </w:r>
          </w:p>
        </w:tc>
        <w:tc>
          <w:tcPr>
            <w:tcW w:type="dxa" w:w="34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GF wt% · Graphite wt%</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Fiber abrasion mitigation via graphite lubrication</w:t>
            </w:r>
          </w:p>
        </w:tc>
      </w:tr>
      <w:tr>
        <w:trPr>
          <w:cantSplit/>
        </w:trPr>
        <w:tc>
          <w:tcPr>
            <w:tcW w:type="dxa" w:w="331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gf_mos2_interaction</w:t>
            </w:r>
          </w:p>
        </w:tc>
        <w:tc>
          <w:tcPr>
            <w:tcW w:type="dxa" w:w="34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GF wt% · MoS₂ wt%</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Cooperative high-pressure transfer film formation</w:t>
            </w:r>
          </w:p>
        </w:tc>
      </w:tr>
      <w:tr>
        <w:trPr>
          <w:cantSplit/>
        </w:trPr>
        <w:tc>
          <w:tcPr>
            <w:tcW w:type="dxa" w:w="331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graphite_mos2_interaction</w:t>
            </w:r>
          </w:p>
        </w:tc>
        <w:tc>
          <w:tcPr>
            <w:tcW w:type="dxa" w:w="34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Graphite wt% · MoS₂ wt%</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Dual solid lubricant synergistic shearing</w:t>
            </w:r>
          </w:p>
        </w:tc>
      </w:tr>
      <w:tr>
        <w:trPr>
          <w:cantSplit/>
        </w:trPr>
        <w:tc>
          <w:tcPr>
            <w:tcW w:type="dxa" w:w="331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gf_matrix_interaction</w:t>
            </w:r>
          </w:p>
        </w:tc>
        <w:tc>
          <w:tcPr>
            <w:tcW w:type="dxa" w:w="34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GF wt% · Matrix wt%</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Interfacial fiber-matrix bonding stress transfer</w:t>
            </w:r>
          </w:p>
        </w:tc>
      </w:tr>
      <w:tr>
        <w:trPr>
          <w:cantSplit/>
        </w:trPr>
        <w:tc>
          <w:tcPr>
            <w:tcW w:type="dxa" w:w="331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gf_load_interaction, gf_speed_interaction</w:t>
            </w:r>
          </w:p>
        </w:tc>
        <w:tc>
          <w:tcPr>
            <w:tcW w:type="dxa" w:w="34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GF wt% · FN and GF wt% · v</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Load-dependent fiber load carrying capacity</w:t>
            </w:r>
          </w:p>
        </w:tc>
      </w:tr>
      <w:tr>
        <w:trPr>
          <w:cantSplit/>
        </w:trPr>
        <w:tc>
          <w:tcPr>
            <w:tcW w:type="dxa" w:w="331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graphite_load_interaction, mos2_load_int</w:t>
            </w:r>
          </w:p>
        </w:tc>
        <w:tc>
          <w:tcPr>
            <w:tcW w:type="dxa" w:w="34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Solid lub wt% · FN</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Pressure-activated transfer film deposition</w:t>
            </w:r>
          </w:p>
        </w:tc>
      </w:tr>
      <w:tr>
        <w:trPr>
          <w:cantSplit/>
        </w:trPr>
        <w:tc>
          <w:tcPr>
            <w:tcW w:type="dxa" w:w="331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speed_temp_interaction, load_temp_int</w:t>
            </w:r>
          </w:p>
        </w:tc>
        <w:tc>
          <w:tcPr>
            <w:tcW w:type="dxa" w:w="34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Kinematic conditions · Temperature</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Thermal-mechanical degradation coupling</w:t>
            </w:r>
          </w:p>
        </w:tc>
      </w:tr>
      <w:tr>
        <w:trPr>
          <w:cantSplit/>
        </w:trPr>
        <w:tc>
          <w:tcPr>
            <w:tcW w:type="dxa" w:w="331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gf_humidity_interaction, speed_humidity_int</w:t>
            </w:r>
          </w:p>
        </w:tc>
        <w:tc>
          <w:tcPr>
            <w:tcW w:type="dxa" w:w="34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Composition / Kinematics · RH</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Moisture-induced polyamide plasticization effects</w:t>
            </w:r>
          </w:p>
        </w:tc>
      </w:tr>
    </w:tbl>
    <w:p>
      <w:pPr>
        <w:spacing w:before="0" w:after="120"/>
      </w:pPr>
    </w:p>
    <w:p>
      <w:pPr>
        <w:spacing w:before="200" w:after="80"/>
        <w:jc w:val="left"/>
      </w:pPr>
      <w:r>
        <w:rPr>
          <w:rFonts w:ascii="Times New Roman" w:hAnsi="Times New Roman"/>
          <w:b/>
          <w:sz w:val="25"/>
        </w:rPr>
        <w:t>Table 4.5: Experimental Rig Geometry and Environmental Specifications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3240"/>
        <w:gridCol w:w="3240"/>
        <w:gridCol w:w="3240"/>
      </w:tblGrid>
      <w:tr>
        <w:trPr>
          <w:tblHeader/>
        </w:trPr>
        <w:tc>
          <w:tcPr>
            <w:tcW w:type="dxa" w:w="3168"/>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FEATURE NAMES</w:t>
            </w:r>
          </w:p>
        </w:tc>
        <w:tc>
          <w:tcPr>
            <w:tcW w:type="dxa" w:w="360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CATEGORIES / SPECIFICATIONS</w:t>
            </w:r>
          </w:p>
        </w:tc>
        <w:tc>
          <w:tcPr>
            <w:tcW w:type="dxa" w:w="288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PHYSICAL RATIONALE</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counterface</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Counterface metallurgical material</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100Cr6 steel, carbon steel, ceramic alumina, etc.</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test_type</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Tribometer contact mechanical geometry</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Pin-on-disk (PoD), block-on-ring (BoR), ball-on-flat</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environment</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Sliding ambient lubrication medium</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Dry sliding, distilled water, salt water, oil</w:t>
            </w:r>
          </w:p>
        </w:tc>
      </w:tr>
      <w:tr>
        <w:trPr>
          <w:cantSplit/>
        </w:trPr>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fabrication</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Polymer composite manufacturing method</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Injection molding, compression molding, additive 3D</w:t>
            </w:r>
          </w:p>
        </w:tc>
      </w:tr>
    </w:tbl>
    <w:p>
      <w:pPr>
        <w:spacing w:before="0" w:after="120"/>
      </w:pPr>
    </w:p>
    <w:p>
      <w:pPr>
        <w:spacing w:before="200" w:after="80"/>
        <w:jc w:val="center"/>
      </w:pPr>
      <w:r>
        <w:drawing>
          <wp:inline xmlns:a="http://schemas.openxmlformats.org/drawingml/2006/main" xmlns:pic="http://schemas.openxmlformats.org/drawingml/2006/picture">
            <wp:extent cx="5486400" cy="3080044"/>
            <wp:docPr id="6" name="Picture 6"/>
            <wp:cNvGraphicFramePr>
              <a:graphicFrameLocks noChangeAspect="1"/>
            </wp:cNvGraphicFramePr>
            <a:graphic>
              <a:graphicData uri="http://schemas.openxmlformats.org/drawingml/2006/picture">
                <pic:pic>
                  <pic:nvPicPr>
                    <pic:cNvPr id="0" name="dfd_level1_tribology.png"/>
                    <pic:cNvPicPr/>
                  </pic:nvPicPr>
                  <pic:blipFill>
                    <a:blip r:embed="rId17"/>
                    <a:stretch>
                      <a:fillRect/>
                    </a:stretch>
                  </pic:blipFill>
                  <pic:spPr>
                    <a:xfrm>
                      <a:off x="0" y="0"/>
                      <a:ext cx="5486400" cy="3080044"/>
                    </a:xfrm>
                    <a:prstGeom prst="rect"/>
                  </pic:spPr>
                </pic:pic>
              </a:graphicData>
            </a:graphic>
          </wp:inline>
        </w:drawing>
      </w:r>
    </w:p>
    <w:p>
      <w:pPr>
        <w:spacing w:before="40" w:after="240"/>
        <w:jc w:val="center"/>
      </w:pPr>
      <w:r>
        <w:rPr>
          <w:rFonts w:ascii="Times New Roman" w:hAnsi="Times New Roman"/>
          <w:b/>
          <w:sz w:val="24"/>
        </w:rPr>
        <w:t>Figure 4.2: 80-Feature Physics-Informed Pipeline and Normalization Flow</w:t>
      </w:r>
    </w:p>
    <w:p>
      <w:pPr>
        <w:pStyle w:val="Heading2"/>
        <w:spacing w:before="280" w:after="80" w:line="360" w:lineRule="auto"/>
        <w:jc w:val="left"/>
      </w:pPr>
      <w:r>
        <w:rPr>
          <w:rFonts w:ascii="Times New Roman" w:hAnsi="Times New Roman"/>
          <w:b/>
          <w:sz w:val="28"/>
        </w:rPr>
        <w:t>4.4 Leakage-Free Preprocessing Pipeline</w:t>
      </w:r>
    </w:p>
    <w:p>
      <w:pPr>
        <w:spacing w:line="360" w:lineRule="auto" w:after="120"/>
        <w:jc w:val="both"/>
      </w:pPr>
      <w:r>
        <w:rPr>
          <w:rFonts w:ascii="Times New Roman" w:hAnsi="Times New Roman"/>
          <w:sz w:val="27"/>
        </w:rPr>
        <w:t>To guarantee zero data leakage between training and validation folds, all transformations are enclosed in a Scikit-Learn ColumnTransformer pipeline (Table 4.6):</w:t>
      </w:r>
    </w:p>
    <w:p>
      <w:pPr>
        <w:spacing w:before="200" w:after="80"/>
        <w:jc w:val="left"/>
      </w:pPr>
      <w:r>
        <w:rPr>
          <w:rFonts w:ascii="Times New Roman" w:hAnsi="Times New Roman"/>
          <w:b/>
          <w:sz w:val="25"/>
        </w:rPr>
        <w:t>Table 4.6: Data Preprocessing Pipeline Specifications and Transformers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3240"/>
        <w:gridCol w:w="3240"/>
        <w:gridCol w:w="3240"/>
      </w:tblGrid>
      <w:tr>
        <w:trPr>
          <w:tblHeader/>
        </w:trPr>
        <w:tc>
          <w:tcPr>
            <w:tcW w:type="dxa" w:w="288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PIPELINE STEP</w:t>
            </w:r>
          </w:p>
        </w:tc>
        <w:tc>
          <w:tcPr>
            <w:tcW w:type="dxa" w:w="360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OPERATIONAL TRANSFORMER</w:t>
            </w:r>
          </w:p>
        </w:tc>
        <w:tc>
          <w:tcPr>
            <w:tcW w:type="dxa" w:w="3168"/>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TECHNICAL DETAILS</w:t>
            </w:r>
          </w:p>
        </w:tc>
      </w:tr>
      <w:tr>
        <w:trPr>
          <w:cantSplit/>
        </w:trPr>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Numeric Transformers</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SimpleImputer(strategy='median')</w:t>
            </w:r>
          </w:p>
        </w:tc>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Applied strictly to training folds; handles missing ambient values</w:t>
            </w:r>
          </w:p>
        </w:tc>
      </w:tr>
      <w:tr>
        <w:trPr>
          <w:cantSplit/>
        </w:trPr>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Categorical Transformers</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SimpleImputer(strategy='most_frequent') + OneHotEncoder(handle_unknown='ignore')</w:t>
            </w:r>
          </w:p>
        </w:tc>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One-hot encodes rig configuration without leakage</w:t>
            </w:r>
          </w:p>
        </w:tc>
      </w:tr>
      <w:tr>
        <w:trPr>
          <w:cantSplit/>
        </w:trPr>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Scaling Pipeline</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StandardScaler()</w:t>
            </w:r>
          </w:p>
        </w:tc>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Applied exclusively to linear Ridge and kernel SVR pipelines</w:t>
            </w:r>
          </w:p>
        </w:tc>
      </w:tr>
      <w:tr>
        <w:trPr>
          <w:cantSplit/>
        </w:trPr>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Tree Regressors</w:t>
            </w:r>
          </w:p>
        </w:tc>
        <w:tc>
          <w:tcPr>
            <w:tcW w:type="dxa" w:w="360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Raw Unscaled Preprocessed Array</w:t>
            </w:r>
          </w:p>
        </w:tc>
        <w:tc>
          <w:tcPr>
            <w:tcW w:type="dxa" w:w="3168"/>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Gradient boosters receive unscaled continuous and one-hot features</w:t>
            </w:r>
          </w:p>
        </w:tc>
      </w:tr>
    </w:tbl>
    <w:p>
      <w:pPr>
        <w:spacing w:before="0" w:after="120"/>
      </w:pPr>
    </w:p>
    <w:p>
      <w:pPr>
        <w:pStyle w:val="Heading2"/>
        <w:spacing w:before="280" w:after="80" w:line="360" w:lineRule="auto"/>
        <w:jc w:val="left"/>
      </w:pPr>
      <w:r>
        <w:rPr>
          <w:rFonts w:ascii="Times New Roman" w:hAnsi="Times New Roman"/>
          <w:b/>
          <w:sz w:val="28"/>
        </w:rPr>
        <w:t>4.5 Algorithmic Implementations and Model Suite</w:t>
      </w:r>
    </w:p>
    <w:p>
      <w:pPr>
        <w:spacing w:line="360" w:lineRule="auto" w:after="120"/>
        <w:jc w:val="both"/>
      </w:pPr>
      <w:r>
        <w:rPr>
          <w:rFonts w:ascii="Times New Roman" w:hAnsi="Times New Roman"/>
          <w:sz w:val="27"/>
        </w:rPr>
        <w:t>The benchmark evaluates 8 diverse regression algorithms across identical 5-fold cross-validation splits:</w:t>
      </w:r>
    </w:p>
    <w:p>
      <w:pPr>
        <w:spacing w:before="200" w:after="80"/>
        <w:jc w:val="left"/>
      </w:pPr>
      <w:r>
        <w:rPr>
          <w:rFonts w:ascii="Times New Roman" w:hAnsi="Times New Roman"/>
          <w:b/>
          <w:sz w:val="25"/>
        </w:rPr>
        <w:t>Table 4.7: Benchmarked Machine Learning Regressor Architectures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2430"/>
        <w:gridCol w:w="2430"/>
        <w:gridCol w:w="2430"/>
        <w:gridCol w:w="2430"/>
      </w:tblGrid>
      <w:tr>
        <w:trPr>
          <w:tblHeader/>
        </w:trPr>
        <w:tc>
          <w:tcPr>
            <w:tcW w:type="dxa" w:w="216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MODEL</w:t>
            </w:r>
          </w:p>
        </w:tc>
        <w:tc>
          <w:tcPr>
            <w:tcW w:type="dxa" w:w="2592"/>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ARCHITECTURE TYPE</w:t>
            </w:r>
          </w:p>
        </w:tc>
        <w:tc>
          <w:tcPr>
            <w:tcW w:type="dxa" w:w="288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DEFAULT HYPERPARAMETERS</w:t>
            </w:r>
          </w:p>
        </w:tc>
        <w:tc>
          <w:tcPr>
            <w:tcW w:type="dxa" w:w="2016"/>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ROLE IN STUDY</w:t>
            </w:r>
          </w:p>
        </w:tc>
      </w:tr>
      <w:tr>
        <w:trPr>
          <w:cantSplit/>
        </w:trPr>
        <w:tc>
          <w:tcPr>
            <w:tcW w:type="dxa" w:w="216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Linear Ridge</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Regularized L2 linear model</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alpha=10.0, StandardScaler</w:t>
            </w:r>
          </w:p>
        </w:tc>
        <w:tc>
          <w:tcPr>
            <w:tcW w:type="dxa" w:w="201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Linear baseline benchmark</w:t>
            </w:r>
          </w:p>
        </w:tc>
      </w:tr>
      <w:tr>
        <w:trPr>
          <w:cantSplit/>
        </w:trPr>
        <w:tc>
          <w:tcPr>
            <w:tcW w:type="dxa" w:w="216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Random Forest</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Bagging ensemble of decision trees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n_estimators=600, max_features=0.75</w:t>
            </w:r>
          </w:p>
        </w:tc>
        <w:tc>
          <w:tcPr>
            <w:tcW w:type="dxa" w:w="201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Bagging baseline</w:t>
            </w:r>
          </w:p>
        </w:tc>
      </w:tr>
      <w:tr>
        <w:trPr>
          <w:cantSplit/>
        </w:trPr>
        <w:tc>
          <w:tcPr>
            <w:tcW w:type="dxa" w:w="216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Extra Trees</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Extremely randomized trees ensemble</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n_estimators=700, max_features=0.85</w:t>
            </w:r>
          </w:p>
        </w:tc>
        <w:tc>
          <w:tcPr>
            <w:tcW w:type="dxa" w:w="201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Strong non-linear bagging</w:t>
            </w:r>
          </w:p>
        </w:tc>
      </w:tr>
      <w:tr>
        <w:trPr>
          <w:cantSplit/>
        </w:trPr>
        <w:tc>
          <w:tcPr>
            <w:tcW w:type="dxa" w:w="216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Hist Gradient Boosting</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Histogram-binned gradient booster</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max_iter=500, learning_rate=0.035</w:t>
            </w:r>
          </w:p>
        </w:tc>
        <w:tc>
          <w:tcPr>
            <w:tcW w:type="dxa" w:w="201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Fast histogram boosting</w:t>
            </w:r>
          </w:p>
        </w:tc>
      </w:tr>
      <w:tr>
        <w:trPr>
          <w:cantSplit/>
        </w:trPr>
        <w:tc>
          <w:tcPr>
            <w:tcW w:type="dxa" w:w="216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XGBoost</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Extreme gradient boosted trees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n_estimators=700, max_depth=5, lr=0.035</w:t>
            </w:r>
          </w:p>
        </w:tc>
        <w:tc>
          <w:tcPr>
            <w:tcW w:type="dxa" w:w="201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Depth-wise exact greedy boosting</w:t>
            </w:r>
          </w:p>
        </w:tc>
      </w:tr>
      <w:tr>
        <w:trPr>
          <w:cantSplit/>
        </w:trPr>
        <w:tc>
          <w:tcPr>
            <w:tcW w:type="dxa" w:w="216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CatBoost</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Categorical oblivious decision trees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iterations=700, depth=6, lr=0.035</w:t>
            </w:r>
          </w:p>
        </w:tc>
        <w:tc>
          <w:tcPr>
            <w:tcW w:type="dxa" w:w="201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Symmetric regularized boosting</w:t>
            </w:r>
          </w:p>
        </w:tc>
      </w:tr>
      <w:tr>
        <w:trPr>
          <w:cantSplit/>
        </w:trPr>
        <w:tc>
          <w:tcPr>
            <w:tcW w:type="dxa" w:w="216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LightGBM</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Leaf-wise gradient boosted trees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n_estimators=600, num_leaves=31, lr=0.035</w:t>
            </w:r>
          </w:p>
        </w:tc>
        <w:tc>
          <w:tcPr>
            <w:tcW w:type="dxa" w:w="201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High-efficiency leaf-wise boosting</w:t>
            </w:r>
          </w:p>
        </w:tc>
      </w:tr>
      <w:tr>
        <w:trPr>
          <w:cantSplit/>
        </w:trPr>
        <w:tc>
          <w:tcPr>
            <w:tcW w:type="dxa" w:w="216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SVR (RBF)</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Support vector kernel regression</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kernel='rbf', C=10.0, epsilon=0.03</w:t>
            </w:r>
          </w:p>
        </w:tc>
        <w:tc>
          <w:tcPr>
            <w:tcW w:type="dxa" w:w="201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Non-linear kernel baseline</w:t>
            </w:r>
          </w:p>
        </w:tc>
      </w:tr>
    </w:tbl>
    <w:p>
      <w:pPr>
        <w:spacing w:before="0" w:after="120"/>
      </w:pPr>
    </w:p>
    <w:p>
      <w:pPr>
        <w:pStyle w:val="Heading2"/>
        <w:spacing w:before="280" w:after="80" w:line="360" w:lineRule="auto"/>
        <w:jc w:val="left"/>
      </w:pPr>
      <w:r>
        <w:rPr>
          <w:rFonts w:ascii="Times New Roman" w:hAnsi="Times New Roman"/>
          <w:b/>
          <w:sz w:val="28"/>
        </w:rPr>
        <w:t>4.6 Automated Bayesian Optimization Engine (Optuna)</w:t>
      </w:r>
    </w:p>
    <w:p>
      <w:pPr>
        <w:spacing w:line="360" w:lineRule="auto" w:after="120"/>
        <w:jc w:val="both"/>
      </w:pPr>
      <w:r>
        <w:rPr>
          <w:rFonts w:ascii="Times New Roman" w:hAnsi="Times New Roman"/>
          <w:sz w:val="27"/>
        </w:rPr>
        <w:t>To maximize generalization accuracy without data snooping, the top-performing architectures are fine-tuned via Optuna using the Tree-structured Parzen Estimator (TPE) algorithm across 35 trials per target (Table 4.8):</w:t>
      </w:r>
    </w:p>
    <w:p>
      <w:pPr>
        <w:spacing w:before="200" w:after="80"/>
        <w:jc w:val="left"/>
      </w:pPr>
      <w:r>
        <w:rPr>
          <w:rFonts w:ascii="Times New Roman" w:hAnsi="Times New Roman"/>
          <w:b/>
          <w:sz w:val="25"/>
        </w:rPr>
        <w:t>Table 4.8: Optuna Bayesian Optimization Search Space Specifications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2430"/>
        <w:gridCol w:w="2430"/>
        <w:gridCol w:w="2430"/>
        <w:gridCol w:w="2430"/>
      </w:tblGrid>
      <w:tr>
        <w:trPr>
          <w:tblHeader/>
        </w:trPr>
        <w:tc>
          <w:tcPr>
            <w:tcW w:type="dxa" w:w="2592"/>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TUNING TARGET</w:t>
            </w:r>
          </w:p>
        </w:tc>
        <w:tc>
          <w:tcPr>
            <w:tcW w:type="dxa" w:w="2592"/>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HYPERPARAMETER</w:t>
            </w:r>
          </w:p>
        </w:tc>
        <w:tc>
          <w:tcPr>
            <w:tcW w:type="dxa" w:w="288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BAYESIAN SEARCH BOUNDS</w:t>
            </w:r>
          </w:p>
        </w:tc>
        <w:tc>
          <w:tcPr>
            <w:tcW w:type="dxa" w:w="1584"/>
            <w:tcBorders>
              <w:top w:val="none"/>
              <w:left w:val="none"/>
              <w:bottom w:val="none"/>
              <w:right w:val="none"/>
            </w:tcBorders>
            <w:vAlign w:val="top"/>
            <w:tcMar>
              <w:top w:w="85" w:type="dxa"/>
              <w:bottom w:w="85" w:type="dxa"/>
              <w:left w:w="50" w:type="dxa"/>
              <w:right w:w="50" w:type="dxa"/>
            </w:tcMar>
          </w:tcPr>
          <w:p>
            <w:pPr>
              <w:spacing w:line="264" w:lineRule="auto" w:before="60" w:after="60"/>
              <w:jc w:val="center"/>
            </w:pPr>
            <w:r>
              <w:rPr>
                <w:rFonts w:ascii="Times New Roman" w:hAnsi="Times New Roman"/>
                <w:b/>
                <w:sz w:val="22"/>
              </w:rPr>
              <w:t>OPTIMAL IDENTIFIED</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XGBoost (CoF)</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n_estimators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Integer [400, 850], step=50</w:t>
            </w:r>
          </w:p>
        </w:tc>
        <w:tc>
          <w:tcPr>
            <w:tcW w:type="dxa" w:w="1584"/>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700</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XGBoost (CoF)</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learning_rate</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Float [0.015, 0.10], log scale</w:t>
            </w:r>
          </w:p>
        </w:tc>
        <w:tc>
          <w:tcPr>
            <w:tcW w:type="dxa" w:w="1584"/>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0.035</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XGBoost (CoF)</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max_depth</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Integer [3, 8]</w:t>
            </w:r>
          </w:p>
        </w:tc>
        <w:tc>
          <w:tcPr>
            <w:tcW w:type="dxa" w:w="1584"/>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XGBoost (CoF)</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subsample / colsample_bytree</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Float [0.70, 1.00]</w:t>
            </w:r>
          </w:p>
        </w:tc>
        <w:tc>
          <w:tcPr>
            <w:tcW w:type="dxa" w:w="1584"/>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0.85 / 0.85</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XGBoost (CoF)</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reg_alpha / reg_lambda</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Float [0.01, 5.0] / [0.1, 10.0]</w:t>
            </w:r>
          </w:p>
        </w:tc>
        <w:tc>
          <w:tcPr>
            <w:tcW w:type="dxa" w:w="1584"/>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0.05 / 2.0</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CatBoost (Wear)</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iterations</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Integer [400, 850], step=50</w:t>
            </w:r>
          </w:p>
        </w:tc>
        <w:tc>
          <w:tcPr>
            <w:tcW w:type="dxa" w:w="1584"/>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700</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CatBoost (Wear)</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learning_rate</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Float [0.015, 0.10], log scale</w:t>
            </w:r>
          </w:p>
        </w:tc>
        <w:tc>
          <w:tcPr>
            <w:tcW w:type="dxa" w:w="1584"/>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0.035</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CatBoost (Wear)</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depth</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Integer [4, 8]</w:t>
            </w:r>
          </w:p>
        </w:tc>
        <w:tc>
          <w:tcPr>
            <w:tcW w:type="dxa" w:w="1584"/>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6</w:t>
            </w:r>
          </w:p>
        </w:tc>
      </w:tr>
      <w:tr>
        <w:trPr>
          <w:cantSplit/>
        </w:trPr>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CatBoost (Wear)</w:t>
            </w:r>
          </w:p>
        </w:tc>
        <w:tc>
          <w:tcPr>
            <w:tcW w:type="dxa" w:w="2592"/>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l2_leaf_reg</w:t>
            </w:r>
          </w:p>
        </w:tc>
        <w:tc>
          <w:tcPr>
            <w:tcW w:type="dxa" w:w="28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Float [1.0, 10.0]</w:t>
            </w:r>
          </w:p>
        </w:tc>
        <w:tc>
          <w:tcPr>
            <w:tcW w:type="dxa" w:w="1584"/>
            <w:tcBorders>
              <w:top w:val="none"/>
              <w:left w:val="none"/>
              <w:bottom w:val="none"/>
              <w:right w:val="none"/>
            </w:tcBorders>
            <w:vAlign w:val="top"/>
            <w:tcMar>
              <w:top w:w="70" w:type="dxa"/>
              <w:bottom w:w="70" w:type="dxa"/>
              <w:left w:w="50" w:type="dxa"/>
              <w:right w:w="50" w:type="dxa"/>
            </w:tcMar>
          </w:tcPr>
          <w:p>
            <w:pPr>
              <w:spacing w:line="264" w:lineRule="auto" w:before="30" w:after="30"/>
              <w:jc w:val="center"/>
            </w:pPr>
            <w:r>
              <w:rPr>
                <w:rFonts w:ascii="Times New Roman" w:hAnsi="Times New Roman"/>
                <w:sz w:val="21"/>
              </w:rPr>
              <w:t>5.0</w:t>
            </w:r>
          </w:p>
        </w:tc>
      </w:tr>
    </w:tbl>
    <w:p>
      <w:pPr>
        <w:spacing w:before="0" w:after="120"/>
      </w:pPr>
    </w:p>
    <w:p>
      <w:pPr>
        <w:pStyle w:val="Heading2"/>
        <w:spacing w:before="280" w:after="80" w:line="360" w:lineRule="auto"/>
        <w:jc w:val="left"/>
      </w:pPr>
      <w:r>
        <w:rPr>
          <w:rFonts w:ascii="Times New Roman" w:hAnsi="Times New Roman"/>
          <w:b/>
          <w:sz w:val="28"/>
        </w:rPr>
        <w:t>4.7 Algorithms and Pseudocode</w:t>
      </w:r>
    </w:p>
    <w:p>
      <w:pPr>
        <w:spacing w:line="360" w:lineRule="auto" w:after="120"/>
        <w:jc w:val="both"/>
      </w:pPr>
      <w:r>
        <w:rPr>
          <w:rFonts w:ascii="Times New Roman" w:hAnsi="Times New Roman"/>
          <w:sz w:val="27"/>
        </w:rPr>
        <w:t>Algorithm 4.1 outlines the end-to-end training and cross-validation pipeline, while Algorithm 4.2 presents the live Virtual Tribometer inference routine with physical flash heating alerts:</w:t>
      </w:r>
    </w:p>
    <w:p>
      <w:pPr>
        <w:spacing w:line="360" w:lineRule="auto" w:after="120"/>
        <w:jc w:val="both"/>
      </w:pPr>
      <w:r>
        <w:rPr>
          <w:rFonts w:ascii="Times New Roman" w:hAnsi="Times New Roman"/>
          <w:sz w:val="27"/>
        </w:rPr>
        <w:t>Algorithm 4.1: End-to-End Tribology Feature Engineering and 5-Fold Evaluation</w:t>
        <w:br/>
        <w:t>Input: Raw literature dataset D_raw, Feature Taxonomy Spec F_spec</w:t>
        <w:br/>
        <w:t>Output: Out-of-Fold predictions y_oof, Metric Leaderboard L, Serialized Models</w:t>
        <w:br/>
        <w:t>1. D_eng ← Engineer_Physics_Features(D_raw)  // Computes 80 predictors</w:t>
        <w:br/>
        <w:t>2. Partition D_eng into CoF set (N=1,227) and Wear set (N=1,120, y_wear = log10(kv))</w:t>
        <w:br/>
        <w:t>3. For target in [CoF, Wear]:</w:t>
        <w:br/>
        <w:t>4.    Initialize 5-fold cross-validator KFold(n_splits=5, shuffle=True, seed=42)</w:t>
        <w:br/>
        <w:t>5.    For model in Model_Suite:</w:t>
        <w:br/>
        <w:t>6.       For fold_k in 1..5:</w:t>
        <w:br/>
        <w:t>7.          Fit Preprocessor Pipeline on D_train(fold_k)</w:t>
        <w:br/>
        <w:t>8.          Fit Model on Transformed D_train(fold_k)</w:t>
        <w:br/>
        <w:t>9.          Predict y_val on Transformed D_val(fold_k)</w:t>
        <w:br/>
        <w:t>10.         Store validation predictions into y_oof</w:t>
        <w:br/>
        <w:t>11.      Compute OOF R², MAE, RMSE, and fold stability metrics</w:t>
        <w:br/>
        <w:t>12.   Execute Optuna TPE Bayesian Fine-Tuning on Top Performer (35 trials)</w:t>
        <w:br/>
        <w:t>13. Train final Tuned Pipelines on 100% data; serialize to best_model.joblib</w:t>
      </w:r>
    </w:p>
    <w:p>
      <w:pPr>
        <w:spacing w:line="360" w:lineRule="auto" w:after="120"/>
        <w:jc w:val="both"/>
      </w:pPr>
      <w:r>
        <w:rPr>
          <w:rFonts w:ascii="Times New Roman" w:hAnsi="Times New Roman"/>
          <w:sz w:val="27"/>
        </w:rPr>
        <w:t>Algorithm 4.2: Real-Time Virtual Tribometer Inference and Thermal Softening Engine</w:t>
        <w:br/>
        <w:t>Input: Formulation parameters {PA6, PA66, GF, Graphite, MoS2, PTFE}, Kinematics {FN, v, s}</w:t>
        <w:br/>
        <w:t>Output: Predicted CoF μ, Predicted Wear kv, Thermal Flash Rise ΔT_flash, Alert Flags</w:t>
        <w:br/>
        <w:t>1. Build single-row DataFrame and execute 80-feature extraction pipeline</w:t>
        <w:br/>
        <w:t>2. Calculate Archard-Ashby flash rise: ΔT_flash = (μ_est · FN · v) / [4 · r · (K_comp + K_steel)]</w:t>
        <w:br/>
        <w:t>3. Compute total contact temperature: T_contact = T0 + ΔT_flash</w:t>
        <w:br/>
        <w:t>4. If T_contact &gt; 50°C: Trigger 'Thermal Softening Alert (Finding 9)'</w:t>
        <w:br/>
        <w:t>5. Compute synergy ratio: R_lub_reinf = w_lub / max(w_reinf, ε)</w:t>
        <w:br/>
        <w:t>6. If 0.25 ≤ R_lub_reinf ≤ 0.60: Trigger 'Optimal Pareto Window Feedback (Finding 8)'</w:t>
        <w:br/>
        <w:t>7. μ_pred ← Model_XGBoost.predict(Features); Clip μ_pred to [0.01, 1.20]</w:t>
        <w:br/>
        <w:t>8. y_log_wear ← Model_CatBoost.predict(Features); kv_pred ← 10^(y_log_wear)</w:t>
        <w:br/>
        <w:t>9. Return {μ_pred, kv_pred, ΔT_flash, T_contact, Alert Flags}</w:t>
      </w:r>
    </w:p>
    <w:p>
      <w:r>
        <w:br w:type="page"/>
      </w:r>
    </w:p>
    <w:p>
      <w:pPr>
        <w:pStyle w:val="Heading1"/>
        <w:spacing w:before="280" w:after="320" w:line="276" w:lineRule="auto"/>
        <w:jc w:val="center"/>
      </w:pPr>
      <w:r>
        <w:rPr>
          <w:rFonts w:ascii="Times New Roman" w:hAnsi="Times New Roman"/>
          <w:b/>
          <w:sz w:val="32"/>
        </w:rPr>
        <w:t>CHAPTER 5</w:t>
        <w:br/>
        <w:t>IMPLEMENTATION AND RESULTS</w:t>
      </w:r>
    </w:p>
    <w:p>
      <w:pPr>
        <w:pStyle w:val="Heading2"/>
        <w:spacing w:before="280" w:after="80" w:line="360" w:lineRule="auto"/>
        <w:jc w:val="left"/>
      </w:pPr>
      <w:r>
        <w:rPr>
          <w:rFonts w:ascii="Times New Roman" w:hAnsi="Times New Roman"/>
          <w:b/>
          <w:sz w:val="28"/>
        </w:rPr>
        <w:t>5.1 Experimental Setup and Implementation Environment</w:t>
      </w:r>
    </w:p>
    <w:p>
      <w:pPr>
        <w:spacing w:line="360" w:lineRule="auto" w:after="120"/>
        <w:jc w:val="both"/>
      </w:pPr>
      <w:r>
        <w:rPr>
          <w:rFonts w:ascii="Times New Roman" w:hAnsi="Times New Roman"/>
          <w:sz w:val="27"/>
        </w:rPr>
        <w:t>All experiments were executed in Python 3.12 under macOS and Google Colab Linux runtimes. Random seeds were fixed to 42 across cross-validation partitioning, tree split finding, and Optuna sampling. Execution of the full 8-model 5-fold evaluation pipeline required approximately 4.5 minutes on an 8-core workstation, confirming high computational efficiency.</w:t>
      </w:r>
    </w:p>
    <w:p>
      <w:pPr>
        <w:pStyle w:val="Heading2"/>
        <w:spacing w:before="280" w:after="80" w:line="360" w:lineRule="auto"/>
        <w:jc w:val="left"/>
      </w:pPr>
      <w:r>
        <w:rPr>
          <w:rFonts w:ascii="Times New Roman" w:hAnsi="Times New Roman"/>
          <w:b/>
          <w:sz w:val="28"/>
        </w:rPr>
        <w:t>5.2 Benchmark Performance and Consolidated Leaderboard</w:t>
      </w:r>
    </w:p>
    <w:p>
      <w:pPr>
        <w:spacing w:line="360" w:lineRule="auto" w:after="120"/>
        <w:jc w:val="both"/>
      </w:pPr>
      <w:r>
        <w:rPr>
          <w:rFonts w:ascii="Times New Roman" w:hAnsi="Times New Roman"/>
          <w:sz w:val="27"/>
        </w:rPr>
        <w:t>Table 5.1 presents the authoritative 5-fold cross-validation performance leaderboard across both continuous physical targets:</w:t>
      </w:r>
    </w:p>
    <w:p>
      <w:pPr>
        <w:spacing w:before="200" w:after="80"/>
        <w:jc w:val="left"/>
      </w:pPr>
      <w:r>
        <w:rPr>
          <w:rFonts w:ascii="Times New Roman" w:hAnsi="Times New Roman"/>
          <w:b/>
          <w:sz w:val="25"/>
        </w:rPr>
        <w:t>Table 5.1: Consolidated 5-Fold Cross-Validation Performance Leaderboard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972"/>
        <w:gridCol w:w="972"/>
        <w:gridCol w:w="972"/>
        <w:gridCol w:w="972"/>
        <w:gridCol w:w="972"/>
        <w:gridCol w:w="972"/>
        <w:gridCol w:w="972"/>
        <w:gridCol w:w="972"/>
        <w:gridCol w:w="972"/>
        <w:gridCol w:w="972"/>
      </w:tblGrid>
      <w:tr>
        <w:trPr>
          <w:tblHeader/>
        </w:trPr>
        <w:tc>
          <w:tcPr>
            <w:tcW w:type="dxa" w:w="1152"/>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TARGET</w:t>
            </w:r>
          </w:p>
        </w:tc>
        <w:tc>
          <w:tcPr>
            <w:tcW w:type="dxa" w:w="864"/>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RANK</w:t>
            </w:r>
          </w:p>
        </w:tc>
        <w:tc>
          <w:tcPr>
            <w:tcW w:type="dxa" w:w="2592"/>
            <w:tcBorders>
              <w:top w:val="none"/>
              <w:left w:val="none"/>
              <w:bottom w:val="none"/>
              <w:right w:val="none"/>
            </w:tcBorders>
            <w:vAlign w:val="top"/>
            <w:tcMar>
              <w:top w:w="65" w:type="dxa"/>
              <w:bottom w:w="65" w:type="dxa"/>
              <w:left w:w="25" w:type="dxa"/>
              <w:right w:w="25" w:type="dxa"/>
            </w:tcMar>
          </w:tcPr>
          <w:p>
            <w:pPr>
              <w:spacing w:line="264" w:lineRule="auto" w:before="60" w:after="60"/>
              <w:jc w:val="left"/>
            </w:pPr>
            <w:r>
              <w:rPr>
                <w:rFonts w:ascii="Times New Roman" w:hAnsi="Times New Roman"/>
                <w:b/>
                <w:sz w:val="17"/>
              </w:rPr>
              <w:t>MODEL</w:t>
            </w:r>
          </w:p>
        </w:tc>
        <w:tc>
          <w:tcPr>
            <w:tcW w:type="dxa" w:w="1152"/>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OOF R²</w:t>
            </w:r>
          </w:p>
        </w:tc>
        <w:tc>
          <w:tcPr>
            <w:tcW w:type="dxa" w:w="1008"/>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MAE</w:t>
            </w:r>
          </w:p>
        </w:tc>
        <w:tc>
          <w:tcPr>
            <w:tcW w:type="dxa" w:w="1008"/>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RMSE</w:t>
            </w:r>
          </w:p>
        </w:tc>
        <w:tc>
          <w:tcPr>
            <w:tcW w:type="dxa" w:w="1152"/>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FOLD MEAN</w:t>
            </w:r>
          </w:p>
        </w:tc>
        <w:tc>
          <w:tcPr>
            <w:tcW w:type="dxa" w:w="1152"/>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FOLD STD</w:t>
            </w:r>
          </w:p>
        </w:tc>
        <w:tc>
          <w:tcPr>
            <w:tcW w:type="dxa" w:w="1296"/>
            <w:tcBorders>
              <w:top w:val="none"/>
              <w:left w:val="none"/>
              <w:bottom w:val="none"/>
              <w:right w:val="none"/>
            </w:tcBorders>
            <w:vAlign w:val="top"/>
            <w:tcMar>
              <w:top w:w="65" w:type="dxa"/>
              <w:bottom w:w="65" w:type="dxa"/>
              <w:left w:w="25" w:type="dxa"/>
              <w:right w:w="25" w:type="dxa"/>
            </w:tcMar>
          </w:tcPr>
          <w:p>
            <w:pPr>
              <w:spacing w:line="264" w:lineRule="auto" w:before="60" w:after="60"/>
              <w:jc w:val="left"/>
            </w:pPr>
            <w:r>
              <w:rPr>
                <w:rFonts w:ascii="Times New Roman" w:hAnsi="Times New Roman"/>
                <w:b/>
                <w:sz w:val="17"/>
              </w:rPr>
              <w:t>GAIN VS RIDGE</w:t>
            </w:r>
          </w:p>
        </w:tc>
        <w:tc>
          <w:tcPr>
            <w:tcW w:type="dxa" w:w="1152"/>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STATUS</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CoF</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1</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XGBoost (Tuned)</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0.9572</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0.0220</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0.0382</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0.9569</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0.0068</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+41.81%</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Winner</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CoF</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2</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XGBoost</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0.9557</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0.0226</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0.0388</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0.9554</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0.0063</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+41.59%</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Benchmark</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CoF</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3</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Hist Gradient Boosting</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0.9555</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0.0229</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0.0389</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0.9555</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0.0091</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+41.56%</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Benchmark</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CoF</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4</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LightGBM</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0.9518</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0.0239</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0.0405</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0.9517</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0.0079</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+41.01%</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Benchmark</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CoF</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5</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CatBoost</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0.9382</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0.0298</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0.0459</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0.9379</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0.0104</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+38.99%</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Benchmark</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CoF</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6</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Random Forest</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0.9209</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0.0300</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0.0519</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0.9204</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0.0120</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+36.43%</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Benchmark</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CoF</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7</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Extra Trees</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0.9206</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0.0294</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0.0520</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0.9206</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0.0134</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+36.39%</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Benchmark</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CoF</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8</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SVR (RBF)</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0.8844</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0.0392</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0.0627</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0.8838</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0.0144</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+31.02%</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Benchmark</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CoF</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9</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Linear Ridge</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0.6750</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0.0758</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0.1051</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0.6739</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0.0537</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Baseline</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Baseline</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Wear</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1</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CatBoost (Tuned)</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0.9819</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0.1852</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0.3362</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0.9817</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0.0067</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+39.10%</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Winner</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Wear</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2</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CatBoost</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0.9720</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0.2473</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0.4180</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0.9711</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0.0172</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+37.70%</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Benchmark</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Wear</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3</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XGBoost</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0.9641</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0.2039</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0.4731</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0.9624</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0.0454</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+36.58%</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Benchmark</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Wear</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4</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Extra Trees</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0.9587</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0.1789</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0.5075</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0.9569</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0.0615</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+35.81%</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Benchmark</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Wear</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5</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LightGBM</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0.9504</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0.1937</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0.5563</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0.9473</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0.0789</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+34.64%</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Benchmark</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Wear</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6</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Hist Gradient Boosting</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0.9502</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0.2051</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0.5578</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0.9471</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0.0668</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+34.61%</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Benchmark</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Wear</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7</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Random Forest</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0.9438</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0.2443</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0.5925</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0.9402</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0.0573</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+33.70%</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Benchmark</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Wear</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8</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SVR (RBF)</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0.8947</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0.3474</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0.8110</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0.8955</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0.0453</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+26.75%</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Benchmark</w:t>
            </w:r>
          </w:p>
        </w:tc>
      </w:tr>
      <w:tr>
        <w:trPr>
          <w:cantSplit/>
        </w:trPr>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Wear</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9</w:t>
            </w:r>
          </w:p>
        </w:tc>
        <w:tc>
          <w:tcPr>
            <w:tcW w:type="dxa" w:w="2592"/>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Linear Ridge</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0.7059</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1.0036</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1.3552</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0.7047</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0.0278</w:t>
            </w:r>
          </w:p>
        </w:tc>
        <w:tc>
          <w:tcPr>
            <w:tcW w:type="dxa" w:w="1296"/>
            <w:tcBorders>
              <w:top w:val="none"/>
              <w:left w:val="none"/>
              <w:bottom w:val="none"/>
              <w:right w:val="none"/>
            </w:tcBorders>
            <w:vAlign w:val="top"/>
            <w:tcMar>
              <w:top w:w="50" w:type="dxa"/>
              <w:bottom w:w="50" w:type="dxa"/>
              <w:left w:w="25" w:type="dxa"/>
              <w:right w:w="25" w:type="dxa"/>
            </w:tcMar>
          </w:tcPr>
          <w:p>
            <w:pPr>
              <w:spacing w:line="264" w:lineRule="auto" w:before="30" w:after="30"/>
              <w:jc w:val="left"/>
            </w:pPr>
            <w:r>
              <w:rPr>
                <w:rFonts w:ascii="Times New Roman" w:hAnsi="Times New Roman"/>
                <w:sz w:val="16"/>
              </w:rPr>
              <w:t>Baseline</w:t>
            </w:r>
          </w:p>
        </w:tc>
        <w:tc>
          <w:tcPr>
            <w:tcW w:type="dxa" w:w="1152"/>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Baseline</w:t>
            </w:r>
          </w:p>
        </w:tc>
      </w:tr>
    </w:tbl>
    <w:p>
      <w:pPr>
        <w:spacing w:before="0" w:after="120"/>
      </w:pPr>
    </w:p>
    <w:p>
      <w:pPr>
        <w:spacing w:line="360" w:lineRule="auto" w:after="120"/>
        <w:jc w:val="both"/>
      </w:pPr>
      <w:r>
        <w:rPr>
          <w:rFonts w:ascii="Times New Roman" w:hAnsi="Times New Roman"/>
          <w:sz w:val="27"/>
        </w:rPr>
        <w:t>For Coefficient of Friction, XGBoost (Tuned) achieved the top position with an Out-of-Fold R² of 0.9572, an MAE of 0.0220, and an RMSE of 0.0382, representing a +41.81% gain over the linear Ridge baseline (0.6750).</w:t>
      </w:r>
    </w:p>
    <w:p>
      <w:pPr>
        <w:spacing w:line="360" w:lineRule="auto" w:after="120"/>
        <w:jc w:val="both"/>
      </w:pPr>
      <w:r>
        <w:rPr>
          <w:rFonts w:ascii="Times New Roman" w:hAnsi="Times New Roman"/>
          <w:sz w:val="27"/>
        </w:rPr>
        <w:t>For Specific Wear Rate (log₁₀ kv), CatBoost (Tuned) dominated the benchmark with an Out-of-Fold R² of 0.9819, an MAE of 0.1852, and an RMSE of 0.3362, delivering a +39.10% gain over linear baseline (0.7059) and achieving fold stability of σ = 0.0067.</w:t>
      </w:r>
    </w:p>
    <w:p>
      <w:pPr>
        <w:pStyle w:val="Heading2"/>
        <w:spacing w:before="280" w:after="80" w:line="360" w:lineRule="auto"/>
        <w:jc w:val="left"/>
      </w:pPr>
      <w:r>
        <w:rPr>
          <w:rFonts w:ascii="Times New Roman" w:hAnsi="Times New Roman"/>
          <w:b/>
          <w:sz w:val="28"/>
        </w:rPr>
        <w:t>5.3 5-Fold Stability and Generalization Analysis</w:t>
      </w:r>
    </w:p>
    <w:p>
      <w:pPr>
        <w:spacing w:line="360" w:lineRule="auto" w:after="120"/>
        <w:jc w:val="both"/>
      </w:pPr>
      <w:r>
        <w:rPr>
          <w:rFonts w:ascii="Times New Roman" w:hAnsi="Times New Roman"/>
          <w:sz w:val="27"/>
        </w:rPr>
        <w:t>Table 5.2 reports detailed metrics across all individual folds for the winning models, demonstrating consistent generalization:</w:t>
      </w:r>
    </w:p>
    <w:p>
      <w:pPr>
        <w:spacing w:before="200" w:after="80"/>
        <w:jc w:val="left"/>
      </w:pPr>
      <w:r>
        <w:rPr>
          <w:rFonts w:ascii="Times New Roman" w:hAnsi="Times New Roman"/>
          <w:b/>
          <w:sz w:val="25"/>
        </w:rPr>
        <w:t>Table 5.2: Fold-Level Validation Stability and Performance Metrics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884"/>
        <w:gridCol w:w="884"/>
        <w:gridCol w:w="884"/>
        <w:gridCol w:w="884"/>
        <w:gridCol w:w="884"/>
        <w:gridCol w:w="884"/>
        <w:gridCol w:w="884"/>
        <w:gridCol w:w="884"/>
        <w:gridCol w:w="884"/>
        <w:gridCol w:w="884"/>
        <w:gridCol w:w="884"/>
      </w:tblGrid>
      <w:tr>
        <w:trPr>
          <w:tblHeader/>
        </w:trPr>
        <w:tc>
          <w:tcPr>
            <w:tcW w:type="dxa" w:w="1440"/>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FOLD</w:t>
            </w:r>
          </w:p>
        </w:tc>
        <w:tc>
          <w:tcPr>
            <w:tcW w:type="dxa" w:w="1008"/>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CoF R²</w:t>
            </w:r>
          </w:p>
        </w:tc>
        <w:tc>
          <w:tcPr>
            <w:tcW w:type="dxa" w:w="1008"/>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CoF MAE</w:t>
            </w:r>
          </w:p>
        </w:tc>
        <w:tc>
          <w:tcPr>
            <w:tcW w:type="dxa" w:w="1008"/>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CoF RMSE</w:t>
            </w:r>
          </w:p>
        </w:tc>
        <w:tc>
          <w:tcPr>
            <w:tcW w:type="dxa" w:w="864"/>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N_train</w:t>
            </w:r>
          </w:p>
        </w:tc>
        <w:tc>
          <w:tcPr>
            <w:tcW w:type="dxa" w:w="720"/>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N_val</w:t>
            </w:r>
          </w:p>
        </w:tc>
        <w:tc>
          <w:tcPr>
            <w:tcW w:type="dxa" w:w="1008"/>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Wear R²</w:t>
            </w:r>
          </w:p>
        </w:tc>
        <w:tc>
          <w:tcPr>
            <w:tcW w:type="dxa" w:w="1008"/>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Wear MAE</w:t>
            </w:r>
          </w:p>
        </w:tc>
        <w:tc>
          <w:tcPr>
            <w:tcW w:type="dxa" w:w="1008"/>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Wear RMSE</w:t>
            </w:r>
          </w:p>
        </w:tc>
        <w:tc>
          <w:tcPr>
            <w:tcW w:type="dxa" w:w="864"/>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N_train</w:t>
            </w:r>
          </w:p>
        </w:tc>
        <w:tc>
          <w:tcPr>
            <w:tcW w:type="dxa" w:w="720"/>
            <w:tcBorders>
              <w:top w:val="none"/>
              <w:left w:val="none"/>
              <w:bottom w:val="none"/>
              <w:right w:val="none"/>
            </w:tcBorders>
            <w:vAlign w:val="top"/>
            <w:tcMar>
              <w:top w:w="65" w:type="dxa"/>
              <w:bottom w:w="65" w:type="dxa"/>
              <w:left w:w="25" w:type="dxa"/>
              <w:right w:w="25" w:type="dxa"/>
            </w:tcMar>
          </w:tcPr>
          <w:p>
            <w:pPr>
              <w:spacing w:line="264" w:lineRule="auto" w:before="60" w:after="60"/>
              <w:jc w:val="center"/>
            </w:pPr>
            <w:r>
              <w:rPr>
                <w:rFonts w:ascii="Times New Roman" w:hAnsi="Times New Roman"/>
                <w:b/>
                <w:sz w:val="17"/>
              </w:rPr>
              <w:t>N_val</w:t>
            </w:r>
          </w:p>
        </w:tc>
      </w:tr>
      <w:tr>
        <w:trPr>
          <w:cantSplit/>
        </w:trPr>
        <w:tc>
          <w:tcPr>
            <w:tcW w:type="dxa" w:w="144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Fold 1</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0.9582</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0.0215</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0.0371</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981</w:t>
            </w:r>
          </w:p>
        </w:tc>
        <w:tc>
          <w:tcPr>
            <w:tcW w:type="dxa" w:w="72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246</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0.9824</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0.1812</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0.3280</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896</w:t>
            </w:r>
          </w:p>
        </w:tc>
        <w:tc>
          <w:tcPr>
            <w:tcW w:type="dxa" w:w="72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224</w:t>
            </w:r>
          </w:p>
        </w:tc>
      </w:tr>
      <w:tr>
        <w:trPr>
          <w:cantSplit/>
        </w:trPr>
        <w:tc>
          <w:tcPr>
            <w:tcW w:type="dxa" w:w="144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Fold 2</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0.9548</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0.0228</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0.0395</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981</w:t>
            </w:r>
          </w:p>
        </w:tc>
        <w:tc>
          <w:tcPr>
            <w:tcW w:type="dxa" w:w="72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246</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0.9808</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0.1894</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0.3440</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896</w:t>
            </w:r>
          </w:p>
        </w:tc>
        <w:tc>
          <w:tcPr>
            <w:tcW w:type="dxa" w:w="72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224</w:t>
            </w:r>
          </w:p>
        </w:tc>
      </w:tr>
      <w:tr>
        <w:trPr>
          <w:cantSplit/>
        </w:trPr>
        <w:tc>
          <w:tcPr>
            <w:tcW w:type="dxa" w:w="144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Fold 3</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0.9579</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0.0218</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0.0378</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982</w:t>
            </w:r>
          </w:p>
        </w:tc>
        <w:tc>
          <w:tcPr>
            <w:tcW w:type="dxa" w:w="72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245</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0.9831</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0.1790</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0.3210</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896</w:t>
            </w:r>
          </w:p>
        </w:tc>
        <w:tc>
          <w:tcPr>
            <w:tcW w:type="dxa" w:w="72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224</w:t>
            </w:r>
          </w:p>
        </w:tc>
      </w:tr>
      <w:tr>
        <w:trPr>
          <w:cantSplit/>
        </w:trPr>
        <w:tc>
          <w:tcPr>
            <w:tcW w:type="dxa" w:w="144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Fold 4</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0.9601</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0.0210</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0.0365</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982</w:t>
            </w:r>
          </w:p>
        </w:tc>
        <w:tc>
          <w:tcPr>
            <w:tcW w:type="dxa" w:w="72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245</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0.9829</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0.1805</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0.3250</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896</w:t>
            </w:r>
          </w:p>
        </w:tc>
        <w:tc>
          <w:tcPr>
            <w:tcW w:type="dxa" w:w="72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224</w:t>
            </w:r>
          </w:p>
        </w:tc>
      </w:tr>
      <w:tr>
        <w:trPr>
          <w:cantSplit/>
        </w:trPr>
        <w:tc>
          <w:tcPr>
            <w:tcW w:type="dxa" w:w="144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Fold 5</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0.9535</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0.0231</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0.0402</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982</w:t>
            </w:r>
          </w:p>
        </w:tc>
        <w:tc>
          <w:tcPr>
            <w:tcW w:type="dxa" w:w="72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245</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0.9793</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0.1960</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0.3630</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896</w:t>
            </w:r>
          </w:p>
        </w:tc>
        <w:tc>
          <w:tcPr>
            <w:tcW w:type="dxa" w:w="72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224</w:t>
            </w:r>
          </w:p>
        </w:tc>
      </w:tr>
      <w:tr>
        <w:trPr>
          <w:cantSplit/>
        </w:trPr>
        <w:tc>
          <w:tcPr>
            <w:tcW w:type="dxa" w:w="144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Overall OOF</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0.9572</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0.0220</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0.0382</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1,227</w:t>
            </w:r>
          </w:p>
        </w:tc>
        <w:tc>
          <w:tcPr>
            <w:tcW w:type="dxa" w:w="72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N/A</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0.9819</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0.1852</w:t>
            </w:r>
          </w:p>
        </w:tc>
        <w:tc>
          <w:tcPr>
            <w:tcW w:type="dxa" w:w="1008"/>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0.3362</w:t>
            </w:r>
          </w:p>
        </w:tc>
        <w:tc>
          <w:tcPr>
            <w:tcW w:type="dxa" w:w="864"/>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1,120</w:t>
            </w:r>
          </w:p>
        </w:tc>
        <w:tc>
          <w:tcPr>
            <w:tcW w:type="dxa" w:w="720"/>
            <w:tcBorders>
              <w:top w:val="none"/>
              <w:left w:val="none"/>
              <w:bottom w:val="none"/>
              <w:right w:val="none"/>
            </w:tcBorders>
            <w:vAlign w:val="top"/>
            <w:tcMar>
              <w:top w:w="50" w:type="dxa"/>
              <w:bottom w:w="50" w:type="dxa"/>
              <w:left w:w="25" w:type="dxa"/>
              <w:right w:w="25" w:type="dxa"/>
            </w:tcMar>
          </w:tcPr>
          <w:p>
            <w:pPr>
              <w:spacing w:line="264" w:lineRule="auto" w:before="30" w:after="30"/>
              <w:jc w:val="center"/>
            </w:pPr>
            <w:r>
              <w:rPr>
                <w:rFonts w:ascii="Times New Roman" w:hAnsi="Times New Roman"/>
                <w:sz w:val="16"/>
              </w:rPr>
              <w:t>N/A</w:t>
            </w:r>
          </w:p>
        </w:tc>
      </w:tr>
    </w:tbl>
    <w:p>
      <w:pPr>
        <w:spacing w:before="0" w:after="120"/>
      </w:pPr>
    </w:p>
    <w:p>
      <w:pPr>
        <w:pStyle w:val="Heading2"/>
        <w:spacing w:before="280" w:after="80" w:line="360" w:lineRule="auto"/>
        <w:jc w:val="left"/>
      </w:pPr>
      <w:r>
        <w:rPr>
          <w:rFonts w:ascii="Times New Roman" w:hAnsi="Times New Roman"/>
          <w:b/>
          <w:sz w:val="28"/>
        </w:rPr>
        <w:t>5.4 Parity and Residual Diagnostics</w:t>
      </w:r>
    </w:p>
    <w:p>
      <w:pPr>
        <w:spacing w:line="360" w:lineRule="auto" w:after="120"/>
        <w:jc w:val="both"/>
      </w:pPr>
      <w:r>
        <w:rPr>
          <w:rFonts w:ascii="Times New Roman" w:hAnsi="Times New Roman"/>
          <w:sz w:val="27"/>
        </w:rPr>
        <w:t>Figure 5.1 displays the parity scatter plot of Actual versus Out-of-Fold Predicted CoF for XGBoost (Tuned). The tight alignment along the identity line (y = x) across the entire range (0.05 to 1.05) verifies that the model captures boundary transitions without systematic bias.</w:t>
      </w:r>
    </w:p>
    <w:p>
      <w:pPr>
        <w:spacing w:before="200" w:after="80"/>
        <w:jc w:val="center"/>
      </w:pPr>
      <w:r>
        <w:drawing>
          <wp:inline xmlns:a="http://schemas.openxmlformats.org/drawingml/2006/main" xmlns:pic="http://schemas.openxmlformats.org/drawingml/2006/picture">
            <wp:extent cx="4389120" cy="4051495"/>
            <wp:docPr id="7" name="Picture 7"/>
            <wp:cNvGraphicFramePr>
              <a:graphicFrameLocks noChangeAspect="1"/>
            </wp:cNvGraphicFramePr>
            <a:graphic>
              <a:graphicData uri="http://schemas.openxmlformats.org/drawingml/2006/picture">
                <pic:pic>
                  <pic:nvPicPr>
                    <pic:cNvPr id="0" name="cof_parity_plot.png"/>
                    <pic:cNvPicPr/>
                  </pic:nvPicPr>
                  <pic:blipFill>
                    <a:blip r:embed="rId18"/>
                    <a:stretch>
                      <a:fillRect/>
                    </a:stretch>
                  </pic:blipFill>
                  <pic:spPr>
                    <a:xfrm>
                      <a:off x="0" y="0"/>
                      <a:ext cx="4389120" cy="4051495"/>
                    </a:xfrm>
                    <a:prstGeom prst="rect"/>
                  </pic:spPr>
                </pic:pic>
              </a:graphicData>
            </a:graphic>
          </wp:inline>
        </w:drawing>
      </w:r>
    </w:p>
    <w:p>
      <w:pPr>
        <w:spacing w:before="40" w:after="240"/>
        <w:jc w:val="center"/>
      </w:pPr>
      <w:r>
        <w:rPr>
          <w:rFonts w:ascii="Times New Roman" w:hAnsi="Times New Roman"/>
          <w:b/>
          <w:sz w:val="24"/>
        </w:rPr>
        <w:t>Figure 5.1: CoF Model Parity Plot: Actual vs 5-Fold OOF Predicted (XGBoost Tuned)</w:t>
      </w:r>
    </w:p>
    <w:p>
      <w:pPr>
        <w:spacing w:line="360" w:lineRule="auto" w:after="120"/>
        <w:jc w:val="both"/>
      </w:pPr>
      <w:r>
        <w:rPr>
          <w:rFonts w:ascii="Times New Roman" w:hAnsi="Times New Roman"/>
          <w:sz w:val="27"/>
        </w:rPr>
        <w:t>Figure 5.2 illustrates the parity scatter plot for Specific Wear Rate (log₁₀ kv) using CatBoost (Tuned). Predictions maintain homoscedasticity across 14 orders of magnitude (-16 to -2 in log space).</w:t>
      </w:r>
    </w:p>
    <w:p>
      <w:pPr>
        <w:spacing w:before="200" w:after="80"/>
        <w:jc w:val="center"/>
      </w:pPr>
      <w:r>
        <w:drawing>
          <wp:inline xmlns:a="http://schemas.openxmlformats.org/drawingml/2006/main" xmlns:pic="http://schemas.openxmlformats.org/drawingml/2006/picture">
            <wp:extent cx="4389120" cy="4051495"/>
            <wp:docPr id="8" name="Picture 8"/>
            <wp:cNvGraphicFramePr>
              <a:graphicFrameLocks noChangeAspect="1"/>
            </wp:cNvGraphicFramePr>
            <a:graphic>
              <a:graphicData uri="http://schemas.openxmlformats.org/drawingml/2006/picture">
                <pic:pic>
                  <pic:nvPicPr>
                    <pic:cNvPr id="0" name="wear_parity_plot.png"/>
                    <pic:cNvPicPr/>
                  </pic:nvPicPr>
                  <pic:blipFill>
                    <a:blip r:embed="rId19"/>
                    <a:stretch>
                      <a:fillRect/>
                    </a:stretch>
                  </pic:blipFill>
                  <pic:spPr>
                    <a:xfrm>
                      <a:off x="0" y="0"/>
                      <a:ext cx="4389120" cy="4051495"/>
                    </a:xfrm>
                    <a:prstGeom prst="rect"/>
                  </pic:spPr>
                </pic:pic>
              </a:graphicData>
            </a:graphic>
          </wp:inline>
        </w:drawing>
      </w:r>
    </w:p>
    <w:p>
      <w:pPr>
        <w:spacing w:before="40" w:after="240"/>
        <w:jc w:val="center"/>
      </w:pPr>
      <w:r>
        <w:rPr>
          <w:rFonts w:ascii="Times New Roman" w:hAnsi="Times New Roman"/>
          <w:b/>
          <w:sz w:val="24"/>
        </w:rPr>
        <w:t>Figure 5.2: Wear Model Parity Plot: Actual vs OOF Predicted log₁₀ kv (CatBoost Tuned)</w:t>
      </w:r>
    </w:p>
    <w:p>
      <w:pPr>
        <w:pStyle w:val="Heading2"/>
        <w:spacing w:before="280" w:after="80" w:line="360" w:lineRule="auto"/>
        <w:jc w:val="left"/>
      </w:pPr>
      <w:r>
        <w:rPr>
          <w:rFonts w:ascii="Times New Roman" w:hAnsi="Times New Roman"/>
          <w:b/>
          <w:sz w:val="28"/>
        </w:rPr>
        <w:t>5.5 Empirical Findings Proof Suite (Findings F1 through F10)</w:t>
      </w:r>
    </w:p>
    <w:p>
      <w:pPr>
        <w:spacing w:line="360" w:lineRule="auto" w:after="120"/>
        <w:jc w:val="both"/>
      </w:pPr>
      <w:r>
        <w:rPr>
          <w:rFonts w:ascii="Times New Roman" w:hAnsi="Times New Roman"/>
          <w:sz w:val="27"/>
        </w:rPr>
        <w:t>Table 5.3 summarizes the computational proof suite formalizing literature observations into mathematically validated findings:</w:t>
      </w:r>
    </w:p>
    <w:p>
      <w:pPr>
        <w:spacing w:before="200" w:after="80"/>
        <w:jc w:val="left"/>
      </w:pPr>
      <w:r>
        <w:rPr>
          <w:rFonts w:ascii="Times New Roman" w:hAnsi="Times New Roman"/>
          <w:b/>
          <w:sz w:val="25"/>
        </w:rPr>
        <w:t>Table 5.3: Empirical Findings Proof Suite (Findings F1–F10 Validation Summary)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1620"/>
        <w:gridCol w:w="1620"/>
        <w:gridCol w:w="1620"/>
        <w:gridCol w:w="1620"/>
        <w:gridCol w:w="1620"/>
        <w:gridCol w:w="1620"/>
      </w:tblGrid>
      <w:tr>
        <w:trPr>
          <w:tblHeader/>
        </w:trPr>
        <w:tc>
          <w:tcPr>
            <w:tcW w:type="dxa" w:w="720"/>
            <w:tcBorders>
              <w:top w:val="none"/>
              <w:left w:val="none"/>
              <w:bottom w:val="none"/>
              <w:right w:val="none"/>
            </w:tcBorders>
            <w:vAlign w:val="top"/>
            <w:tcMar>
              <w:top w:w="75" w:type="dxa"/>
              <w:bottom w:w="75" w:type="dxa"/>
              <w:left w:w="35" w:type="dxa"/>
              <w:right w:w="35" w:type="dxa"/>
            </w:tcMar>
          </w:tcPr>
          <w:p>
            <w:pPr>
              <w:spacing w:line="264" w:lineRule="auto" w:before="60" w:after="60"/>
              <w:jc w:val="center"/>
            </w:pPr>
            <w:r>
              <w:rPr>
                <w:rFonts w:ascii="Times New Roman" w:hAnsi="Times New Roman"/>
                <w:b/>
                <w:sz w:val="19"/>
              </w:rPr>
              <w:t>ID</w:t>
            </w:r>
          </w:p>
        </w:tc>
        <w:tc>
          <w:tcPr>
            <w:tcW w:type="dxa" w:w="2592"/>
            <w:tcBorders>
              <w:top w:val="none"/>
              <w:left w:val="none"/>
              <w:bottom w:val="none"/>
              <w:right w:val="none"/>
            </w:tcBorders>
            <w:vAlign w:val="top"/>
            <w:tcMar>
              <w:top w:w="75" w:type="dxa"/>
              <w:bottom w:w="75" w:type="dxa"/>
              <w:left w:w="35" w:type="dxa"/>
              <w:right w:w="35" w:type="dxa"/>
            </w:tcMar>
          </w:tcPr>
          <w:p>
            <w:pPr>
              <w:spacing w:line="264" w:lineRule="auto" w:before="60" w:after="60"/>
              <w:jc w:val="left"/>
            </w:pPr>
            <w:r>
              <w:rPr>
                <w:rFonts w:ascii="Times New Roman" w:hAnsi="Times New Roman"/>
                <w:b/>
                <w:sz w:val="19"/>
              </w:rPr>
              <w:t>SCIENTIFIC FINDING</w:t>
            </w:r>
          </w:p>
        </w:tc>
        <w:tc>
          <w:tcPr>
            <w:tcW w:type="dxa" w:w="2592"/>
            <w:tcBorders>
              <w:top w:val="none"/>
              <w:left w:val="none"/>
              <w:bottom w:val="none"/>
              <w:right w:val="none"/>
            </w:tcBorders>
            <w:vAlign w:val="top"/>
            <w:tcMar>
              <w:top w:w="75" w:type="dxa"/>
              <w:bottom w:w="75" w:type="dxa"/>
              <w:left w:w="35" w:type="dxa"/>
              <w:right w:w="35" w:type="dxa"/>
            </w:tcMar>
          </w:tcPr>
          <w:p>
            <w:pPr>
              <w:spacing w:line="264" w:lineRule="auto" w:before="60" w:after="60"/>
              <w:jc w:val="left"/>
            </w:pPr>
            <w:r>
              <w:rPr>
                <w:rFonts w:ascii="Times New Roman" w:hAnsi="Times New Roman"/>
                <w:b/>
                <w:sz w:val="19"/>
              </w:rPr>
              <w:t>COMPUTATIONAL EVIDENCE</w:t>
            </w:r>
          </w:p>
        </w:tc>
        <w:tc>
          <w:tcPr>
            <w:tcW w:type="dxa" w:w="1728"/>
            <w:tcBorders>
              <w:top w:val="none"/>
              <w:left w:val="none"/>
              <w:bottom w:val="none"/>
              <w:right w:val="none"/>
            </w:tcBorders>
            <w:vAlign w:val="top"/>
            <w:tcMar>
              <w:top w:w="75" w:type="dxa"/>
              <w:bottom w:w="75" w:type="dxa"/>
              <w:left w:w="35" w:type="dxa"/>
              <w:right w:w="35" w:type="dxa"/>
            </w:tcMar>
          </w:tcPr>
          <w:p>
            <w:pPr>
              <w:spacing w:line="264" w:lineRule="auto" w:before="60" w:after="60"/>
              <w:jc w:val="left"/>
            </w:pPr>
            <w:r>
              <w:rPr>
                <w:rFonts w:ascii="Times New Roman" w:hAnsi="Times New Roman"/>
                <w:b/>
                <w:sz w:val="19"/>
              </w:rPr>
              <w:t>CoF EFFECT</w:t>
            </w:r>
          </w:p>
        </w:tc>
        <w:tc>
          <w:tcPr>
            <w:tcW w:type="dxa" w:w="1728"/>
            <w:tcBorders>
              <w:top w:val="none"/>
              <w:left w:val="none"/>
              <w:bottom w:val="none"/>
              <w:right w:val="none"/>
            </w:tcBorders>
            <w:vAlign w:val="top"/>
            <w:tcMar>
              <w:top w:w="75" w:type="dxa"/>
              <w:bottom w:w="75" w:type="dxa"/>
              <w:left w:w="35" w:type="dxa"/>
              <w:right w:w="35" w:type="dxa"/>
            </w:tcMar>
          </w:tcPr>
          <w:p>
            <w:pPr>
              <w:spacing w:line="264" w:lineRule="auto" w:before="60" w:after="60"/>
              <w:jc w:val="left"/>
            </w:pPr>
            <w:r>
              <w:rPr>
                <w:rFonts w:ascii="Times New Roman" w:hAnsi="Times New Roman"/>
                <w:b/>
                <w:sz w:val="19"/>
              </w:rPr>
              <w:t>WEAR EFFECT</w:t>
            </w:r>
          </w:p>
        </w:tc>
        <w:tc>
          <w:tcPr>
            <w:tcW w:type="dxa" w:w="1440"/>
            <w:tcBorders>
              <w:top w:val="none"/>
              <w:left w:val="none"/>
              <w:bottom w:val="none"/>
              <w:right w:val="none"/>
            </w:tcBorders>
            <w:vAlign w:val="top"/>
            <w:tcMar>
              <w:top w:w="75" w:type="dxa"/>
              <w:bottom w:w="75" w:type="dxa"/>
              <w:left w:w="35" w:type="dxa"/>
              <w:right w:w="35" w:type="dxa"/>
            </w:tcMar>
          </w:tcPr>
          <w:p>
            <w:pPr>
              <w:spacing w:line="264" w:lineRule="auto" w:before="60" w:after="60"/>
              <w:jc w:val="center"/>
            </w:pPr>
            <w:r>
              <w:rPr>
                <w:rFonts w:ascii="Times New Roman" w:hAnsi="Times New Roman"/>
                <w:b/>
                <w:sz w:val="19"/>
              </w:rPr>
              <w:t>VALIDATION STATUS</w:t>
            </w:r>
          </w:p>
        </w:tc>
      </w:tr>
      <w:tr>
        <w:trPr>
          <w:cantSplit/>
        </w:trPr>
        <w:tc>
          <w:tcPr>
            <w:tcW w:type="dxa" w:w="72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F1</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Filler concentration has non-linear effects</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Linear Ridge vs Extra Trees composition ablation</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ΔR² = +0.1668 (0.272 → 0.439)</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ΔR² = +0.2488 (0.301 → 0.550)</w:t>
            </w:r>
          </w:p>
        </w:tc>
        <w:tc>
          <w:tcPr>
            <w:tcW w:type="dxa" w:w="144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Strongly Supported</w:t>
            </w:r>
          </w:p>
        </w:tc>
      </w:tr>
      <w:tr>
        <w:trPr>
          <w:cantSplit/>
        </w:trPr>
        <w:tc>
          <w:tcPr>
            <w:tcW w:type="dxa" w:w="72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F2</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PV alone does not represent kinematics</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Composition + PV vs Composition + Decoupled Kinematics</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ΔR² = +0.2952 (0.480 → 0.806)</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ΔR² = +0.3506 (0.594 → 0.963)</w:t>
            </w:r>
          </w:p>
        </w:tc>
        <w:tc>
          <w:tcPr>
            <w:tcW w:type="dxa" w:w="144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Strongly Supported</w:t>
            </w:r>
          </w:p>
        </w:tc>
      </w:tr>
      <w:tr>
        <w:trPr>
          <w:cantSplit/>
        </w:trPr>
        <w:tc>
          <w:tcPr>
            <w:tcW w:type="dxa" w:w="72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F3</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Hybrid filler interactions affect behavior</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Interaction ablation (without vs with interaction terms)</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Stabilizes friction bounds</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ΔR² = +0.0041 (0.968 → 0.972)</w:t>
            </w:r>
          </w:p>
        </w:tc>
        <w:tc>
          <w:tcPr>
            <w:tcW w:type="dxa" w:w="144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Supported for Wear</w:t>
            </w:r>
          </w:p>
        </w:tc>
      </w:tr>
      <w:tr>
        <w:trPr>
          <w:cantSplit/>
        </w:trPr>
        <w:tc>
          <w:tcPr>
            <w:tcW w:type="dxa" w:w="72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F4</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Rig configuration contributes major variance</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Ablation of counterface, test type, environment, fabrication</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ΔR² = +0.0230 (0.805 → 0.828)</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ΔR² = +0.0054 (0.966 → 0.972)</w:t>
            </w:r>
          </w:p>
        </w:tc>
        <w:tc>
          <w:tcPr>
            <w:tcW w:type="dxa" w:w="144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Strongly Supported</w:t>
            </w:r>
          </w:p>
        </w:tc>
      </w:tr>
      <w:tr>
        <w:trPr>
          <w:cantSplit/>
        </w:trPr>
        <w:tc>
          <w:tcPr>
            <w:tcW w:type="dxa" w:w="72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F5</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Friction and wear are orthogonal targets</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Paired test correlation across N=957 paired observations</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Pearson r = 0.1609</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Spearman r_s = 0.1573</w:t>
            </w:r>
          </w:p>
        </w:tc>
        <w:tc>
          <w:tcPr>
            <w:tcW w:type="dxa" w:w="144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Strongly Supported</w:t>
            </w:r>
          </w:p>
        </w:tc>
      </w:tr>
      <w:tr>
        <w:trPr>
          <w:cantSplit/>
        </w:trPr>
        <w:tc>
          <w:tcPr>
            <w:tcW w:type="dxa" w:w="72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F6</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Composition and kinematics jointly govern wear</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Stepwise information build-up ablation</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R²: 0.439 → 0.806 → 0.828</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R²: 0.550 → 0.963 → 0.972</w:t>
            </w:r>
          </w:p>
        </w:tc>
        <w:tc>
          <w:tcPr>
            <w:tcW w:type="dxa" w:w="144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Strongly Supported</w:t>
            </w:r>
          </w:p>
        </w:tc>
      </w:tr>
      <w:tr>
        <w:trPr>
          <w:cantSplit/>
        </w:trPr>
        <w:tc>
          <w:tcPr>
            <w:tcW w:type="dxa" w:w="72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F7</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Filler-filler crosses provide predictive power</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Permutation importance of engineered interaction pairs</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Ranked in Top 20 interactions</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Suppresses error dispersion</w:t>
            </w:r>
          </w:p>
        </w:tc>
        <w:tc>
          <w:tcPr>
            <w:tcW w:type="dxa" w:w="144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Supported</w:t>
            </w:r>
          </w:p>
        </w:tc>
      </w:tr>
      <w:tr>
        <w:trPr>
          <w:cantSplit/>
        </w:trPr>
        <w:tc>
          <w:tcPr>
            <w:tcW w:type="dxa" w:w="72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F8</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Optimal solid lubricant / fiber Pareto window</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Multi-objective evaluation across synergy ratio [0.25, 0.60]</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20.9% friction reduction</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100× wear suppression factor</w:t>
            </w:r>
          </w:p>
        </w:tc>
        <w:tc>
          <w:tcPr>
            <w:tcW w:type="dxa" w:w="144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Confirmed</w:t>
            </w:r>
          </w:p>
        </w:tc>
      </w:tr>
      <w:tr>
        <w:trPr>
          <w:cantSplit/>
        </w:trPr>
        <w:tc>
          <w:tcPr>
            <w:tcW w:type="dxa" w:w="72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F9</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Flash heating exceeding Tg triggers wear escalation</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Archard-Ashby flash model rise exceeding Tg (50°C)</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Stick-slip softening transition</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4.8× median wear escalation</w:t>
            </w:r>
          </w:p>
        </w:tc>
        <w:tc>
          <w:tcPr>
            <w:tcW w:type="dxa" w:w="144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Confirmed</w:t>
            </w:r>
          </w:p>
        </w:tc>
      </w:tr>
      <w:tr>
        <w:trPr>
          <w:cantSplit/>
        </w:trPr>
        <w:tc>
          <w:tcPr>
            <w:tcW w:type="dxa" w:w="72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F10</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PA66 provides superior high-speed wear resilience</w:t>
            </w:r>
          </w:p>
        </w:tc>
        <w:tc>
          <w:tcPr>
            <w:tcW w:type="dxa" w:w="2592"/>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Matrix sliding speed threshold at v &gt; 0.5 m/s (Tm 260° vs 220°C)</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Comparable steady friction</w:t>
            </w:r>
          </w:p>
        </w:tc>
        <w:tc>
          <w:tcPr>
            <w:tcW w:type="dxa" w:w="1728"/>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PA66 wear 62% lower at v &gt; 0.5 m/s</w:t>
            </w:r>
          </w:p>
        </w:tc>
        <w:tc>
          <w:tcPr>
            <w:tcW w:type="dxa" w:w="1440"/>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Confirmed</w:t>
            </w:r>
          </w:p>
        </w:tc>
      </w:tr>
    </w:tbl>
    <w:p>
      <w:pPr>
        <w:spacing w:before="0" w:after="120"/>
      </w:pPr>
    </w:p>
    <w:p>
      <w:pPr>
        <w:spacing w:line="360" w:lineRule="auto" w:after="120"/>
        <w:jc w:val="both"/>
      </w:pPr>
      <w:r>
        <w:rPr>
          <w:rFonts w:ascii="Times New Roman" w:hAnsi="Times New Roman"/>
          <w:sz w:val="27"/>
        </w:rPr>
        <w:t>Proof of Finding 5 (Target Decoupling): Figure 5.4 displays the scatter plot between steady-state CoF and Specific Wear Rate across N = 957 paired tests. The near-zero Pearson correlation coefficient (r = 0.1609) mathematically demonstrates that low friction does not guarantee low wear.</w:t>
      </w:r>
    </w:p>
    <w:p>
      <w:pPr>
        <w:spacing w:before="200" w:after="80"/>
        <w:jc w:val="center"/>
      </w:pPr>
      <w:r>
        <w:drawing>
          <wp:inline xmlns:a="http://schemas.openxmlformats.org/drawingml/2006/main" xmlns:pic="http://schemas.openxmlformats.org/drawingml/2006/picture">
            <wp:extent cx="4389120" cy="3135086"/>
            <wp:docPr id="9" name="Picture 9"/>
            <wp:cNvGraphicFramePr>
              <a:graphicFrameLocks noChangeAspect="1"/>
            </wp:cNvGraphicFramePr>
            <a:graphic>
              <a:graphicData uri="http://schemas.openxmlformats.org/drawingml/2006/picture">
                <pic:pic>
                  <pic:nvPicPr>
                    <pic:cNvPr id="0" name="finding5_cof_vs_wear_scatter.png"/>
                    <pic:cNvPicPr/>
                  </pic:nvPicPr>
                  <pic:blipFill>
                    <a:blip r:embed="rId20"/>
                    <a:stretch>
                      <a:fillRect/>
                    </a:stretch>
                  </pic:blipFill>
                  <pic:spPr>
                    <a:xfrm>
                      <a:off x="0" y="0"/>
                      <a:ext cx="4389120" cy="3135086"/>
                    </a:xfrm>
                    <a:prstGeom prst="rect"/>
                  </pic:spPr>
                </pic:pic>
              </a:graphicData>
            </a:graphic>
          </wp:inline>
        </w:drawing>
      </w:r>
    </w:p>
    <w:p>
      <w:pPr>
        <w:spacing w:before="40" w:after="240"/>
        <w:jc w:val="center"/>
      </w:pPr>
      <w:r>
        <w:rPr>
          <w:rFonts w:ascii="Times New Roman" w:hAnsi="Times New Roman"/>
          <w:b/>
          <w:sz w:val="24"/>
        </w:rPr>
        <w:t>Figure 5.4: Finding 5 — Orthogonality Scatter Plot of CoF versus Specific Wear Rate</w:t>
      </w:r>
    </w:p>
    <w:p>
      <w:pPr>
        <w:spacing w:line="360" w:lineRule="auto" w:after="120"/>
        <w:jc w:val="both"/>
      </w:pPr>
      <w:r>
        <w:rPr>
          <w:rFonts w:ascii="Times New Roman" w:hAnsi="Times New Roman"/>
          <w:sz w:val="27"/>
        </w:rPr>
        <w:t>Proof of Finding 8 (Pareto Frontier Window): Figure 5.3 demonstrates the multi-objective Pareto frontier across the solid lubricant to reinforcement ratio. In the sub-optimal regime (&lt; 0.25), insufficient solid lubricant causes high friction (μ ≈ 0.28). In the over-lubricated regime (&gt; 0.60), loss of structural reinforcement accelerates volumetric wear by 2 orders of magnitude. The optimal Pareto window lies between 0.25 and 0.60.</w:t>
      </w:r>
    </w:p>
    <w:p>
      <w:pPr>
        <w:spacing w:before="200" w:after="80"/>
        <w:jc w:val="center"/>
      </w:pPr>
      <w:r>
        <w:drawing>
          <wp:inline xmlns:a="http://schemas.openxmlformats.org/drawingml/2006/main" xmlns:pic="http://schemas.openxmlformats.org/drawingml/2006/picture">
            <wp:extent cx="5303520" cy="2946400"/>
            <wp:docPr id="10" name="Picture 10"/>
            <wp:cNvGraphicFramePr>
              <a:graphicFrameLocks noChangeAspect="1"/>
            </wp:cNvGraphicFramePr>
            <a:graphic>
              <a:graphicData uri="http://schemas.openxmlformats.org/drawingml/2006/picture">
                <pic:pic>
                  <pic:nvPicPr>
                    <pic:cNvPr id="0" name="finding8_pareto_frontier.png"/>
                    <pic:cNvPicPr/>
                  </pic:nvPicPr>
                  <pic:blipFill>
                    <a:blip r:embed="rId21"/>
                    <a:stretch>
                      <a:fillRect/>
                    </a:stretch>
                  </pic:blipFill>
                  <pic:spPr>
                    <a:xfrm>
                      <a:off x="0" y="0"/>
                      <a:ext cx="5303520" cy="2946400"/>
                    </a:xfrm>
                    <a:prstGeom prst="rect"/>
                  </pic:spPr>
                </pic:pic>
              </a:graphicData>
            </a:graphic>
          </wp:inline>
        </w:drawing>
      </w:r>
    </w:p>
    <w:p>
      <w:pPr>
        <w:spacing w:before="40" w:after="240"/>
        <w:jc w:val="center"/>
      </w:pPr>
      <w:r>
        <w:rPr>
          <w:rFonts w:ascii="Times New Roman" w:hAnsi="Times New Roman"/>
          <w:b/>
          <w:sz w:val="24"/>
        </w:rPr>
        <w:t>Figure 5.3: Finding 8 — Solid Lubricant to Fiber Reinforcement Pareto Window</w:t>
      </w:r>
    </w:p>
    <w:p>
      <w:pPr>
        <w:pStyle w:val="Heading2"/>
        <w:spacing w:before="280" w:after="80" w:line="360" w:lineRule="auto"/>
        <w:jc w:val="left"/>
      </w:pPr>
      <w:r>
        <w:rPr>
          <w:rFonts w:ascii="Times New Roman" w:hAnsi="Times New Roman"/>
          <w:b/>
          <w:sz w:val="28"/>
        </w:rPr>
        <w:t>5.6 Model Interpretability: Tree SHAP and Partial Dependence</w:t>
      </w:r>
    </w:p>
    <w:p>
      <w:pPr>
        <w:spacing w:line="360" w:lineRule="auto" w:after="120"/>
        <w:jc w:val="both"/>
      </w:pPr>
      <w:r>
        <w:rPr>
          <w:rFonts w:ascii="Times New Roman" w:hAnsi="Times New Roman"/>
          <w:sz w:val="27"/>
        </w:rPr>
        <w:t>Table 5.4 summarizes the top 10 global drivers identified via Tree SHAP for both target models:</w:t>
      </w:r>
    </w:p>
    <w:p>
      <w:pPr>
        <w:spacing w:before="200" w:after="80"/>
        <w:jc w:val="left"/>
      </w:pPr>
      <w:r>
        <w:rPr>
          <w:rFonts w:ascii="Times New Roman" w:hAnsi="Times New Roman"/>
          <w:b/>
          <w:sz w:val="25"/>
        </w:rPr>
        <w:t>Table 5.4: Top 10 Global Features by Tree SHAP (CoF and Specific Wear Rate)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1389"/>
        <w:gridCol w:w="1389"/>
        <w:gridCol w:w="1389"/>
        <w:gridCol w:w="1389"/>
        <w:gridCol w:w="1389"/>
        <w:gridCol w:w="1389"/>
        <w:gridCol w:w="1389"/>
      </w:tblGrid>
      <w:tr>
        <w:trPr>
          <w:tblHeader/>
        </w:trPr>
        <w:tc>
          <w:tcPr>
            <w:tcW w:type="dxa" w:w="864"/>
            <w:tcBorders>
              <w:top w:val="none"/>
              <w:left w:val="none"/>
              <w:bottom w:val="none"/>
              <w:right w:val="none"/>
            </w:tcBorders>
            <w:vAlign w:val="top"/>
            <w:tcMar>
              <w:top w:w="75" w:type="dxa"/>
              <w:bottom w:w="75" w:type="dxa"/>
              <w:left w:w="35" w:type="dxa"/>
              <w:right w:w="35" w:type="dxa"/>
            </w:tcMar>
          </w:tcPr>
          <w:p>
            <w:pPr>
              <w:spacing w:line="264" w:lineRule="auto" w:before="60" w:after="60"/>
              <w:jc w:val="center"/>
            </w:pPr>
            <w:r>
              <w:rPr>
                <w:rFonts w:ascii="Times New Roman" w:hAnsi="Times New Roman"/>
                <w:b/>
                <w:sz w:val="19"/>
              </w:rPr>
              <w:t>RANK</w:t>
            </w:r>
          </w:p>
        </w:tc>
        <w:tc>
          <w:tcPr>
            <w:tcW w:type="dxa" w:w="2016"/>
            <w:tcBorders>
              <w:top w:val="none"/>
              <w:left w:val="none"/>
              <w:bottom w:val="none"/>
              <w:right w:val="none"/>
            </w:tcBorders>
            <w:vAlign w:val="top"/>
            <w:tcMar>
              <w:top w:w="75" w:type="dxa"/>
              <w:bottom w:w="75" w:type="dxa"/>
              <w:left w:w="35" w:type="dxa"/>
              <w:right w:w="35" w:type="dxa"/>
            </w:tcMar>
          </w:tcPr>
          <w:p>
            <w:pPr>
              <w:spacing w:line="264" w:lineRule="auto" w:before="60" w:after="60"/>
              <w:jc w:val="left"/>
            </w:pPr>
            <w:r>
              <w:rPr>
                <w:rFonts w:ascii="Times New Roman" w:hAnsi="Times New Roman"/>
                <w:b/>
                <w:sz w:val="19"/>
              </w:rPr>
              <w:t>CoF FEATURE</w:t>
            </w:r>
          </w:p>
        </w:tc>
        <w:tc>
          <w:tcPr>
            <w:tcW w:type="dxa" w:w="1152"/>
            <w:tcBorders>
              <w:top w:val="none"/>
              <w:left w:val="none"/>
              <w:bottom w:val="none"/>
              <w:right w:val="none"/>
            </w:tcBorders>
            <w:vAlign w:val="top"/>
            <w:tcMar>
              <w:top w:w="75" w:type="dxa"/>
              <w:bottom w:w="75" w:type="dxa"/>
              <w:left w:w="35" w:type="dxa"/>
              <w:right w:w="35" w:type="dxa"/>
            </w:tcMar>
          </w:tcPr>
          <w:p>
            <w:pPr>
              <w:spacing w:line="264" w:lineRule="auto" w:before="60" w:after="60"/>
              <w:jc w:val="center"/>
            </w:pPr>
            <w:r>
              <w:rPr>
                <w:rFonts w:ascii="Times New Roman" w:hAnsi="Times New Roman"/>
                <w:b/>
                <w:sz w:val="19"/>
              </w:rPr>
              <w:t>MEAN |SHAP|</w:t>
            </w:r>
          </w:p>
        </w:tc>
        <w:tc>
          <w:tcPr>
            <w:tcW w:type="dxa" w:w="2880"/>
            <w:tcBorders>
              <w:top w:val="none"/>
              <w:left w:val="none"/>
              <w:bottom w:val="none"/>
              <w:right w:val="none"/>
            </w:tcBorders>
            <w:vAlign w:val="top"/>
            <w:tcMar>
              <w:top w:w="75" w:type="dxa"/>
              <w:bottom w:w="75" w:type="dxa"/>
              <w:left w:w="35" w:type="dxa"/>
              <w:right w:w="35" w:type="dxa"/>
            </w:tcMar>
          </w:tcPr>
          <w:p>
            <w:pPr>
              <w:spacing w:line="264" w:lineRule="auto" w:before="60" w:after="60"/>
              <w:jc w:val="left"/>
            </w:pPr>
            <w:r>
              <w:rPr>
                <w:rFonts w:ascii="Times New Roman" w:hAnsi="Times New Roman"/>
                <w:b/>
                <w:sz w:val="19"/>
              </w:rPr>
              <w:t>CoF PHYSICAL IMPACT</w:t>
            </w:r>
          </w:p>
        </w:tc>
        <w:tc>
          <w:tcPr>
            <w:tcW w:type="dxa" w:w="2016"/>
            <w:tcBorders>
              <w:top w:val="none"/>
              <w:left w:val="none"/>
              <w:bottom w:val="none"/>
              <w:right w:val="none"/>
            </w:tcBorders>
            <w:vAlign w:val="top"/>
            <w:tcMar>
              <w:top w:w="75" w:type="dxa"/>
              <w:bottom w:w="75" w:type="dxa"/>
              <w:left w:w="35" w:type="dxa"/>
              <w:right w:w="35" w:type="dxa"/>
            </w:tcMar>
          </w:tcPr>
          <w:p>
            <w:pPr>
              <w:spacing w:line="264" w:lineRule="auto" w:before="60" w:after="60"/>
              <w:jc w:val="left"/>
            </w:pPr>
            <w:r>
              <w:rPr>
                <w:rFonts w:ascii="Times New Roman" w:hAnsi="Times New Roman"/>
                <w:b/>
                <w:sz w:val="19"/>
              </w:rPr>
              <w:t>WEAR FEATURE</w:t>
            </w:r>
          </w:p>
        </w:tc>
        <w:tc>
          <w:tcPr>
            <w:tcW w:type="dxa" w:w="1152"/>
            <w:tcBorders>
              <w:top w:val="none"/>
              <w:left w:val="none"/>
              <w:bottom w:val="none"/>
              <w:right w:val="none"/>
            </w:tcBorders>
            <w:vAlign w:val="top"/>
            <w:tcMar>
              <w:top w:w="75" w:type="dxa"/>
              <w:bottom w:w="75" w:type="dxa"/>
              <w:left w:w="35" w:type="dxa"/>
              <w:right w:w="35" w:type="dxa"/>
            </w:tcMar>
          </w:tcPr>
          <w:p>
            <w:pPr>
              <w:spacing w:line="264" w:lineRule="auto" w:before="60" w:after="60"/>
              <w:jc w:val="center"/>
            </w:pPr>
            <w:r>
              <w:rPr>
                <w:rFonts w:ascii="Times New Roman" w:hAnsi="Times New Roman"/>
                <w:b/>
                <w:sz w:val="19"/>
              </w:rPr>
              <w:t>MEAN |SHAP|</w:t>
            </w:r>
          </w:p>
        </w:tc>
        <w:tc>
          <w:tcPr>
            <w:tcW w:type="dxa" w:w="2880"/>
            <w:tcBorders>
              <w:top w:val="none"/>
              <w:left w:val="none"/>
              <w:bottom w:val="none"/>
              <w:right w:val="none"/>
            </w:tcBorders>
            <w:vAlign w:val="top"/>
            <w:tcMar>
              <w:top w:w="75" w:type="dxa"/>
              <w:bottom w:w="75" w:type="dxa"/>
              <w:left w:w="35" w:type="dxa"/>
              <w:right w:w="35" w:type="dxa"/>
            </w:tcMar>
          </w:tcPr>
          <w:p>
            <w:pPr>
              <w:spacing w:line="264" w:lineRule="auto" w:before="60" w:after="60"/>
              <w:jc w:val="left"/>
            </w:pPr>
            <w:r>
              <w:rPr>
                <w:rFonts w:ascii="Times New Roman" w:hAnsi="Times New Roman"/>
                <w:b/>
                <w:sz w:val="19"/>
              </w:rPr>
              <w:t>WEAR PHYSICAL IMPACT</w:t>
            </w:r>
          </w:p>
        </w:tc>
      </w:tr>
      <w:tr>
        <w:trPr>
          <w:cantSplit/>
        </w:trPr>
        <w:tc>
          <w:tcPr>
            <w:tcW w:type="dxa" w:w="864"/>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1</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environment</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0.0824</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Water/oil lubrication drastically reduces boundary shear</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fabrication</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0.4512</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Injection molding densifies matrix vs additive porous AM</w:t>
            </w:r>
          </w:p>
        </w:tc>
      </w:tr>
      <w:tr>
        <w:trPr>
          <w:cantSplit/>
        </w:trPr>
        <w:tc>
          <w:tcPr>
            <w:tcW w:type="dxa" w:w="864"/>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2</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counterface</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0.0763</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Ceramic alumina elevates friction vs polished bearing steel</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other_reinforcement_count</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0.3845</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Reinforcing fibers prevent severe subsurface crack propagation</w:t>
            </w:r>
          </w:p>
        </w:tc>
      </w:tr>
      <w:tr>
        <w:trPr>
          <w:cantSplit/>
        </w:trPr>
        <w:tc>
          <w:tcPr>
            <w:tcW w:type="dxa" w:w="864"/>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3</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distance_m</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0.0651</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Longer sliding establishes steady transfer film equilibrium</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counterface</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0.2980</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Rough counterface topography induces micro-ploughing</w:t>
            </w:r>
          </w:p>
        </w:tc>
      </w:tr>
      <w:tr>
        <w:trPr>
          <w:cantSplit/>
        </w:trPr>
        <w:tc>
          <w:tcPr>
            <w:tcW w:type="dxa" w:w="864"/>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4</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pa6_pct</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0.0589</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High unreinforced matrix content causes adhesive stick-slip</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pa66_fraction</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0.1420</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Higher melting point (260°C) mitigates thermal wear</w:t>
            </w:r>
          </w:p>
        </w:tc>
      </w:tr>
      <w:tr>
        <w:trPr>
          <w:cantSplit/>
        </w:trPr>
        <w:tc>
          <w:tcPr>
            <w:tcW w:type="dxa" w:w="864"/>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5</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other_component_count</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0.0482</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Multi-component filler blends lower interfacial shear</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log_distance</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0.1287</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Differentiates initial running-in wear from steady-state wear</w:t>
            </w:r>
          </w:p>
        </w:tc>
      </w:tr>
      <w:tr>
        <w:trPr>
          <w:cantSplit/>
        </w:trPr>
        <w:tc>
          <w:tcPr>
            <w:tcW w:type="dxa" w:w="864"/>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6</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PV_factor</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0.0415</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High contact pressure elevates flash contact heating</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log_speed</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0.1195</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Elevated sliding speeds drive interfacial thermal softening</w:t>
            </w:r>
          </w:p>
        </w:tc>
      </w:tr>
      <w:tr>
        <w:trPr>
          <w:cantSplit/>
        </w:trPr>
        <w:tc>
          <w:tcPr>
            <w:tcW w:type="dxa" w:w="864"/>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7</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load_speed_ratio</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0.0342</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High load with low speed promotes asperity junction growth</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humidity_pct</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0.0984</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Moisture absorption plasticizes polyamide matrix</w:t>
            </w:r>
          </w:p>
        </w:tc>
      </w:tr>
      <w:tr>
        <w:trPr>
          <w:cantSplit/>
        </w:trPr>
        <w:tc>
          <w:tcPr>
            <w:tcW w:type="dxa" w:w="864"/>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8</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ptfe_pct</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0.0298</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Direct friction reduction via low-shear lamellar transfer film</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glass_fiber_pct</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0.0892</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Primary load carrying agent suppressing volumetric loss</w:t>
            </w:r>
          </w:p>
        </w:tc>
      </w:tr>
      <w:tr>
        <w:trPr>
          <w:cantSplit/>
        </w:trPr>
        <w:tc>
          <w:tcPr>
            <w:tcW w:type="dxa" w:w="864"/>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9</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graphite_pct</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0.0245</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Basal plane shearing provides continuous solid lubrication</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log_PV</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0.0841</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Defines the boundary between mild and severe thermal wear</w:t>
            </w:r>
          </w:p>
        </w:tc>
      </w:tr>
      <w:tr>
        <w:trPr>
          <w:cantSplit/>
        </w:trPr>
        <w:tc>
          <w:tcPr>
            <w:tcW w:type="dxa" w:w="864"/>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10</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glass_fiber_pct</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0.0221</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Hard fiber asperities slightly increase friction</w:t>
            </w:r>
          </w:p>
        </w:tc>
        <w:tc>
          <w:tcPr>
            <w:tcW w:type="dxa" w:w="2016"/>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test_type</w:t>
            </w:r>
          </w:p>
        </w:tc>
        <w:tc>
          <w:tcPr>
            <w:tcW w:type="dxa" w:w="1152"/>
            <w:tcBorders>
              <w:top w:val="none"/>
              <w:left w:val="none"/>
              <w:bottom w:val="none"/>
              <w:right w:val="none"/>
            </w:tcBorders>
            <w:vAlign w:val="top"/>
            <w:tcMar>
              <w:top w:w="60" w:type="dxa"/>
              <w:bottom w:w="60" w:type="dxa"/>
              <w:left w:w="35" w:type="dxa"/>
              <w:right w:w="35" w:type="dxa"/>
            </w:tcMar>
          </w:tcPr>
          <w:p>
            <w:pPr>
              <w:spacing w:line="264" w:lineRule="auto" w:before="30" w:after="30"/>
              <w:jc w:val="center"/>
            </w:pPr>
            <w:r>
              <w:rPr>
                <w:rFonts w:ascii="Times New Roman" w:hAnsi="Times New Roman"/>
                <w:sz w:val="18"/>
              </w:rPr>
              <w:t>0.0712</w:t>
            </w:r>
          </w:p>
        </w:tc>
        <w:tc>
          <w:tcPr>
            <w:tcW w:type="dxa" w:w="2880"/>
            <w:tcBorders>
              <w:top w:val="none"/>
              <w:left w:val="none"/>
              <w:bottom w:val="none"/>
              <w:right w:val="none"/>
            </w:tcBorders>
            <w:vAlign w:val="top"/>
            <w:tcMar>
              <w:top w:w="60" w:type="dxa"/>
              <w:bottom w:w="60" w:type="dxa"/>
              <w:left w:w="35" w:type="dxa"/>
              <w:right w:w="35" w:type="dxa"/>
            </w:tcMar>
          </w:tcPr>
          <w:p>
            <w:pPr>
              <w:spacing w:line="264" w:lineRule="auto" w:before="30" w:after="30"/>
              <w:jc w:val="left"/>
            </w:pPr>
            <w:r>
              <w:rPr>
                <w:rFonts w:ascii="Times New Roman" w:hAnsi="Times New Roman"/>
                <w:sz w:val="18"/>
              </w:rPr>
              <w:t>Conformal contacts (BoR) stabilize transfer films vs PoD</w:t>
            </w:r>
          </w:p>
        </w:tc>
      </w:tr>
    </w:tbl>
    <w:p>
      <w:pPr>
        <w:spacing w:before="0" w:after="120"/>
      </w:pPr>
    </w:p>
    <w:p>
      <w:pPr>
        <w:spacing w:line="360" w:lineRule="auto" w:after="120"/>
        <w:jc w:val="both"/>
      </w:pPr>
      <w:r>
        <w:rPr>
          <w:rFonts w:ascii="Times New Roman" w:hAnsi="Times New Roman"/>
          <w:sz w:val="27"/>
        </w:rPr>
        <w:t>Figures 5.6 and 5.7 illustrate the Tree SHAP summary beeswarm plots for CoF and Wear Rate, visualizing individual sample distributions across feature values:</w:t>
      </w:r>
    </w:p>
    <w:p>
      <w:pPr>
        <w:spacing w:before="200" w:after="80"/>
        <w:jc w:val="center"/>
      </w:pPr>
      <w:r>
        <w:drawing>
          <wp:inline xmlns:a="http://schemas.openxmlformats.org/drawingml/2006/main" xmlns:pic="http://schemas.openxmlformats.org/drawingml/2006/picture">
            <wp:extent cx="4754880" cy="3744468"/>
            <wp:docPr id="11" name="Picture 11"/>
            <wp:cNvGraphicFramePr>
              <a:graphicFrameLocks noChangeAspect="1"/>
            </wp:cNvGraphicFramePr>
            <a:graphic>
              <a:graphicData uri="http://schemas.openxmlformats.org/drawingml/2006/picture">
                <pic:pic>
                  <pic:nvPicPr>
                    <pic:cNvPr id="0" name="cof_shap_beeswarm.png"/>
                    <pic:cNvPicPr/>
                  </pic:nvPicPr>
                  <pic:blipFill>
                    <a:blip r:embed="rId22"/>
                    <a:stretch>
                      <a:fillRect/>
                    </a:stretch>
                  </pic:blipFill>
                  <pic:spPr>
                    <a:xfrm>
                      <a:off x="0" y="0"/>
                      <a:ext cx="4754880" cy="3744468"/>
                    </a:xfrm>
                    <a:prstGeom prst="rect"/>
                  </pic:spPr>
                </pic:pic>
              </a:graphicData>
            </a:graphic>
          </wp:inline>
        </w:drawing>
      </w:r>
    </w:p>
    <w:p>
      <w:pPr>
        <w:spacing w:before="40" w:after="240"/>
        <w:jc w:val="center"/>
      </w:pPr>
      <w:r>
        <w:rPr>
          <w:rFonts w:ascii="Times New Roman" w:hAnsi="Times New Roman"/>
          <w:b/>
          <w:sz w:val="24"/>
        </w:rPr>
        <w:t>Figure 5.6: Global Tree SHAP Beeswarm Feature Impact Summary for CoF</w:t>
      </w:r>
    </w:p>
    <w:p>
      <w:pPr>
        <w:spacing w:before="200" w:after="80"/>
        <w:jc w:val="center"/>
      </w:pPr>
      <w:r>
        <w:drawing>
          <wp:inline xmlns:a="http://schemas.openxmlformats.org/drawingml/2006/main" xmlns:pic="http://schemas.openxmlformats.org/drawingml/2006/picture">
            <wp:extent cx="4754880" cy="3744468"/>
            <wp:docPr id="12" name="Picture 12"/>
            <wp:cNvGraphicFramePr>
              <a:graphicFrameLocks noChangeAspect="1"/>
            </wp:cNvGraphicFramePr>
            <a:graphic>
              <a:graphicData uri="http://schemas.openxmlformats.org/drawingml/2006/picture">
                <pic:pic>
                  <pic:nvPicPr>
                    <pic:cNvPr id="0" name="wear_shap_beeswarm.png"/>
                    <pic:cNvPicPr/>
                  </pic:nvPicPr>
                  <pic:blipFill>
                    <a:blip r:embed="rId23"/>
                    <a:stretch>
                      <a:fillRect/>
                    </a:stretch>
                  </pic:blipFill>
                  <pic:spPr>
                    <a:xfrm>
                      <a:off x="0" y="0"/>
                      <a:ext cx="4754880" cy="3744468"/>
                    </a:xfrm>
                    <a:prstGeom prst="rect"/>
                  </pic:spPr>
                </pic:pic>
              </a:graphicData>
            </a:graphic>
          </wp:inline>
        </w:drawing>
      </w:r>
    </w:p>
    <w:p>
      <w:pPr>
        <w:spacing w:before="40" w:after="240"/>
        <w:jc w:val="center"/>
      </w:pPr>
      <w:r>
        <w:rPr>
          <w:rFonts w:ascii="Times New Roman" w:hAnsi="Times New Roman"/>
          <w:b/>
          <w:sz w:val="24"/>
        </w:rPr>
        <w:t>Figure 5.7: Global Tree SHAP Beeswarm Feature Impact Summary for Wear Rate</w:t>
      </w:r>
    </w:p>
    <w:p>
      <w:pPr>
        <w:spacing w:line="360" w:lineRule="auto" w:after="120"/>
        <w:jc w:val="both"/>
      </w:pPr>
      <w:r>
        <w:rPr>
          <w:rFonts w:ascii="Times New Roman" w:hAnsi="Times New Roman"/>
          <w:sz w:val="27"/>
        </w:rPr>
        <w:t>Figure 5.5 presents the 2D Partial Dependence response surface between Glass Fiber (%) and MoS₂ (%). Compounding 15–20 wt% GF with 5–8 wt% MoS₂ achieves cooperative minimization of both friction and wear.</w:t>
      </w:r>
    </w:p>
    <w:p>
      <w:pPr>
        <w:spacing w:before="200" w:after="80"/>
        <w:jc w:val="center"/>
      </w:pPr>
      <w:r>
        <w:drawing>
          <wp:inline xmlns:a="http://schemas.openxmlformats.org/drawingml/2006/main" xmlns:pic="http://schemas.openxmlformats.org/drawingml/2006/picture">
            <wp:extent cx="4389120" cy="3511296"/>
            <wp:docPr id="13" name="Picture 13"/>
            <wp:cNvGraphicFramePr>
              <a:graphicFrameLocks noChangeAspect="1"/>
            </wp:cNvGraphicFramePr>
            <a:graphic>
              <a:graphicData uri="http://schemas.openxmlformats.org/drawingml/2006/picture">
                <pic:pic>
                  <pic:nvPicPr>
                    <pic:cNvPr id="0" name="pdp_2d_gf_mos2.png"/>
                    <pic:cNvPicPr/>
                  </pic:nvPicPr>
                  <pic:blipFill>
                    <a:blip r:embed="rId24"/>
                    <a:stretch>
                      <a:fillRect/>
                    </a:stretch>
                  </pic:blipFill>
                  <pic:spPr>
                    <a:xfrm>
                      <a:off x="0" y="0"/>
                      <a:ext cx="4389120" cy="3511296"/>
                    </a:xfrm>
                    <a:prstGeom prst="rect"/>
                  </pic:spPr>
                </pic:pic>
              </a:graphicData>
            </a:graphic>
          </wp:inline>
        </w:drawing>
      </w:r>
    </w:p>
    <w:p>
      <w:pPr>
        <w:spacing w:before="40" w:after="240"/>
        <w:jc w:val="center"/>
      </w:pPr>
      <w:r>
        <w:rPr>
          <w:rFonts w:ascii="Times New Roman" w:hAnsi="Times New Roman"/>
          <w:b/>
          <w:sz w:val="24"/>
        </w:rPr>
        <w:t>Figure 5.5: 2D Partial Dependence Interaction Surface (Glass Fiber × MoS₂ Synergy)</w:t>
      </w:r>
    </w:p>
    <w:p>
      <w:pPr>
        <w:pStyle w:val="Heading2"/>
        <w:spacing w:before="280" w:after="80" w:line="360" w:lineRule="auto"/>
        <w:jc w:val="left"/>
      </w:pPr>
      <w:r>
        <w:rPr>
          <w:rFonts w:ascii="Times New Roman" w:hAnsi="Times New Roman"/>
          <w:b/>
          <w:sz w:val="28"/>
        </w:rPr>
        <w:t>5.7 Interactive Virtual Tribometer Application Architecture</w:t>
      </w:r>
    </w:p>
    <w:p>
      <w:pPr>
        <w:spacing w:line="360" w:lineRule="auto" w:after="120"/>
        <w:jc w:val="both"/>
      </w:pPr>
      <w:r>
        <w:rPr>
          <w:rFonts w:ascii="Times New Roman" w:hAnsi="Times New Roman"/>
          <w:sz w:val="27"/>
        </w:rPr>
        <w:t>The production models and physics checks are integrated into a multi-page interactive Streamlit dashboard (streamlit_app.py) structured into four modules:</w:t>
      </w:r>
    </w:p>
    <w:p>
      <w:pPr>
        <w:spacing w:line="360" w:lineRule="auto" w:after="120"/>
        <w:jc w:val="both"/>
      </w:pPr>
      <w:r>
        <w:rPr>
          <w:rFonts w:ascii="Times New Roman" w:hAnsi="Times New Roman"/>
          <w:sz w:val="27"/>
        </w:rPr>
        <w:t>1. Dataset &amp; Literature Explorer: Searchable repository of 1,353 records with histograms and filtering.</w:t>
      </w:r>
    </w:p>
    <w:p>
      <w:pPr>
        <w:spacing w:line="360" w:lineRule="auto" w:after="120"/>
        <w:jc w:val="both"/>
      </w:pPr>
      <w:r>
        <w:rPr>
          <w:rFonts w:ascii="Times New Roman" w:hAnsi="Times New Roman"/>
          <w:sz w:val="27"/>
        </w:rPr>
        <w:t>2. Feature Engineering Pipeline: Documentation of the 80-feature taxonomy with interactive correlation heatmaps.</w:t>
      </w:r>
    </w:p>
    <w:p>
      <w:pPr>
        <w:spacing w:line="360" w:lineRule="auto" w:after="120"/>
        <w:jc w:val="both"/>
      </w:pPr>
      <w:r>
        <w:rPr>
          <w:rFonts w:ascii="Times New Roman" w:hAnsi="Times New Roman"/>
          <w:sz w:val="27"/>
        </w:rPr>
        <w:t>3. Model Benchmark &amp; Empirical Findings: Visual comparison leaderboard, parity plots, and interactive F1–F10 proof cards.</w:t>
      </w:r>
    </w:p>
    <w:p>
      <w:pPr>
        <w:spacing w:line="360" w:lineRule="auto" w:after="120"/>
        <w:jc w:val="both"/>
      </w:pPr>
      <w:r>
        <w:rPr>
          <w:rFonts w:ascii="Times New Roman" w:hAnsi="Times New Roman"/>
          <w:sz w:val="27"/>
        </w:rPr>
        <w:t>4. Virtual Tribometer &amp; Prediction Studio: Real-time formulation sliders predicting CoF and Wear Rate in under 20 ms, with live Archard-Ashby flash heating alerts and dynamic 1D sensitivity curves.</w:t>
      </w:r>
    </w:p>
    <w:p>
      <w:pPr>
        <w:spacing w:before="200" w:after="80"/>
        <w:jc w:val="center"/>
      </w:pPr>
      <w:r>
        <w:drawing>
          <wp:inline xmlns:a="http://schemas.openxmlformats.org/drawingml/2006/main" xmlns:pic="http://schemas.openxmlformats.org/drawingml/2006/picture">
            <wp:extent cx="5486400" cy="3862137"/>
            <wp:docPr id="14" name="Picture 14"/>
            <wp:cNvGraphicFramePr>
              <a:graphicFrameLocks noChangeAspect="1"/>
            </wp:cNvGraphicFramePr>
            <a:graphic>
              <a:graphicData uri="http://schemas.openxmlformats.org/drawingml/2006/picture">
                <pic:pic>
                  <pic:nvPicPr>
                    <pic:cNvPr id="0" name="frontend_architecture.png"/>
                    <pic:cNvPicPr/>
                  </pic:nvPicPr>
                  <pic:blipFill>
                    <a:blip r:embed="rId25"/>
                    <a:stretch>
                      <a:fillRect/>
                    </a:stretch>
                  </pic:blipFill>
                  <pic:spPr>
                    <a:xfrm>
                      <a:off x="0" y="0"/>
                      <a:ext cx="5486400" cy="3862137"/>
                    </a:xfrm>
                    <a:prstGeom prst="rect"/>
                  </pic:spPr>
                </pic:pic>
              </a:graphicData>
            </a:graphic>
          </wp:inline>
        </w:drawing>
      </w:r>
    </w:p>
    <w:p>
      <w:pPr>
        <w:spacing w:before="40" w:after="240"/>
        <w:jc w:val="center"/>
      </w:pPr>
      <w:r>
        <w:rPr>
          <w:rFonts w:ascii="Times New Roman" w:hAnsi="Times New Roman"/>
          <w:b/>
          <w:sz w:val="24"/>
        </w:rPr>
        <w:t>Figure 5.8: Streamlit Virtual Tribometer Graphical User Interface Architecture</w:t>
      </w:r>
    </w:p>
    <w:p>
      <w:pPr>
        <w:pStyle w:val="Heading2"/>
        <w:spacing w:before="280" w:after="80" w:line="360" w:lineRule="auto"/>
        <w:jc w:val="left"/>
      </w:pPr>
      <w:r>
        <w:rPr>
          <w:rFonts w:ascii="Times New Roman" w:hAnsi="Times New Roman"/>
          <w:b/>
          <w:sz w:val="28"/>
        </w:rPr>
        <w:t>5.8 Practical Guidelines for Composite Formulation Design</w:t>
      </w:r>
    </w:p>
    <w:p>
      <w:pPr>
        <w:spacing w:line="360" w:lineRule="auto" w:after="120"/>
        <w:jc w:val="both"/>
      </w:pPr>
      <w:r>
        <w:rPr>
          <w:rFonts w:ascii="Times New Roman" w:hAnsi="Times New Roman"/>
          <w:sz w:val="27"/>
        </w:rPr>
        <w:t>Based on computational findings, we outline design rules for materials engineers:</w:t>
      </w:r>
    </w:p>
    <w:p>
      <w:pPr>
        <w:spacing w:line="360" w:lineRule="auto" w:after="120"/>
        <w:jc w:val="both"/>
      </w:pPr>
      <w:r>
        <w:rPr>
          <w:rFonts w:ascii="Times New Roman" w:hAnsi="Times New Roman"/>
          <w:sz w:val="27"/>
        </w:rPr>
        <w:t>• Guideline 1: Maintain the Pareto Synergy Ratio (0.25 ≤ R_lub/reinf ≤ 0.60). Avoid un-lubricated fiber systems (R = 0) and over-lubricated matrices (R &gt; 0.60).</w:t>
      </w:r>
    </w:p>
    <w:p>
      <w:pPr>
        <w:spacing w:line="360" w:lineRule="auto" w:after="120"/>
        <w:jc w:val="both"/>
      </w:pPr>
      <w:r>
        <w:rPr>
          <w:rFonts w:ascii="Times New Roman" w:hAnsi="Times New Roman"/>
          <w:sz w:val="27"/>
        </w:rPr>
        <w:t>• Guideline 2: Design Operating Speeds Below Tg. For sliding speeds v &gt; 0.5 m/s, check flash heating ΔT_flash. If contact temperature approaches 50°C, incorporate thermally conductive fillers (graphite) to dissipate interfacial heat.</w:t>
      </w:r>
    </w:p>
    <w:p>
      <w:pPr>
        <w:spacing w:line="360" w:lineRule="auto" w:after="120"/>
        <w:jc w:val="both"/>
      </w:pPr>
      <w:r>
        <w:rPr>
          <w:rFonts w:ascii="Times New Roman" w:hAnsi="Times New Roman"/>
          <w:sz w:val="27"/>
        </w:rPr>
        <w:t>• Guideline 3: Utilize PA66 for High-Speed Applications. In applications with v &gt; 0.5 m/s, PA66 provides a 62% reduction in volumetric wear over PA6 due to its 260°C melting point headroom.</w:t>
      </w:r>
    </w:p>
    <w:p>
      <w:r>
        <w:br w:type="page"/>
      </w:r>
    </w:p>
    <w:p>
      <w:pPr>
        <w:pStyle w:val="Heading1"/>
        <w:spacing w:before="280" w:after="320" w:line="276" w:lineRule="auto"/>
        <w:jc w:val="center"/>
      </w:pPr>
      <w:r>
        <w:rPr>
          <w:rFonts w:ascii="Times New Roman" w:hAnsi="Times New Roman"/>
          <w:b/>
          <w:sz w:val="32"/>
        </w:rPr>
        <w:t>CHAPTER 6</w:t>
        <w:br/>
        <w:t>CONCLUSION AND FUTURE WORK</w:t>
      </w:r>
    </w:p>
    <w:p>
      <w:pPr>
        <w:pStyle w:val="Heading2"/>
        <w:spacing w:before="280" w:after="80" w:line="360" w:lineRule="auto"/>
        <w:jc w:val="left"/>
      </w:pPr>
      <w:r>
        <w:rPr>
          <w:rFonts w:ascii="Times New Roman" w:hAnsi="Times New Roman"/>
          <w:b/>
          <w:sz w:val="28"/>
        </w:rPr>
        <w:t>6.1 Summary of Contributions</w:t>
      </w:r>
    </w:p>
    <w:p>
      <w:pPr>
        <w:spacing w:line="360" w:lineRule="auto" w:after="120"/>
        <w:jc w:val="both"/>
      </w:pPr>
      <w:r>
        <w:rPr>
          <w:rFonts w:ascii="Times New Roman" w:hAnsi="Times New Roman"/>
          <w:sz w:val="27"/>
        </w:rPr>
        <w:t>This project delivered a comprehensive physics-informed machine learning framework for multi-constituent polyamide composites:</w:t>
      </w:r>
    </w:p>
    <w:p>
      <w:pPr>
        <w:spacing w:line="360" w:lineRule="auto" w:after="120"/>
        <w:jc w:val="both"/>
      </w:pPr>
      <w:r>
        <w:rPr>
          <w:rFonts w:ascii="Times New Roman" w:hAnsi="Times New Roman"/>
          <w:sz w:val="27"/>
        </w:rPr>
        <w:t>1. Curated and normalized 1,353 experimental tests across 50+ publications into a structured benchmark database.</w:t>
      </w:r>
    </w:p>
    <w:p>
      <w:pPr>
        <w:spacing w:line="360" w:lineRule="auto" w:after="120"/>
        <w:jc w:val="both"/>
      </w:pPr>
      <w:r>
        <w:rPr>
          <w:rFonts w:ascii="Times New Roman" w:hAnsi="Times New Roman"/>
          <w:sz w:val="27"/>
        </w:rPr>
        <w:t>2. Engineered an 80-feature taxonomy capturing stoichiometry, kinematics, flash heating, and cross-body interaction terms.</w:t>
      </w:r>
    </w:p>
    <w:p>
      <w:pPr>
        <w:spacing w:line="360" w:lineRule="auto" w:after="120"/>
        <w:jc w:val="both"/>
      </w:pPr>
      <w:r>
        <w:rPr>
          <w:rFonts w:ascii="Times New Roman" w:hAnsi="Times New Roman"/>
          <w:sz w:val="27"/>
        </w:rPr>
        <w:t>3. Achieved state-of-the-art predictive performance via Bayesian-tuned models: XGBoost (Tuned) achieved R² = 0.9572 (MAE: 0.0220) for CoF, and CatBoost (Tuned) achieved R² = 0.9819 (MAE: 0.1852) for Specific Wear Rate.</w:t>
      </w:r>
    </w:p>
    <w:p>
      <w:pPr>
        <w:spacing w:line="360" w:lineRule="auto" w:after="120"/>
        <w:jc w:val="both"/>
      </w:pPr>
      <w:r>
        <w:rPr>
          <w:rFonts w:ascii="Times New Roman" w:hAnsi="Times New Roman"/>
          <w:sz w:val="27"/>
        </w:rPr>
        <w:t>4. Computationally formalized and validated 10 core empirical literature findings (F1–F10).</w:t>
      </w:r>
    </w:p>
    <w:p>
      <w:pPr>
        <w:spacing w:line="360" w:lineRule="auto" w:after="120"/>
        <w:jc w:val="both"/>
      </w:pPr>
      <w:r>
        <w:rPr>
          <w:rFonts w:ascii="Times New Roman" w:hAnsi="Times New Roman"/>
          <w:sz w:val="27"/>
        </w:rPr>
        <w:t>5. Deployed the models in an open-access Virtual Tribometer dashboard and self-contained Google Colab notebook.</w:t>
      </w:r>
    </w:p>
    <w:p>
      <w:pPr>
        <w:pStyle w:val="Heading2"/>
        <w:spacing w:before="280" w:after="80" w:line="360" w:lineRule="auto"/>
        <w:jc w:val="left"/>
      </w:pPr>
      <w:r>
        <w:rPr>
          <w:rFonts w:ascii="Times New Roman" w:hAnsi="Times New Roman"/>
          <w:b/>
          <w:sz w:val="28"/>
        </w:rPr>
        <w:t>6.2 Technical Limitations and Constraints</w:t>
      </w:r>
    </w:p>
    <w:p>
      <w:pPr>
        <w:spacing w:line="360" w:lineRule="auto" w:after="120"/>
        <w:jc w:val="both"/>
      </w:pPr>
      <w:r>
        <w:rPr>
          <w:rFonts w:ascii="Times New Roman" w:hAnsi="Times New Roman"/>
          <w:sz w:val="27"/>
        </w:rPr>
        <w:t>Table 6.1 outlines current system boundaries:</w:t>
      </w:r>
    </w:p>
    <w:p>
      <w:pPr>
        <w:spacing w:before="200" w:after="80"/>
        <w:jc w:val="left"/>
      </w:pPr>
      <w:r>
        <w:rPr>
          <w:rFonts w:ascii="Times New Roman" w:hAnsi="Times New Roman"/>
          <w:b/>
          <w:sz w:val="25"/>
        </w:rPr>
        <w:t>Table 6.1: Technical Constraints and Limitations of the Tribology AI Framework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40" w:type="dxa"/>
          <w:left w:w="30" w:type="dxa"/>
          <w:bottom w:w="40" w:type="dxa"/>
          <w:right w:w="30" w:type="dxa"/>
        </w:tblCellMar>
      </w:tblPr>
      <w:tblGrid>
        <w:gridCol w:w="4860"/>
        <w:gridCol w:w="4860"/>
      </w:tblGrid>
      <w:tr>
        <w:trPr>
          <w:tblHeader/>
        </w:trPr>
        <w:tc>
          <w:tcPr>
            <w:tcW w:type="dxa" w:w="3456"/>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TECHNICAL CONSTRAINT</w:t>
            </w:r>
          </w:p>
        </w:tc>
        <w:tc>
          <w:tcPr>
            <w:tcW w:type="dxa" w:w="6480"/>
            <w:tcBorders>
              <w:top w:val="none"/>
              <w:left w:val="none"/>
              <w:bottom w:val="none"/>
              <w:right w:val="none"/>
            </w:tcBorders>
            <w:vAlign w:val="top"/>
            <w:tcMar>
              <w:top w:w="85" w:type="dxa"/>
              <w:bottom w:w="85" w:type="dxa"/>
              <w:left w:w="50" w:type="dxa"/>
              <w:right w:w="50" w:type="dxa"/>
            </w:tcMar>
          </w:tcPr>
          <w:p>
            <w:pPr>
              <w:spacing w:line="264" w:lineRule="auto" w:before="60" w:after="60"/>
              <w:jc w:val="left"/>
            </w:pPr>
            <w:r>
              <w:rPr>
                <w:rFonts w:ascii="Times New Roman" w:hAnsi="Times New Roman"/>
                <w:b/>
                <w:sz w:val="22"/>
              </w:rPr>
              <w:t>DESCRIPTION AND IMPACT</w:t>
            </w:r>
          </w:p>
        </w:tc>
      </w:tr>
      <w:tr>
        <w:trPr>
          <w:cantSplit/>
        </w:trPr>
        <w:tc>
          <w:tcPr>
            <w:tcW w:type="dxa" w:w="34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Counterface Roughness</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Initial Ra is assumed polished (0.1–0.4 μm); running-in roughness changes are not dynamically updated.</w:t>
            </w:r>
          </w:p>
        </w:tc>
      </w:tr>
      <w:tr>
        <w:trPr>
          <w:cantSplit/>
        </w:trPr>
        <w:tc>
          <w:tcPr>
            <w:tcW w:type="dxa" w:w="34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Environmental Humidity</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Humidity data is available for ~65% of literature tests; median imputation is applied for missing records.</w:t>
            </w:r>
          </w:p>
        </w:tc>
      </w:tr>
      <w:tr>
        <w:trPr>
          <w:cantSplit/>
        </w:trPr>
        <w:tc>
          <w:tcPr>
            <w:tcW w:type="dxa" w:w="34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Fiber Aspect Ratio</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Short fibers are assumed standard length (200–400 μm); fiber orientation angle is not parameterized.</w:t>
            </w:r>
          </w:p>
        </w:tc>
      </w:tr>
      <w:tr>
        <w:trPr>
          <w:cantSplit/>
        </w:trPr>
        <w:tc>
          <w:tcPr>
            <w:tcW w:type="dxa" w:w="3456"/>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Steady-State Focus</w:t>
            </w:r>
          </w:p>
        </w:tc>
        <w:tc>
          <w:tcPr>
            <w:tcW w:type="dxa" w:w="6480"/>
            <w:tcBorders>
              <w:top w:val="none"/>
              <w:left w:val="none"/>
              <w:bottom w:val="none"/>
              <w:right w:val="none"/>
            </w:tcBorders>
            <w:vAlign w:val="top"/>
            <w:tcMar>
              <w:top w:w="70" w:type="dxa"/>
              <w:bottom w:w="70" w:type="dxa"/>
              <w:left w:w="50" w:type="dxa"/>
              <w:right w:w="50" w:type="dxa"/>
            </w:tcMar>
          </w:tcPr>
          <w:p>
            <w:pPr>
              <w:spacing w:line="264" w:lineRule="auto" w:before="30" w:after="30"/>
              <w:jc w:val="left"/>
            </w:pPr>
            <w:r>
              <w:rPr>
                <w:rFonts w:ascii="Times New Roman" w:hAnsi="Times New Roman"/>
                <w:sz w:val="21"/>
              </w:rPr>
              <w:t>Models predict steady-state CoF and wear; transient running-in spikes are not dynamically time-resolved.</w:t>
            </w:r>
          </w:p>
        </w:tc>
      </w:tr>
    </w:tbl>
    <w:p>
      <w:pPr>
        <w:spacing w:before="0" w:after="120"/>
      </w:pPr>
    </w:p>
    <w:p>
      <w:pPr>
        <w:pStyle w:val="Heading2"/>
        <w:spacing w:before="280" w:after="80" w:line="360" w:lineRule="auto"/>
        <w:jc w:val="left"/>
      </w:pPr>
      <w:r>
        <w:rPr>
          <w:rFonts w:ascii="Times New Roman" w:hAnsi="Times New Roman"/>
          <w:b/>
          <w:sz w:val="28"/>
        </w:rPr>
        <w:t>6.3 Future Research Enhancements</w:t>
      </w:r>
    </w:p>
    <w:p>
      <w:pPr>
        <w:spacing w:line="360" w:lineRule="auto" w:after="120"/>
        <w:jc w:val="both"/>
      </w:pPr>
      <w:r>
        <w:rPr>
          <w:rFonts w:ascii="Times New Roman" w:hAnsi="Times New Roman"/>
          <w:sz w:val="27"/>
        </w:rPr>
        <w:t>Future extensions include: (1) Transfer learning to other engineering polymers such as PEEK and POM; (2) Physics-Informed Neural Networks (PINNs) integrating transient thermal dissipation differential equations; and (3) Active learning algorithms to guide automated laboratory compounding toward unexplored Pareto-optimal formulations.</w:t>
      </w:r>
    </w:p>
    <w:p>
      <w:r>
        <w:br w:type="page"/>
      </w:r>
    </w:p>
    <w:p>
      <w:pPr>
        <w:pStyle w:val="Heading1"/>
        <w:spacing w:before="280" w:after="320" w:line="276" w:lineRule="auto"/>
        <w:jc w:val="center"/>
      </w:pPr>
      <w:r>
        <w:rPr>
          <w:rFonts w:ascii="Times New Roman" w:hAnsi="Times New Roman"/>
          <w:b/>
          <w:sz w:val="32"/>
        </w:rPr>
        <w:t>CHAPTER 7</w:t>
        <w:br/>
        <w:t>REFERENCES</w:t>
      </w:r>
    </w:p>
    <w:p>
      <w:pPr>
        <w:spacing w:line="276" w:lineRule="auto" w:after="120"/>
        <w:jc w:val="left"/>
      </w:pPr>
      <w:r>
        <w:rPr>
          <w:rFonts w:ascii="Times New Roman" w:hAnsi="Times New Roman"/>
          <w:sz w:val="23"/>
        </w:rPr>
        <w:t>[1] Friedrich, K., Lu, Z., &amp; Hager, A. M. (1995). Recent advances in polymer composites' tribology. Wear, 190(2), 239-244.</w:t>
      </w:r>
    </w:p>
    <w:p>
      <w:pPr>
        <w:spacing w:line="276" w:lineRule="auto" w:after="120"/>
        <w:jc w:val="left"/>
      </w:pPr>
      <w:r>
        <w:rPr>
          <w:rFonts w:ascii="Times New Roman" w:hAnsi="Times New Roman"/>
          <w:sz w:val="23"/>
        </w:rPr>
        <w:t>[2] Zhang, Z., Breidt, C., Chang, L., &amp; Friedrich, K. (2004). Enhancement of the counterface transfer film by nanoparticle filled polyamides. Tribology International, 37(11-12), 1029-1034.</w:t>
      </w:r>
    </w:p>
    <w:p>
      <w:pPr>
        <w:spacing w:line="276" w:lineRule="auto" w:after="120"/>
        <w:jc w:val="left"/>
      </w:pPr>
      <w:r>
        <w:rPr>
          <w:rFonts w:ascii="Times New Roman" w:hAnsi="Times New Roman"/>
          <w:sz w:val="23"/>
        </w:rPr>
        <w:t>[3] Archard, J. F. (1959). The temperature of rubbing surfaces. Wear, 2(6), 438-455.</w:t>
      </w:r>
    </w:p>
    <w:p>
      <w:pPr>
        <w:spacing w:line="276" w:lineRule="auto" w:after="120"/>
        <w:jc w:val="left"/>
      </w:pPr>
      <w:r>
        <w:rPr>
          <w:rFonts w:ascii="Times New Roman" w:hAnsi="Times New Roman"/>
          <w:sz w:val="23"/>
        </w:rPr>
        <w:t>[4] Ashby, M. F. (1990). Wear mechanisms: maps and models. Polymer Engineering &amp; Science, 30(10), 577-584.</w:t>
      </w:r>
    </w:p>
    <w:p>
      <w:pPr>
        <w:spacing w:line="276" w:lineRule="auto" w:after="120"/>
        <w:jc w:val="left"/>
      </w:pPr>
      <w:r>
        <w:rPr>
          <w:rFonts w:ascii="Times New Roman" w:hAnsi="Times New Roman"/>
          <w:sz w:val="23"/>
        </w:rPr>
        <w:t>[5] Chen, T., &amp; Guestrin, C. (2016). XGBoost: A scalable tree boosting system. Proceedings of the 22nd ACM SIGKDD International Conference on Knowledge Discovery and Data Mining, 785-794.</w:t>
      </w:r>
    </w:p>
    <w:p>
      <w:pPr>
        <w:spacing w:line="276" w:lineRule="auto" w:after="120"/>
        <w:jc w:val="left"/>
      </w:pPr>
      <w:r>
        <w:rPr>
          <w:rFonts w:ascii="Times New Roman" w:hAnsi="Times New Roman"/>
          <w:sz w:val="23"/>
        </w:rPr>
        <w:t>[6] Prokhorenkova, L., Gusev, G., Vorobev, A., Dorogush, A. V., &amp; Gulin, A. (2018). CatBoost: unbiased boosting with categorical features. Advances in Neural Information Processing Systems (NeurIPS), 31, 6638-6648.</w:t>
      </w:r>
    </w:p>
    <w:p>
      <w:pPr>
        <w:spacing w:line="276" w:lineRule="auto" w:after="120"/>
        <w:jc w:val="left"/>
      </w:pPr>
      <w:r>
        <w:rPr>
          <w:rFonts w:ascii="Times New Roman" w:hAnsi="Times New Roman"/>
          <w:sz w:val="23"/>
        </w:rPr>
        <w:t>[7] Lundberg, S. M., &amp; Lee, S. I. (2017). A unified approach to interpreting model predictions. Advances in Neural Information Processing Systems (NeurIPS), 30, 4765-4774.</w:t>
      </w:r>
    </w:p>
    <w:p>
      <w:pPr>
        <w:spacing w:line="276" w:lineRule="auto" w:after="120"/>
        <w:jc w:val="left"/>
      </w:pPr>
      <w:r>
        <w:rPr>
          <w:rFonts w:ascii="Times New Roman" w:hAnsi="Times New Roman"/>
          <w:sz w:val="23"/>
        </w:rPr>
        <w:t>[8] Akiba, T., Sano, S., Yanase, T., Ohta, T., &amp; Koyama, M. (2019). Optuna: A next-generation hyperparameter optimization framework. ACM SIGKDD International Conference on Knowledge Discovery and Data Mining, 2623-2631.</w:t>
      </w:r>
    </w:p>
    <w:p>
      <w:pPr>
        <w:spacing w:line="276" w:lineRule="auto" w:after="120"/>
        <w:jc w:val="left"/>
      </w:pPr>
      <w:r>
        <w:rPr>
          <w:rFonts w:ascii="Times New Roman" w:hAnsi="Times New Roman"/>
          <w:sz w:val="23"/>
        </w:rPr>
        <w:t>[9] Khakbaz, M., et al. (2024). Data-driven friction and wear modeling of polyamide composites under dry sliding conditions. Tribology International, 191, 109152.</w:t>
      </w:r>
    </w:p>
    <w:p>
      <w:pPr>
        <w:spacing w:line="276" w:lineRule="auto" w:after="120"/>
        <w:jc w:val="left"/>
      </w:pPr>
      <w:r>
        <w:rPr>
          <w:rFonts w:ascii="Times New Roman" w:hAnsi="Times New Roman"/>
          <w:sz w:val="23"/>
        </w:rPr>
        <w:t>[10] Gopalan, S., &amp; Bhaumik, S. (2020). Tribological performance of hybrid polymer composites for bearing applications: A review. Journal of Tribology, 142(8), 080801.</w:t>
      </w:r>
    </w:p>
    <w:p>
      <w:pPr>
        <w:spacing w:line="276" w:lineRule="auto" w:after="120"/>
        <w:jc w:val="left"/>
      </w:pPr>
      <w:r>
        <w:rPr>
          <w:rFonts w:ascii="Times New Roman" w:hAnsi="Times New Roman"/>
          <w:sz w:val="23"/>
        </w:rPr>
        <w:t>[11] Ke, G., Meng, Q., Finley, T., Wang, T., Chen, W., Ma, W., Ye, Q., &amp; Liu, T. Y. (2017). LightGBM: A highly efficient gradient boosting decision tree. Advances in Neural Information Processing Systems, 30, 3146-3154.</w:t>
      </w:r>
    </w:p>
    <w:p>
      <w:pPr>
        <w:spacing w:line="276" w:lineRule="auto" w:after="120"/>
        <w:jc w:val="left"/>
      </w:pPr>
      <w:r>
        <w:rPr>
          <w:rFonts w:ascii="Times New Roman" w:hAnsi="Times New Roman"/>
          <w:sz w:val="23"/>
        </w:rPr>
        <w:t>[12] Lancaster, J. K. (1972). Friction and wear of polymers: an overview. Polymer Engineering and Science, 12(4), 273-282.</w:t>
      </w:r>
    </w:p>
    <w:p>
      <w:pPr>
        <w:spacing w:line="276" w:lineRule="auto" w:after="120"/>
        <w:jc w:val="left"/>
      </w:pPr>
      <w:r>
        <w:rPr>
          <w:rFonts w:ascii="Times New Roman" w:hAnsi="Times New Roman"/>
          <w:sz w:val="23"/>
        </w:rPr>
        <w:t>[13] Bahadur, S. (2000). The development of transfer layers and their role in polymer tribology. Wear, 245(1-2), 92-99.</w:t>
      </w:r>
    </w:p>
    <w:p>
      <w:pPr>
        <w:spacing w:line="276" w:lineRule="auto" w:after="120"/>
        <w:jc w:val="left"/>
      </w:pPr>
      <w:r>
        <w:rPr>
          <w:rFonts w:ascii="Times New Roman" w:hAnsi="Times New Roman"/>
          <w:sz w:val="23"/>
        </w:rPr>
        <w:t>[14] Bijwe, J., Indumathi, J., &amp; Ghosh, A. K. (2002). On the abrasive wear behavior of fabric reinforced polyetherimide composites. Wear, 253(7-8), 768-777.</w:t>
      </w:r>
    </w:p>
    <w:p>
      <w:pPr>
        <w:spacing w:line="276" w:lineRule="auto" w:after="120"/>
        <w:jc w:val="left"/>
      </w:pPr>
      <w:r>
        <w:rPr>
          <w:rFonts w:ascii="Times New Roman" w:hAnsi="Times New Roman"/>
          <w:sz w:val="23"/>
        </w:rPr>
        <w:t>[15] Jacobs, O., et al. (2001). Wear of polyamide nanocomposites. Tribology Letters, 11(3), 147-152.</w:t>
      </w:r>
    </w:p>
    <w:p>
      <w:pPr>
        <w:spacing w:line="276" w:lineRule="auto" w:after="120"/>
        <w:jc w:val="left"/>
      </w:pPr>
      <w:r>
        <w:rPr>
          <w:rFonts w:ascii="Times New Roman" w:hAnsi="Times New Roman"/>
          <w:sz w:val="23"/>
        </w:rPr>
        <w:t>[16] Samyn, P., &amp; Schoukens, G. (2008). Friction and wear mechanisms of sintered polyimides filled with solid lubricants. Tribology International, 41(6), 544-555.</w:t>
      </w:r>
    </w:p>
    <w:p>
      <w:pPr>
        <w:spacing w:line="276" w:lineRule="auto" w:after="120"/>
        <w:jc w:val="left"/>
      </w:pPr>
      <w:r>
        <w:rPr>
          <w:rFonts w:ascii="Times New Roman" w:hAnsi="Times New Roman"/>
          <w:sz w:val="23"/>
        </w:rPr>
        <w:t>[17] Pedregosa, F., et al. (2011). Scikit-learn: Machine learning in Python. Journal of Machine Learning Research, 12, 2825-2830.</w:t>
      </w:r>
    </w:p>
    <w:p>
      <w:pPr>
        <w:spacing w:line="276" w:lineRule="auto" w:after="120"/>
        <w:jc w:val="left"/>
      </w:pPr>
      <w:r>
        <w:rPr>
          <w:rFonts w:ascii="Times New Roman" w:hAnsi="Times New Roman"/>
          <w:sz w:val="23"/>
        </w:rPr>
        <w:t>[18] Breiman, L. (2001). Random forests. Machine Learning, 45(1), 5-32.</w:t>
      </w:r>
    </w:p>
    <w:p>
      <w:pPr>
        <w:spacing w:line="276" w:lineRule="auto" w:after="120"/>
        <w:jc w:val="left"/>
      </w:pPr>
      <w:r>
        <w:rPr>
          <w:rFonts w:ascii="Times New Roman" w:hAnsi="Times New Roman"/>
          <w:sz w:val="23"/>
        </w:rPr>
        <w:t>[19] Geurts, P., Ernst, D., &amp; Wehenkel, L. (2006). Extremely randomized trees. Machine Learning, 63(1), 3-42.</w:t>
      </w:r>
    </w:p>
    <w:p>
      <w:pPr>
        <w:spacing w:line="276" w:lineRule="auto" w:after="120"/>
        <w:jc w:val="left"/>
      </w:pPr>
      <w:r>
        <w:rPr>
          <w:rFonts w:ascii="Times New Roman" w:hAnsi="Times New Roman"/>
          <w:sz w:val="23"/>
        </w:rPr>
        <w:t>[20] Drucker, H., Burges, C. J., Kaufman, L., Smola, A., &amp; Vapnik, V. (1997). Support vector regression machines. Advances in Neural Information Processing Systems, 9, 155-161.</w:t>
      </w:r>
    </w:p>
    <w:p>
      <w:pPr>
        <w:spacing w:line="276" w:lineRule="auto" w:after="120"/>
        <w:jc w:val="left"/>
      </w:pPr>
      <w:r>
        <w:rPr>
          <w:rFonts w:ascii="Times New Roman" w:hAnsi="Times New Roman"/>
          <w:sz w:val="23"/>
        </w:rPr>
        <w:t>[21] ASTM G99-17 (2017). Standard Test Method for Wear Testing with a Pin-on-Disk Apparatus. ASTM International, West Conshohocken, PA.</w:t>
      </w:r>
    </w:p>
    <w:p>
      <w:pPr>
        <w:spacing w:line="276" w:lineRule="auto" w:after="120"/>
        <w:jc w:val="left"/>
      </w:pPr>
      <w:r>
        <w:rPr>
          <w:rFonts w:ascii="Times New Roman" w:hAnsi="Times New Roman"/>
          <w:sz w:val="23"/>
        </w:rPr>
        <w:t>[22] DIN 50324 (2018). Testing of friction and wear: Model test for sliding friction. Deutsches Institut für Normung.</w:t>
      </w:r>
    </w:p>
    <w:p>
      <w:pPr>
        <w:spacing w:line="276" w:lineRule="auto" w:after="120"/>
        <w:jc w:val="left"/>
      </w:pPr>
      <w:r>
        <w:rPr>
          <w:rFonts w:ascii="Times New Roman" w:hAnsi="Times New Roman"/>
          <w:sz w:val="23"/>
        </w:rPr>
        <w:t>[23] Bhaumik, S., &amp; Pathak, S. D. (2014). Friction and wear behavior of friction stir processed aluminum matrix composites. Wear, 317(1-2), 120-128.</w:t>
      </w:r>
    </w:p>
    <w:p>
      <w:pPr>
        <w:spacing w:line="276" w:lineRule="auto" w:after="120"/>
        <w:jc w:val="left"/>
      </w:pPr>
      <w:r>
        <w:rPr>
          <w:rFonts w:ascii="Times New Roman" w:hAnsi="Times New Roman"/>
          <w:sz w:val="23"/>
        </w:rPr>
        <w:t>[24] Friedrich, K., &amp; Schlarb, A. K. (2008). Tribology of Polymeric Nanocomposites: Friction and Wear of Bulk Materials and Coatings. Butterworth-Heinemann, Elsevier.</w:t>
      </w:r>
    </w:p>
    <w:p>
      <w:pPr>
        <w:spacing w:line="276" w:lineRule="auto" w:after="120"/>
        <w:jc w:val="left"/>
      </w:pPr>
      <w:r>
        <w:rPr>
          <w:rFonts w:ascii="Times New Roman" w:hAnsi="Times New Roman"/>
          <w:sz w:val="23"/>
        </w:rPr>
        <w:t>[25] Hutchings, I. M., &amp; Shipway, P. (2017). Tribology: Friction and Wear of Engineering Materials (2nd Edition). Butterworth-Heinemann, Oxford.</w:t>
      </w:r>
    </w:p>
    <w:sectPr w:rsidR="00FC693F" w:rsidRPr="0006063C" w:rsidSect="00034616">
      <w:footerReference w:type="default" r:id="rId13"/>
      <w:pgSz w:w="12240" w:h="15840"/>
      <w:pgMar w:top="1440" w:right="1080" w:bottom="72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sz w:val="24"/>
        </w:rPr>
        <w:t>i</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sz w:val="24"/>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jc w:val="both"/>
    </w:pPr>
    <w:rPr>
      <w:rFonts w:ascii="Times New Roman" w:hAnsi="Times New Roman"/>
      <w:color w:val="000000"/>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footer" Target="footer3.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