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5F"/>
          <w:sz w:val="36"/>
          <w:szCs w:val="36"/>
        </w:rPr>
        <w:t xml:space="preserve">Data Analysis and Visualization</w:t>
      </w:r>
    </w:p>
    <w:p>
      <w:pPr>
        <w:spacing w:after="40"/>
        <w:jc w:val="center"/>
      </w:pPr>
      <w:r>
        <w:rPr>
          <w:rFonts w:ascii="Calibri" w:cs="Calibri" w:eastAsia="Calibri" w:hAnsi="Calibri"/>
          <w:b/>
          <w:bCs/>
          <w:sz w:val="26"/>
          <w:szCs w:val="26"/>
        </w:rPr>
        <w:t xml:space="preserve">Semester Project — Phase 1: Project Proposal</w:t>
      </w:r>
    </w:p>
    <w:p>
      <w:pPr>
        <w:spacing w:after="40"/>
        <w:jc w:val="center"/>
      </w:pPr>
      <w:r>
        <w:rPr>
          <w:rFonts w:ascii="Calibri" w:cs="Calibri" w:eastAsia="Calibri" w:hAnsi="Calibri"/>
          <w:i/>
          <w:iCs/>
          <w:sz w:val="22"/>
          <w:szCs w:val="22"/>
        </w:rPr>
        <w:t xml:space="preserve">Domain: Urban Mobility Analytics — NYC Citi Bike System Data</w:t>
      </w:r>
    </w:p>
    <w:p>
      <w:pPr>
        <w:spacing w:after="400"/>
        <w:jc w:val="center"/>
      </w:pPr>
      <w:r>
        <w:rPr>
          <w:rFonts w:ascii="Calibri" w:cs="Calibri" w:eastAsia="Calibri" w:hAnsi="Calibri"/>
          <w:color w:val="555555"/>
          <w:sz w:val="20"/>
          <w:szCs w:val="20"/>
        </w:rPr>
        <w:t xml:space="preserve">Prepared using Apache Spark on Databricks Community Edition / Azure for Students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000"/>
        <w:gridCol w:w="6660"/>
      </w:tblGrid>
      <w:tr>
        <w:trPr>
          <w:tblHeader/>
        </w:trPr>
        <w:tc>
          <w:tcPr>
            <w:tcW w:type="dxa" w:w="3000"/>
            <w:shd w:fill="1F4E5F" w:color="auto"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6660"/>
            <w:shd w:fill="1F4E5F" w:color="auto" w:val="clear"/>
            <w:tcMar>
              <w:top w:type="dxa" w:w="100"/>
              <w:left w:type="dxa" w:w="120"/>
              <w:bottom w:type="dxa" w:w="100"/>
              <w:right w:type="dxa" w:w="120"/>
            </w:tcMar>
          </w:tcPr>
          <w:p>
            <w:r>
              <w:rPr>
                <w:rFonts w:ascii="Calibri" w:cs="Calibri" w:eastAsia="Calibri" w:hAnsi="Calibri"/>
                <w:b/>
                <w:bCs/>
                <w:color w:val="FFFFFF"/>
                <w:sz w:val="20"/>
                <w:szCs w:val="20"/>
              </w:rPr>
              <w:t xml:space="preserve">Details</w:t>
            </w:r>
          </w:p>
        </w:tc>
      </w:tr>
      <w:tr>
        <w:tc>
          <w:tcPr>
            <w:tcW w:type="dxa" w:w="3000"/>
            <w:tcMar>
              <w:top w:type="dxa" w:w="100"/>
              <w:left w:type="dxa" w:w="120"/>
              <w:bottom w:type="dxa" w:w="100"/>
              <w:right w:type="dxa" w:w="120"/>
            </w:tcMar>
          </w:tcPr>
          <w:p>
            <w:r>
              <w:rPr>
                <w:rFonts w:ascii="Calibri" w:cs="Calibri" w:eastAsia="Calibri" w:hAnsi="Calibri"/>
                <w:b w:val="false"/>
                <w:bCs w:val="false"/>
                <w:color w:val="000000"/>
                <w:sz w:val="20"/>
                <w:szCs w:val="20"/>
              </w:rPr>
              <w:t xml:space="preserve">Team Members</w:t>
            </w:r>
          </w:p>
        </w:tc>
        <w:tc>
          <w:tcPr>
            <w:tcW w:type="dxa" w:w="6660"/>
            <w:tcMar>
              <w:top w:type="dxa" w:w="100"/>
              <w:left w:type="dxa" w:w="120"/>
              <w:bottom w:type="dxa" w:w="100"/>
              <w:right w:type="dxa" w:w="120"/>
            </w:tcMar>
          </w:tcPr>
          <w:p>
            <w:r>
              <w:rPr>
                <w:rFonts w:ascii="Calibri" w:cs="Calibri" w:eastAsia="Calibri" w:hAnsi="Calibri"/>
                <w:b w:val="false"/>
                <w:bCs w:val="false"/>
                <w:color w:val="000000"/>
                <w:sz w:val="20"/>
                <w:szCs w:val="20"/>
              </w:rPr>
              <w:t xml:space="preserve">[Name 1], [Name 2]</w:t>
            </w:r>
          </w:p>
        </w:tc>
      </w:tr>
      <w:tr>
        <w:tc>
          <w:tcPr>
            <w:tcW w:type="dxa" w:w="30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Course</w:t>
            </w:r>
          </w:p>
        </w:tc>
        <w:tc>
          <w:tcPr>
            <w:tcW w:type="dxa" w:w="6660"/>
            <w:tcMar>
              <w:top w:type="dxa" w:w="100"/>
              <w:left w:type="dxa" w:w="120"/>
              <w:bottom w:type="dxa" w:w="100"/>
              <w:right w:type="dxa" w:w="120"/>
            </w:tcMar>
          </w:tcPr>
          <w:p>
            <w:r>
              <w:rPr>
                <w:rFonts w:ascii="Calibri" w:cs="Calibri" w:eastAsia="Calibri" w:hAnsi="Calibri"/>
                <w:b w:val="false"/>
                <w:bCs w:val="false"/>
                <w:color w:val="000000"/>
                <w:sz w:val="20"/>
                <w:szCs w:val="20"/>
              </w:rPr>
              <w:t xml:space="preserve">[Course name / code]</w:t>
            </w:r>
          </w:p>
        </w:tc>
      </w:tr>
      <w:tr>
        <w:tc>
          <w:tcPr>
            <w:tcW w:type="dxa" w:w="3000"/>
            <w:tcMar>
              <w:top w:type="dxa" w:w="100"/>
              <w:left w:type="dxa" w:w="120"/>
              <w:bottom w:type="dxa" w:w="100"/>
              <w:right w:type="dxa" w:w="120"/>
            </w:tcMar>
          </w:tcPr>
          <w:p>
            <w:r>
              <w:rPr>
                <w:rFonts w:ascii="Calibri" w:cs="Calibri" w:eastAsia="Calibri" w:hAnsi="Calibri"/>
                <w:b w:val="false"/>
                <w:bCs w:val="false"/>
                <w:color w:val="000000"/>
                <w:sz w:val="20"/>
                <w:szCs w:val="20"/>
              </w:rPr>
              <w:t xml:space="preserve">Submission Date</w:t>
            </w:r>
          </w:p>
        </w:tc>
        <w:tc>
          <w:tcPr>
            <w:tcW w:type="dxa" w:w="6660"/>
            <w:tcMar>
              <w:top w:type="dxa" w:w="100"/>
              <w:left w:type="dxa" w:w="120"/>
              <w:bottom w:type="dxa" w:w="100"/>
              <w:right w:type="dxa" w:w="120"/>
            </w:tcMar>
          </w:tcPr>
          <w:p>
            <w:r>
              <w:rPr>
                <w:rFonts w:ascii="Calibri" w:cs="Calibri" w:eastAsia="Calibri" w:hAnsi="Calibri"/>
                <w:b w:val="false"/>
                <w:bCs w:val="false"/>
                <w:color w:val="000000"/>
                <w:sz w:val="20"/>
                <w:szCs w:val="20"/>
              </w:rPr>
              <w:t xml:space="preserve">[Date]</w:t>
            </w:r>
          </w:p>
        </w:tc>
      </w:tr>
      <w:tr>
        <w:tc>
          <w:tcPr>
            <w:tcW w:type="dxa" w:w="3000"/>
            <w:tcMar>
              <w:top w:type="dxa" w:w="100"/>
              <w:left w:type="dxa" w:w="120"/>
              <w:bottom w:type="dxa" w:w="100"/>
              <w:right w:type="dxa" w:w="120"/>
            </w:tcMar>
          </w:tcPr>
          <w:p>
            <w:r>
              <w:rPr>
                <w:rFonts w:ascii="Calibri" w:cs="Calibri" w:eastAsia="Calibri" w:hAnsi="Calibri"/>
                <w:b w:val="false"/>
                <w:bCs w:val="false"/>
                <w:color w:val="000000"/>
                <w:sz w:val="20"/>
                <w:szCs w:val="20"/>
              </w:rPr>
              <w:t xml:space="preserve">GitHub Repository</w:t>
            </w:r>
          </w:p>
        </w:tc>
        <w:tc>
          <w:tcPr>
            <w:tcW w:type="dxa" w:w="6660"/>
            <w:tcMar>
              <w:top w:type="dxa" w:w="100"/>
              <w:left w:type="dxa" w:w="120"/>
              <w:bottom w:type="dxa" w:w="100"/>
              <w:right w:type="dxa" w:w="120"/>
            </w:tcMar>
          </w:tcPr>
          <w:p>
            <w:r>
              <w:rPr>
                <w:rFonts w:ascii="Calibri" w:cs="Calibri" w:eastAsia="Calibri" w:hAnsi="Calibri"/>
                <w:b w:val="false"/>
                <w:bCs w:val="false"/>
                <w:color w:val="000000"/>
                <w:sz w:val="20"/>
                <w:szCs w:val="20"/>
              </w:rPr>
              <w:t xml:space="preserve">[Insert repository link here]</w:t>
            </w:r>
          </w:p>
        </w:tc>
      </w:tr>
    </w:tbl>
    <w:p>
      <w:pPr>
        <w:spacing w:after="300"/>
      </w:pPr>
    </w:p>
    <w:p>
      <w:pPr>
        <w:pBdr>
          <w:bottom w:val="single" w:color="CCCCCC" w:sz="6" w:space="1"/>
        </w:pBdr>
        <w:spacing w:after="200" w:before="100"/>
      </w:pPr>
      <w:r>
        <w:t xml:space="preserve"/>
      </w:r>
    </w:p>
    <w:p>
      <w:pPr>
        <w:pStyle w:val="Heading1"/>
        <w:spacing w:after="160" w:before="360"/>
      </w:pPr>
      <w:r>
        <w:rPr>
          <w:b/>
          <w:bCs/>
        </w:rPr>
        <w:t xml:space="preserve">1. Domain &amp; Source Identification</w:t>
      </w:r>
    </w:p>
    <w:p>
      <w:pPr>
        <w:pStyle w:val="Heading2"/>
        <w:spacing w:after="120" w:before="240"/>
      </w:pPr>
      <w:r>
        <w:rPr>
          <w:b/>
          <w:bCs/>
          <w:color w:val="1F4E5F"/>
        </w:rPr>
        <w:t xml:space="preserve">Project Concept</w:t>
      </w:r>
    </w:p>
    <w:p>
      <w:pPr>
        <w:spacing w:after="160" w:line="276"/>
      </w:pPr>
      <w:r>
        <w:rPr>
          <w:rFonts w:ascii="Calibri" w:cs="Calibri" w:eastAsia="Calibri" w:hAnsi="Calibri"/>
          <w:sz w:val="22"/>
          <w:szCs w:val="22"/>
        </w:rPr>
        <w:t xml:space="preserve">The chosen domain is urban mobility and transportation analytics, using New York City's Citi Bike bike-share system. The project analyzes ridership patterns, station demand, and rider behavior to answer operational and business questions relevant to a bike-share operator, such as station rebalancing needs and demand forecasting.</w:t>
      </w:r>
    </w:p>
    <w:p>
      <w:pPr>
        <w:pStyle w:val="Heading2"/>
        <w:spacing w:after="120" w:before="240"/>
      </w:pPr>
      <w:r>
        <w:rPr>
          <w:b/>
          <w:bCs/>
          <w:color w:val="1F4E5F"/>
        </w:rPr>
        <w:t xml:space="preserve">Data Sources</w:t>
      </w:r>
    </w:p>
    <w:p>
      <w:pPr>
        <w:spacing w:after="160" w:line="276"/>
      </w:pPr>
      <w:r>
        <w:rPr>
          <w:rFonts w:ascii="Calibri" w:cs="Calibri" w:eastAsia="Calibri" w:hAnsi="Calibri"/>
          <w:b/>
          <w:bCs/>
          <w:sz w:val="22"/>
          <w:szCs w:val="22"/>
        </w:rPr>
        <w:t xml:space="preserve">Primary source (historical trip data): </w:t>
      </w:r>
      <w:r>
        <w:rPr>
          <w:rFonts w:ascii="Calibri" w:cs="Calibri" w:eastAsia="Calibri" w:hAnsi="Calibri"/>
          <w:sz w:val="22"/>
          <w:szCs w:val="22"/>
        </w:rPr>
        <w:t xml:space="preserve">Citi Bike's official System Data, published as monthly CSV files at </w:t>
      </w:r>
      <w:hyperlink w:history="1" r:id="rIdgvw2wxa9cecgk11zaoa5h">
        <w:r>
          <w:rPr>
            <w:rStyle w:val="Hyperlink"/>
            <w:rFonts w:ascii="Calibri" w:cs="Calibri" w:eastAsia="Calibri" w:hAnsi="Calibri"/>
            <w:sz w:val="22"/>
            <w:szCs w:val="22"/>
          </w:rPr>
          <w:t xml:space="preserve">https://s3.amazonaws.com/tripdata/index.html</w:t>
        </w:r>
      </w:hyperlink>
      <w:r>
        <w:rPr>
          <w:rFonts w:ascii="Calibri" w:cs="Calibri" w:eastAsia="Calibri" w:hAnsi="Calibri"/>
          <w:sz w:val="22"/>
          <w:szCs w:val="22"/>
        </w:rPr>
        <w:t xml:space="preserve">, an open, public Amazon S3 bucket requiring no authentication. Files follow the naming pattern &lt;YYYYMM&gt;-citibike-tripdata.csv.zip or &lt;YYYYMM&gt;-citibike-tripdata.zip (the exact extension varies by month, so the ingestion script checks both), each containing all completed trips for that month across New York City. Months with more than approximately one million trips are split across multiple CSVs within the same zip archive; the ingestion script accounts for this by concatenating all CSV parts found. Fields include ride_id, rideable_type, started_at, ended_at, start and end station name/ID, start and end latitude/longitude, and member_casual.</w:t>
      </w:r>
    </w:p>
    <w:p>
      <w:pPr>
        <w:spacing w:after="160" w:line="276"/>
      </w:pPr>
      <w:r>
        <w:rPr>
          <w:rFonts w:ascii="Calibri" w:cs="Calibri" w:eastAsia="Calibri" w:hAnsi="Calibri"/>
          <w:b/>
          <w:bCs/>
          <w:sz w:val="22"/>
          <w:szCs w:val="22"/>
        </w:rPr>
        <w:t xml:space="preserve">Secondary source (live station data): </w:t>
      </w:r>
      <w:r>
        <w:rPr>
          <w:rFonts w:ascii="Calibri" w:cs="Calibri" w:eastAsia="Calibri" w:hAnsi="Calibri"/>
          <w:sz w:val="22"/>
          <w:szCs w:val="22"/>
        </w:rPr>
        <w:t xml:space="preserve">Citi Bike's real-time General Bikeshare Feed Specification (GBFS) feed (auto-discovery endpoint at gbfs.citibikenyc.com/gbfs/gbfs.json), a live JSON API exposing current station-level bike and dock availability. This feed is polled hourly and forms a genuinely time-varying data source distinct from the monthly trip-history releases.</w:t>
      </w:r>
    </w:p>
    <w:p>
      <w:pPr>
        <w:pStyle w:val="Heading2"/>
        <w:spacing w:after="120" w:before="240"/>
      </w:pPr>
      <w:r>
        <w:rPr>
          <w:b/>
          <w:bCs/>
          <w:color w:val="1F4E5F"/>
        </w:rPr>
        <w:t xml:space="preserve">Ingestion Pattern</w:t>
      </w:r>
    </w:p>
    <w:p>
      <w:pPr>
        <w:pStyle w:val="ListParagraph"/>
        <w:numPr>
          <w:ilvl w:val="0"/>
          <w:numId w:val="2"/>
        </w:numPr>
        <w:spacing w:after="100" w:line="276"/>
      </w:pPr>
      <w:r>
        <w:rPr>
          <w:rFonts w:ascii="Calibri" w:cs="Calibri" w:eastAsia="Calibri" w:hAnsi="Calibri"/>
          <w:sz w:val="22"/>
          <w:szCs w:val="22"/>
        </w:rPr>
        <w:t xml:space="preserve">Full Load: The historical baseline consists of the most recent six complete months of trip data at the time the pipeline is first run. This window is determined dynamically (by checking backward from the most recently published month) rather than fixed to a specific past year, ensuring the baseline always reflects recent, current ridership rather than a stale historical snapshot.</w:t>
      </w:r>
    </w:p>
    <w:p>
      <w:pPr>
        <w:pStyle w:val="ListParagraph"/>
        <w:numPr>
          <w:ilvl w:val="0"/>
          <w:numId w:val="2"/>
        </w:numPr>
        <w:spacing w:after="100" w:line="276"/>
      </w:pPr>
      <w:r>
        <w:rPr>
          <w:rFonts w:ascii="Calibri" w:cs="Calibri" w:eastAsia="Calibri" w:hAnsi="Calibri"/>
          <w:sz w:val="22"/>
          <w:szCs w:val="22"/>
        </w:rPr>
        <w:t xml:space="preserve">Incremental Load (monthly): Citi Bike publishes a new monthly trip-history file shortly after each month-end. The pipeline tracks which months have already been ingested via a manifest file and, on each subsequent run, ingests only the next newly published month as an incremental batch, appending it into Bronze and reconciling it into Silver and Gold.</w:t>
      </w:r>
    </w:p>
    <w:p>
      <w:pPr>
        <w:pStyle w:val="ListParagraph"/>
        <w:numPr>
          <w:ilvl w:val="0"/>
          <w:numId w:val="2"/>
        </w:numPr>
        <w:spacing w:after="100" w:line="276"/>
      </w:pPr>
      <w:r>
        <w:rPr>
          <w:rFonts w:ascii="Calibri" w:cs="Calibri" w:eastAsia="Calibri" w:hAnsi="Calibri"/>
          <w:sz w:val="22"/>
          <w:szCs w:val="22"/>
        </w:rPr>
        <w:t xml:space="preserve">Incremental Load (hourly, live): The GBFS station_status feed is polled once per hour, with each poll appended as a new, timestamped snapshot. This provides a continuously updating incremental stream that changes on a much shorter cycle than the monthly trip files, strengthening the project's demonstration of true incremental ingestion.</w:t>
      </w:r>
    </w:p>
    <w:p>
      <w:pPr>
        <w:spacing w:after="160" w:line="276"/>
      </w:pPr>
      <w:r>
        <w:rPr>
          <w:rFonts w:ascii="Calibri" w:cs="Calibri" w:eastAsia="Calibri" w:hAnsi="Calibri"/>
          <w:sz w:val="22"/>
          <w:szCs w:val="22"/>
        </w:rPr>
        <w:t xml:space="preserve">This satisfies the dual-load requirement with two complementary mechanisms from the same authoritative source family: the historical S3 trip-history archive supplies the full load and monthly incremental batches, while the GBFS feed supplies a live, hourly incremental stream.</w:t>
      </w:r>
    </w:p>
    <w:p>
      <w:pPr>
        <w:pBdr>
          <w:bottom w:val="single" w:color="CCCCCC" w:sz="6" w:space="1"/>
        </w:pBdr>
        <w:spacing w:after="200" w:before="100"/>
      </w:pPr>
      <w:r>
        <w:t xml:space="preserve"/>
      </w:r>
    </w:p>
    <w:p>
      <w:pPr>
        <w:pStyle w:val="Heading1"/>
        <w:spacing w:after="160" w:before="360"/>
      </w:pPr>
      <w:r>
        <w:rPr>
          <w:b/>
          <w:bCs/>
        </w:rPr>
        <w:t xml:space="preserve">2. Data Samples &amp; Volume</w:t>
      </w:r>
    </w:p>
    <w:p>
      <w:pPr>
        <w:pStyle w:val="Heading2"/>
        <w:spacing w:after="120" w:before="240"/>
      </w:pPr>
      <w:r>
        <w:rPr>
          <w:b/>
          <w:bCs/>
          <w:color w:val="1F4E5F"/>
        </w:rPr>
        <w:t xml:space="preserve">Sample Files</w:t>
      </w:r>
    </w:p>
    <w:p>
      <w:pPr>
        <w:spacing w:after="160" w:line="276"/>
      </w:pPr>
      <w:r>
        <w:rPr>
          <w:rFonts w:ascii="Calibri" w:cs="Calibri" w:eastAsia="Calibri" w:hAnsi="Calibri"/>
          <w:sz w:val="22"/>
          <w:szCs w:val="22"/>
        </w:rPr>
        <w:t xml:space="preserve">The following files were selected to represent the required load types (exact months shift forward over time, since the ingestion script always targets recent, currently available data rather than a fixed past period):</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060"/>
      </w:tblGrid>
      <w:tr>
        <w:trPr>
          <w:tblHeader/>
        </w:trPr>
        <w:tc>
          <w:tcPr>
            <w:tcW w:type="dxa" w:w="2600"/>
            <w:shd w:fill="1F4E5F" w:color="auto" w:val="clear"/>
            <w:tcMar>
              <w:top w:type="dxa" w:w="100"/>
              <w:left w:type="dxa" w:w="120"/>
              <w:bottom w:type="dxa" w:w="100"/>
              <w:right w:type="dxa" w:w="120"/>
            </w:tcMar>
          </w:tcPr>
          <w:p>
            <w:r>
              <w:rPr>
                <w:rFonts w:ascii="Calibri" w:cs="Calibri" w:eastAsia="Calibri" w:hAnsi="Calibri"/>
                <w:b/>
                <w:bCs/>
                <w:color w:val="FFFFFF"/>
                <w:sz w:val="20"/>
                <w:szCs w:val="20"/>
              </w:rPr>
              <w:t xml:space="preserve">Load Type</w:t>
            </w:r>
          </w:p>
        </w:tc>
        <w:tc>
          <w:tcPr>
            <w:tcW w:type="dxa" w:w="4000"/>
            <w:shd w:fill="1F4E5F" w:color="auto" w:val="clear"/>
            <w:tcMar>
              <w:top w:type="dxa" w:w="100"/>
              <w:left w:type="dxa" w:w="120"/>
              <w:bottom w:type="dxa" w:w="100"/>
              <w:right w:type="dxa" w:w="120"/>
            </w:tcMar>
          </w:tcPr>
          <w:p>
            <w:r>
              <w:rPr>
                <w:rFonts w:ascii="Calibri" w:cs="Calibri" w:eastAsia="Calibri" w:hAnsi="Calibri"/>
                <w:b/>
                <w:bCs/>
                <w:color w:val="FFFFFF"/>
                <w:sz w:val="20"/>
                <w:szCs w:val="20"/>
              </w:rPr>
              <w:t xml:space="preserve">Data Selected</w:t>
            </w:r>
          </w:p>
        </w:tc>
        <w:tc>
          <w:tcPr>
            <w:tcW w:type="dxa" w:w="3060"/>
            <w:shd w:fill="1F4E5F" w:color="auto" w:val="clear"/>
            <w:tcMar>
              <w:top w:type="dxa" w:w="100"/>
              <w:left w:type="dxa" w:w="120"/>
              <w:bottom w:type="dxa" w:w="100"/>
              <w:right w:type="dxa" w:w="120"/>
            </w:tcMar>
          </w:tcPr>
          <w:p>
            <w:r>
              <w:rPr>
                <w:rFonts w:ascii="Calibri" w:cs="Calibri" w:eastAsia="Calibri" w:hAnsi="Calibri"/>
                <w:b/>
                <w:bCs/>
                <w:color w:val="FFFFFF"/>
                <w:sz w:val="20"/>
                <w:szCs w:val="20"/>
              </w:rPr>
              <w:t xml:space="preserve">Source</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Full Load</w:t>
            </w:r>
          </w:p>
        </w:tc>
        <w:tc>
          <w:tcPr>
            <w:tcW w:type="dxa" w:w="4000"/>
            <w:tcMar>
              <w:top w:type="dxa" w:w="100"/>
              <w:left w:type="dxa" w:w="120"/>
              <w:bottom w:type="dxa" w:w="100"/>
              <w:right w:type="dxa" w:w="120"/>
            </w:tcMar>
          </w:tcPr>
          <w:p>
            <w:r>
              <w:rPr>
                <w:rFonts w:ascii="Calibri" w:cs="Calibri" w:eastAsia="Calibri" w:hAnsi="Calibri"/>
                <w:b w:val="false"/>
                <w:bCs w:val="false"/>
                <w:color w:val="000000"/>
                <w:sz w:val="20"/>
                <w:szCs w:val="20"/>
              </w:rPr>
              <w:t xml:space="preserve">The 6 most recent complete months of trip records at the time the pipeline is first run</w:t>
            </w:r>
          </w:p>
        </w:tc>
        <w:tc>
          <w:tcPr>
            <w:tcW w:type="dxa" w:w="3060"/>
            <w:tcMar>
              <w:top w:type="dxa" w:w="100"/>
              <w:left w:type="dxa" w:w="120"/>
              <w:bottom w:type="dxa" w:w="100"/>
              <w:right w:type="dxa" w:w="120"/>
            </w:tcMar>
          </w:tcPr>
          <w:p>
            <w:r>
              <w:rPr>
                <w:rFonts w:ascii="Calibri" w:cs="Calibri" w:eastAsia="Calibri" w:hAnsi="Calibri"/>
                <w:b w:val="false"/>
                <w:bCs w:val="false"/>
                <w:color w:val="000000"/>
                <w:sz w:val="20"/>
                <w:szCs w:val="20"/>
              </w:rPr>
              <w:t xml:space="preserve">&lt;YYYYMM&gt;-citibike-tripdata.csv.zip or .zip, for each of the 6 months</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Incremental Load (monthly)</w:t>
            </w:r>
          </w:p>
        </w:tc>
        <w:tc>
          <w:tcPr>
            <w:tcW w:type="dxa" w:w="4000"/>
            <w:tcMar>
              <w:top w:type="dxa" w:w="100"/>
              <w:left w:type="dxa" w:w="120"/>
              <w:bottom w:type="dxa" w:w="100"/>
              <w:right w:type="dxa" w:w="120"/>
            </w:tcMar>
          </w:tcPr>
          <w:p>
            <w:r>
              <w:rPr>
                <w:rFonts w:ascii="Calibri" w:cs="Calibri" w:eastAsia="Calibri" w:hAnsi="Calibri"/>
                <w:b w:val="false"/>
                <w:bCs w:val="false"/>
                <w:color w:val="000000"/>
                <w:sz w:val="20"/>
                <w:szCs w:val="20"/>
              </w:rPr>
              <w:t xml:space="preserve">The next month's trip records, not present in the baseline, ingested on each subsequent run</w:t>
            </w:r>
          </w:p>
        </w:tc>
        <w:tc>
          <w:tcPr>
            <w:tcW w:type="dxa" w:w="3060"/>
            <w:tcMar>
              <w:top w:type="dxa" w:w="100"/>
              <w:left w:type="dxa" w:w="120"/>
              <w:bottom w:type="dxa" w:w="100"/>
              <w:right w:type="dxa" w:w="120"/>
            </w:tcMar>
          </w:tcPr>
          <w:p>
            <w:r>
              <w:rPr>
                <w:rFonts w:ascii="Calibri" w:cs="Calibri" w:eastAsia="Calibri" w:hAnsi="Calibri"/>
                <w:b w:val="false"/>
                <w:bCs w:val="false"/>
                <w:color w:val="000000"/>
                <w:sz w:val="20"/>
                <w:szCs w:val="20"/>
              </w:rPr>
              <w:t xml:space="preserve">&lt;YYYYMM&gt;-citibike-tripdata.csv.zip or .zip, for the newly published month</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Incremental Load (hourly, live)</w:t>
            </w:r>
          </w:p>
        </w:tc>
        <w:tc>
          <w:tcPr>
            <w:tcW w:type="dxa" w:w="4000"/>
            <w:tcMar>
              <w:top w:type="dxa" w:w="100"/>
              <w:left w:type="dxa" w:w="120"/>
              <w:bottom w:type="dxa" w:w="100"/>
              <w:right w:type="dxa" w:w="120"/>
            </w:tcMar>
          </w:tcPr>
          <w:p>
            <w:r>
              <w:rPr>
                <w:rFonts w:ascii="Calibri" w:cs="Calibri" w:eastAsia="Calibri" w:hAnsi="Calibri"/>
                <w:b w:val="false"/>
                <w:bCs w:val="false"/>
                <w:color w:val="000000"/>
                <w:sz w:val="20"/>
                <w:szCs w:val="20"/>
              </w:rPr>
              <w:t xml:space="preserve">Station-level bike/dock availability, polled once per hour and appended as a new snapshot</w:t>
            </w:r>
          </w:p>
        </w:tc>
        <w:tc>
          <w:tcPr>
            <w:tcW w:type="dxa" w:w="3060"/>
            <w:tcMar>
              <w:top w:type="dxa" w:w="100"/>
              <w:left w:type="dxa" w:w="120"/>
              <w:bottom w:type="dxa" w:w="100"/>
              <w:right w:type="dxa" w:w="120"/>
            </w:tcMar>
          </w:tcPr>
          <w:p>
            <w:r>
              <w:rPr>
                <w:rFonts w:ascii="Calibri" w:cs="Calibri" w:eastAsia="Calibri" w:hAnsi="Calibri"/>
                <w:b w:val="false"/>
                <w:bCs w:val="false"/>
                <w:color w:val="000000"/>
                <w:sz w:val="20"/>
                <w:szCs w:val="20"/>
              </w:rPr>
              <w:t xml:space="preserve">GBFS station_status feed, resolved via gbfs.citibikenyc.com/gbfs/gbfs.json</w:t>
            </w:r>
          </w:p>
        </w:tc>
      </w:tr>
    </w:tbl>
    <w:p>
      <w:pPr>
        <w:spacing w:after="200"/>
      </w:pPr>
    </w:p>
    <w:p>
      <w:pPr>
        <w:spacing w:after="160" w:line="276"/>
      </w:pPr>
      <w:r>
        <w:rPr>
          <w:rFonts w:ascii="Calibri" w:cs="Calibri" w:eastAsia="Calibri" w:hAnsi="Calibri"/>
          <w:sz w:val="22"/>
          <w:szCs w:val="22"/>
        </w:rPr>
        <w:t xml:space="preserve">This structure reflects a realistic production scenario: a recent historical baseline is ingested once, each newly published month is subsequently ingested as an incremental batch, and the live GBFS feed provides a continuously updating incremental stream on a much shorter (hourly) cycle.</w:t>
      </w:r>
    </w:p>
    <w:p>
      <w:pPr>
        <w:pStyle w:val="Heading2"/>
        <w:spacing w:after="120" w:before="240"/>
      </w:pPr>
      <w:r>
        <w:rPr>
          <w:b/>
          <w:bCs/>
          <w:color w:val="1F4E5F"/>
        </w:rPr>
        <w:t xml:space="preserve">Volume &amp; Frequency Estimation</w:t>
      </w:r>
    </w:p>
    <w:p>
      <w:pPr>
        <w:spacing w:after="160" w:line="276"/>
      </w:pPr>
      <w:r>
        <w:rPr>
          <w:rFonts w:ascii="Calibri" w:cs="Calibri" w:eastAsia="Calibri" w:hAnsi="Calibri"/>
          <w:sz w:val="22"/>
          <w:szCs w:val="22"/>
        </w:rPr>
        <w:t xml:space="preserve">Citi Bike's publicly reported monthly totals indicate that ridership varies seasonally, with recent months such as June 2024 reaching 4,781,020 trips, and NYC DOT reporting over 12.1 million trips citywide for the April–July 2024 quarter. Monthly volume therefore ranges from approximately 2 million trips in winter months to 4.5–4.8 million trips during summer peaks.</w:t>
      </w:r>
    </w:p>
    <w:p>
      <w:pPr>
        <w:spacing w:after="160" w:line="276"/>
      </w:pPr>
      <w:r>
        <w:rPr>
          <w:rFonts w:ascii="Calibri" w:cs="Calibri" w:eastAsia="Calibri" w:hAnsi="Calibri"/>
          <w:sz w:val="22"/>
          <w:szCs w:val="22"/>
        </w:rPr>
        <w:t xml:space="preserve">Each trip record contains approximately thirteen fields (ride identifier, timestamps, station names and IDs, coordinates, rideable type, and membership status). Critically, months with more than roughly one million trips are distributed as multiple CSV files within a single zip archive rather than one file per month, which increases the effective per-month footprint. Based on this, the following volumes are estimated:</w:t>
      </w:r>
    </w:p>
    <w:p>
      <w:pPr>
        <w:pStyle w:val="ListParagraph"/>
        <w:numPr>
          <w:ilvl w:val="0"/>
          <w:numId w:val="2"/>
        </w:numPr>
        <w:spacing w:after="100" w:line="276"/>
      </w:pPr>
      <w:r>
        <w:rPr>
          <w:rFonts w:ascii="Calibri" w:cs="Calibri" w:eastAsia="Calibri" w:hAnsi="Calibri"/>
          <w:sz w:val="22"/>
          <w:szCs w:val="22"/>
        </w:rPr>
        <w:t xml:space="preserve">Single month, uncompressed (all CSV parts combined): approximately 370 MB – 1 GB, depending on seasonal ridership</w:t>
      </w:r>
    </w:p>
    <w:p>
      <w:pPr>
        <w:pStyle w:val="ListParagraph"/>
        <w:numPr>
          <w:ilvl w:val="0"/>
          <w:numId w:val="2"/>
        </w:numPr>
        <w:spacing w:after="100" w:line="276"/>
      </w:pPr>
      <w:r>
        <w:rPr>
          <w:rFonts w:ascii="Calibri" w:cs="Calibri" w:eastAsia="Calibri" w:hAnsi="Calibri"/>
          <w:sz w:val="22"/>
          <w:szCs w:val="22"/>
        </w:rPr>
        <w:t xml:space="preserve">Single month, compressed (as distributed): approximately 150–350 MB</w:t>
      </w:r>
    </w:p>
    <w:p>
      <w:pPr>
        <w:pStyle w:val="ListParagraph"/>
        <w:numPr>
          <w:ilvl w:val="0"/>
          <w:numId w:val="2"/>
        </w:numPr>
        <w:spacing w:after="100" w:line="276"/>
      </w:pPr>
      <w:r>
        <w:rPr>
          <w:rFonts w:ascii="Calibri" w:cs="Calibri" w:eastAsia="Calibri" w:hAnsi="Calibri"/>
          <w:sz w:val="22"/>
          <w:szCs w:val="22"/>
        </w:rPr>
        <w:t xml:space="preserve">Full-load baseline (6 months, compressed): approximately 1–2 GB compressed, expanding to approximately 2.5–5 GB uncompressed once loaded</w:t>
      </w:r>
    </w:p>
    <w:p>
      <w:pPr>
        <w:pStyle w:val="ListParagraph"/>
        <w:numPr>
          <w:ilvl w:val="0"/>
          <w:numId w:val="2"/>
        </w:numPr>
        <w:spacing w:after="100" w:line="276"/>
      </w:pPr>
      <w:r>
        <w:rPr>
          <w:rFonts w:ascii="Calibri" w:cs="Calibri" w:eastAsia="Calibri" w:hAnsi="Calibri"/>
          <w:sz w:val="22"/>
          <w:szCs w:val="22"/>
        </w:rPr>
        <w:t xml:space="preserve">Incremental load (single month): approximately 150–350 MB compressed, published on a monthly cadence</w:t>
      </w:r>
    </w:p>
    <w:p>
      <w:pPr>
        <w:pStyle w:val="ListParagraph"/>
        <w:numPr>
          <w:ilvl w:val="0"/>
          <w:numId w:val="2"/>
        </w:numPr>
        <w:spacing w:after="100" w:line="276"/>
      </w:pPr>
      <w:r>
        <w:rPr>
          <w:rFonts w:ascii="Calibri" w:cs="Calibri" w:eastAsia="Calibri" w:hAnsi="Calibri"/>
          <w:sz w:val="22"/>
          <w:szCs w:val="22"/>
        </w:rPr>
        <w:t xml:space="preserve">Incremental load (GBFS, hourly): a few hundred KB per poll (one row per station, roughly 2,000 stations); accumulates to a few MB per week of continuous polling</w:t>
      </w:r>
    </w:p>
    <w:p>
      <w:pPr>
        <w:spacing w:after="160" w:line="276"/>
      </w:pPr>
      <w:r>
        <w:rPr>
          <w:rFonts w:ascii="Calibri" w:cs="Calibri" w:eastAsia="Calibri" w:hAnsi="Calibri"/>
          <w:sz w:val="22"/>
          <w:szCs w:val="22"/>
        </w:rPr>
        <w:t xml:space="preserve">These figures were revised after confirming that Citi Bike splits high-volume months into multiple CSV parts per zip archive; the original estimate assumed a single CSV per month and understated the true footprint.</w:t>
      </w:r>
    </w:p>
    <w:p>
      <w:pPr>
        <w:pStyle w:val="Heading2"/>
        <w:spacing w:after="120" w:before="240"/>
      </w:pPr>
      <w:r>
        <w:rPr>
          <w:b/>
          <w:bCs/>
          <w:color w:val="1F4E5F"/>
        </w:rPr>
        <w:t xml:space="preserve">Compliance with Free-Tier Constraints</w:t>
      </w:r>
    </w:p>
    <w:p>
      <w:pPr>
        <w:spacing w:after="160" w:line="276"/>
      </w:pPr>
      <w:r>
        <w:rPr>
          <w:rFonts w:ascii="Calibri" w:cs="Calibri" w:eastAsia="Calibri" w:hAnsi="Calibri"/>
          <w:sz w:val="22"/>
          <w:szCs w:val="22"/>
        </w:rPr>
        <w:t xml:space="preserve">The estimated full-load volume (2.5–5 GB uncompressed) is within the operating limits of Databricks Community Edition and Azure for Students. Three constraints were identified and addressed in project scoping:</w:t>
      </w:r>
    </w:p>
    <w:p>
      <w:pPr>
        <w:pStyle w:val="ListParagraph"/>
        <w:numPr>
          <w:ilvl w:val="0"/>
          <w:numId w:val="2"/>
        </w:numPr>
        <w:spacing w:after="100" w:line="276"/>
      </w:pPr>
      <w:r>
        <w:rPr>
          <w:rFonts w:ascii="Calibri" w:cs="Calibri" w:eastAsia="Calibri" w:hAnsi="Calibri"/>
          <w:sz w:val="22"/>
          <w:szCs w:val="22"/>
        </w:rPr>
        <w:t xml:space="preserve">Repository size: GitHub restricts individual file uploads to 100 MB without Git LFS. Accordingly, only trimmed samples (the first 50,000 rows of one full-load month, the incremental month, and an initial GBFS poll) are committed to the repository for reference; complete raw files are retrieved directly from source at pipeline runtime and are excluded from version control.</w:t>
      </w:r>
    </w:p>
    <w:p>
      <w:pPr>
        <w:pStyle w:val="ListParagraph"/>
        <w:numPr>
          <w:ilvl w:val="0"/>
          <w:numId w:val="2"/>
        </w:numPr>
        <w:spacing w:after="100" w:line="276"/>
      </w:pPr>
      <w:r>
        <w:rPr>
          <w:rFonts w:ascii="Calibri" w:cs="Calibri" w:eastAsia="Calibri" w:hAnsi="Calibri"/>
          <w:sz w:val="22"/>
          <w:szCs w:val="22"/>
        </w:rPr>
        <w:t xml:space="preserve">Baseline scope: the full-load baseline is deliberately limited to 6 months (rather than a full year) specifically to stay within Databricks Free Edition storage and compute limits, per course guidance.</w:t>
      </w:r>
    </w:p>
    <w:p>
      <w:pPr>
        <w:pStyle w:val="ListParagraph"/>
        <w:numPr>
          <w:ilvl w:val="0"/>
          <w:numId w:val="2"/>
        </w:numPr>
        <w:spacing w:after="100" w:line="276"/>
      </w:pPr>
      <w:r>
        <w:rPr>
          <w:rFonts w:ascii="Calibri" w:cs="Calibri" w:eastAsia="Calibri" w:hAnsi="Calibri"/>
          <w:sz w:val="22"/>
          <w:szCs w:val="22"/>
        </w:rPr>
        <w:t xml:space="preserve">GBFS accumulation: because the hourly poll grows a single CSV indefinitely, this file is also excluded from version control and instead regenerated locally; only a small representative sample is committed.</w:t>
      </w:r>
    </w:p>
    <w:p>
      <w:pPr>
        <w:pBdr>
          <w:bottom w:val="single" w:color="CCCCCC" w:sz="6" w:space="1"/>
        </w:pBdr>
        <w:spacing w:after="200" w:before="100"/>
      </w:pPr>
      <w:r>
        <w:t xml:space="preserve"/>
      </w:r>
    </w:p>
    <w:p>
      <w:pPr>
        <w:pStyle w:val="Heading1"/>
        <w:spacing w:after="160" w:before="360"/>
      </w:pPr>
      <w:r>
        <w:rPr>
          <w:b/>
          <w:bCs/>
        </w:rPr>
        <w:t xml:space="preserve">3. Security &amp; Compliance</w:t>
      </w:r>
    </w:p>
    <w:p>
      <w:pPr>
        <w:pStyle w:val="Heading2"/>
        <w:spacing w:after="120" w:before="240"/>
      </w:pPr>
      <w:r>
        <w:rPr>
          <w:b/>
          <w:bCs/>
          <w:color w:val="1F4E5F"/>
        </w:rPr>
        <w:t xml:space="preserve">Identification of PII and Sensitive Data</w:t>
      </w:r>
    </w:p>
    <w:p>
      <w:pPr>
        <w:spacing w:after="160" w:line="276"/>
      </w:pPr>
      <w:r>
        <w:rPr>
          <w:rFonts w:ascii="Calibri" w:cs="Calibri" w:eastAsia="Calibri" w:hAnsi="Calibri"/>
          <w:sz w:val="22"/>
          <w:szCs w:val="22"/>
        </w:rPr>
        <w:t xml:space="preserve">The selected dataset (Citi Bike trip history, 2024–2025 schema) contains the following fields: ride_id, rideable_type, started_at, ended_at, start_station_name, start_station_id, end_station_name, end_station_id, start_lat/start_lng, end_lat/end_lng, and member_casual.</w:t>
      </w:r>
    </w:p>
    <w:p>
      <w:pPr>
        <w:spacing w:after="160" w:line="276"/>
      </w:pPr>
      <w:r>
        <w:rPr>
          <w:rFonts w:ascii="Calibri" w:cs="Calibri" w:eastAsia="Calibri" w:hAnsi="Calibri"/>
          <w:sz w:val="22"/>
          <w:szCs w:val="22"/>
        </w:rPr>
        <w:t xml:space="preserve">A review of these fields against standard PII categories (names, email addresses, IP addresses, financial details, government identifiers) finds no direct PII present. Specifically:</w:t>
      </w:r>
    </w:p>
    <w:p>
      <w:pPr>
        <w:pStyle w:val="ListParagraph"/>
        <w:numPr>
          <w:ilvl w:val="0"/>
          <w:numId w:val="2"/>
        </w:numPr>
        <w:spacing w:after="100" w:line="276"/>
      </w:pPr>
      <w:r>
        <w:rPr>
          <w:rFonts w:ascii="Calibri" w:cs="Calibri" w:eastAsia="Calibri" w:hAnsi="Calibri"/>
          <w:sz w:val="22"/>
          <w:szCs w:val="22"/>
        </w:rPr>
        <w:t xml:space="preserve">No rider names, email addresses, phone numbers, or payment information are included in the published dataset.</w:t>
      </w:r>
    </w:p>
    <w:p>
      <w:pPr>
        <w:pStyle w:val="ListParagraph"/>
        <w:numPr>
          <w:ilvl w:val="0"/>
          <w:numId w:val="2"/>
        </w:numPr>
        <w:spacing w:after="100" w:line="276"/>
      </w:pPr>
      <w:r>
        <w:rPr>
          <w:rFonts w:ascii="Calibri" w:cs="Calibri" w:eastAsia="Calibri" w:hAnsi="Calibri"/>
          <w:sz w:val="22"/>
          <w:szCs w:val="22"/>
        </w:rPr>
        <w:t xml:space="preserve">No persistent rider or account identifier is present. The ride_id field is unique per trip, not per user, meaning individual trips cannot be linked to one another or aggregated into a rider-level history.</w:t>
      </w:r>
    </w:p>
    <w:p>
      <w:pPr>
        <w:pStyle w:val="ListParagraph"/>
        <w:numPr>
          <w:ilvl w:val="0"/>
          <w:numId w:val="2"/>
        </w:numPr>
        <w:spacing w:after="100" w:line="276"/>
      </w:pPr>
      <w:r>
        <w:rPr>
          <w:rFonts w:ascii="Calibri" w:cs="Calibri" w:eastAsia="Calibri" w:hAnsi="Calibri"/>
          <w:sz w:val="22"/>
          <w:szCs w:val="22"/>
        </w:rPr>
        <w:t xml:space="preserve">Earlier versions of the Citi Bike dataset (pre-2021) included rider birth year and gender as quasi-identifying attributes. These fields have since been removed from the published schema and are absent from the 2024–2025 files selected for this project.</w:t>
      </w:r>
    </w:p>
    <w:p>
      <w:pPr>
        <w:pStyle w:val="ListParagraph"/>
        <w:numPr>
          <w:ilvl w:val="0"/>
          <w:numId w:val="2"/>
        </w:numPr>
        <w:spacing w:after="100" w:line="276"/>
      </w:pPr>
      <w:r>
        <w:rPr>
          <w:rFonts w:ascii="Calibri" w:cs="Calibri" w:eastAsia="Calibri" w:hAnsi="Calibri"/>
          <w:sz w:val="22"/>
          <w:szCs w:val="22"/>
        </w:rPr>
        <w:t xml:space="preserve">Station latitude/longitude coordinates refer to fixed, public docking station locations rather than individual home or work addresses, and therefore do not constitute location-based PII.</w:t>
      </w:r>
    </w:p>
    <w:p>
      <w:pPr>
        <w:pStyle w:val="Heading2"/>
        <w:spacing w:after="120" w:before="240"/>
      </w:pPr>
      <w:r>
        <w:rPr>
          <w:b/>
          <w:bCs/>
          <w:color w:val="1F4E5F"/>
        </w:rPr>
        <w:t xml:space="preserve">Handling Strategy</w:t>
      </w:r>
    </w:p>
    <w:p>
      <w:pPr>
        <w:spacing w:after="160" w:line="276"/>
      </w:pPr>
      <w:r>
        <w:rPr>
          <w:rFonts w:ascii="Calibri" w:cs="Calibri" w:eastAsia="Calibri" w:hAnsi="Calibri"/>
          <w:sz w:val="22"/>
          <w:szCs w:val="22"/>
        </w:rPr>
        <w:t xml:space="preserve">Given the absence of direct or quasi-identifying PII in the selected dataset, no masking, hashing, or column-dropping is required prior to the Silver layer. This determination is made explicit here rather than assumed: the dataset is public, operator-published, aggregate-safe data with no individual-level identifiers to protect.</w:t>
      </w:r>
    </w:p>
    <w:p>
      <w:pPr>
        <w:spacing w:after="160" w:line="276"/>
      </w:pPr>
      <w:r>
        <w:rPr>
          <w:rFonts w:ascii="Calibri" w:cs="Calibri" w:eastAsia="Calibri" w:hAnsi="Calibri"/>
          <w:sz w:val="22"/>
          <w:szCs w:val="22"/>
        </w:rPr>
        <w:t xml:space="preserve">As a precautionary measure consistent with data governance best practice, the following safeguards will still be applied:</w:t>
      </w:r>
    </w:p>
    <w:p>
      <w:pPr>
        <w:pStyle w:val="ListParagraph"/>
        <w:numPr>
          <w:ilvl w:val="0"/>
          <w:numId w:val="2"/>
        </w:numPr>
        <w:spacing w:after="100" w:line="276"/>
      </w:pPr>
      <w:r>
        <w:rPr>
          <w:rFonts w:ascii="Calibri" w:cs="Calibri" w:eastAsia="Calibri" w:hAnsi="Calibri"/>
          <w:sz w:val="22"/>
          <w:szCs w:val="22"/>
        </w:rPr>
        <w:t xml:space="preserve">The bike_id field, where present in a given month's schema, will be treated as a low-sensitivity operational identifier (it identifies equipment, not a person) and retained without transformation, as it carries no re-identification risk without an accompanying rider identifier.</w:t>
      </w:r>
    </w:p>
    <w:p>
      <w:pPr>
        <w:pStyle w:val="ListParagraph"/>
        <w:numPr>
          <w:ilvl w:val="0"/>
          <w:numId w:val="2"/>
        </w:numPr>
        <w:spacing w:after="100" w:line="276"/>
      </w:pPr>
      <w:r>
        <w:rPr>
          <w:rFonts w:ascii="Calibri" w:cs="Calibri" w:eastAsia="Calibri" w:hAnsi="Calibri"/>
          <w:sz w:val="22"/>
          <w:szCs w:val="22"/>
        </w:rPr>
        <w:t xml:space="preserve">Should future data sources be added to this pipeline (e.g., a station-level GBFS feed), each new field will be re-evaluated against the same PII criteria before being admitted to the Silver layer, rather than assuming the no-PII determination extends automatically to new sources.</w:t>
      </w:r>
    </w:p>
    <w:p>
      <w:pPr>
        <w:pBdr>
          <w:bottom w:val="single" w:color="CCCCCC" w:sz="6" w:space="1"/>
        </w:pBdr>
        <w:spacing w:after="200" w:before="100"/>
      </w:pPr>
      <w:r>
        <w:t xml:space="preserve"/>
      </w:r>
    </w:p>
    <w:p>
      <w:pPr>
        <w:pStyle w:val="Heading1"/>
        <w:spacing w:after="160" w:before="360"/>
      </w:pPr>
      <w:r>
        <w:rPr>
          <w:b/>
          <w:bCs/>
        </w:rPr>
        <w:t xml:space="preserve">4. High-Level Medallion Data Modeling</w:t>
      </w:r>
    </w:p>
    <w:p>
      <w:pPr>
        <w:pStyle w:val="Heading2"/>
        <w:spacing w:after="120" w:before="240"/>
      </w:pPr>
      <w:r>
        <w:rPr>
          <w:b/>
          <w:bCs/>
          <w:color w:val="1F4E5F"/>
        </w:rPr>
        <w:t xml:space="preserve">Bronze Layer</w:t>
      </w:r>
    </w:p>
    <w:p>
      <w:pPr>
        <w:spacing w:after="160" w:line="276"/>
      </w:pPr>
      <w:r>
        <w:rPr>
          <w:rFonts w:ascii="Calibri" w:cs="Calibri" w:eastAsia="Calibri" w:hAnsi="Calibri"/>
          <w:sz w:val="22"/>
          <w:szCs w:val="22"/>
        </w:rPr>
        <w:t xml:space="preserve">The Bronze layer will store raw trip records exactly as ingested, with no transformation applied, preserving full fidelity for auditability and reprocessing. Full-load files (twelve historical months) and incremental files (each newly published month) will land in separate, clearly partitioned Bronze directories (partitioned by year and month), with an added ingestion_timestamp and source_file_name column to track lineage and support reproducible incremental merges.</w:t>
      </w:r>
    </w:p>
    <w:p>
      <w:pPr>
        <w:pStyle w:val="Heading2"/>
        <w:spacing w:after="120" w:before="240"/>
      </w:pPr>
      <w:r>
        <w:rPr>
          <w:b/>
          <w:bCs/>
          <w:color w:val="1F4E5F"/>
        </w:rPr>
        <w:t xml:space="preserve">Bronze-to-Silver Transformation</w:t>
      </w:r>
    </w:p>
    <w:p>
      <w:pPr>
        <w:spacing w:after="160" w:line="276"/>
      </w:pPr>
      <w:r>
        <w:rPr>
          <w:rFonts w:ascii="Calibri" w:cs="Calibri" w:eastAsia="Calibri" w:hAnsi="Calibri"/>
          <w:sz w:val="22"/>
          <w:szCs w:val="22"/>
        </w:rPr>
        <w:t xml:space="preserve">The following cleaning, formatting, and casting steps are anticipated when moving data from Bronze to Silver:</w:t>
      </w:r>
    </w:p>
    <w:p>
      <w:pPr>
        <w:pStyle w:val="ListParagraph"/>
        <w:numPr>
          <w:ilvl w:val="0"/>
          <w:numId w:val="2"/>
        </w:numPr>
        <w:spacing w:after="100" w:line="276"/>
      </w:pPr>
      <w:r>
        <w:rPr>
          <w:rFonts w:ascii="Calibri" w:cs="Calibri" w:eastAsia="Calibri" w:hAnsi="Calibri"/>
          <w:sz w:val="22"/>
          <w:szCs w:val="22"/>
        </w:rPr>
        <w:t xml:space="preserve">Type casting: started_at and ended_at will be cast from string to proper timestamp type; latitude/longitude fields will be cast to double; station IDs will be standardized to a consistent type.</w:t>
      </w:r>
    </w:p>
    <w:p>
      <w:pPr>
        <w:pStyle w:val="ListParagraph"/>
        <w:numPr>
          <w:ilvl w:val="0"/>
          <w:numId w:val="2"/>
        </w:numPr>
        <w:spacing w:after="100" w:line="276"/>
      </w:pPr>
      <w:r>
        <w:rPr>
          <w:rFonts w:ascii="Calibri" w:cs="Calibri" w:eastAsia="Calibri" w:hAnsi="Calibri"/>
          <w:sz w:val="22"/>
          <w:szCs w:val="22"/>
        </w:rPr>
        <w:t xml:space="preserve">Derived fields: a trip_duration_seconds column will be computed from ended_at minus started_at; calendar attributes (trip_date, trip_hour, day_of_week, month) will be derived from started_at.</w:t>
      </w:r>
    </w:p>
    <w:p>
      <w:pPr>
        <w:pStyle w:val="ListParagraph"/>
        <w:numPr>
          <w:ilvl w:val="0"/>
          <w:numId w:val="2"/>
        </w:numPr>
        <w:spacing w:after="100" w:line="276"/>
      </w:pPr>
      <w:r>
        <w:rPr>
          <w:rFonts w:ascii="Calibri" w:cs="Calibri" w:eastAsia="Calibri" w:hAnsi="Calibri"/>
          <w:sz w:val="22"/>
          <w:szCs w:val="22"/>
        </w:rPr>
        <w:t xml:space="preserve">Null and malformed record handling: records with a missing or null station ID, missing timestamps, or a negative/zero trip duration will be flagged and quarantined into a silver_rejected_records table rather than silently dropped.</w:t>
      </w:r>
    </w:p>
    <w:p>
      <w:pPr>
        <w:pStyle w:val="ListParagraph"/>
        <w:numPr>
          <w:ilvl w:val="0"/>
          <w:numId w:val="2"/>
        </w:numPr>
        <w:spacing w:after="100" w:line="276"/>
      </w:pPr>
      <w:r>
        <w:rPr>
          <w:rFonts w:ascii="Calibri" w:cs="Calibri" w:eastAsia="Calibri" w:hAnsi="Calibri"/>
          <w:sz w:val="22"/>
          <w:szCs w:val="22"/>
        </w:rPr>
        <w:t xml:space="preserve">Deduplication: records will be deduplicated on ride_id to address potential overlap between an incremental file and the tail of a previous load.</w:t>
      </w:r>
    </w:p>
    <w:p>
      <w:pPr>
        <w:pStyle w:val="ListParagraph"/>
        <w:numPr>
          <w:ilvl w:val="0"/>
          <w:numId w:val="2"/>
        </w:numPr>
        <w:spacing w:after="100" w:line="276"/>
      </w:pPr>
      <w:r>
        <w:rPr>
          <w:rFonts w:ascii="Calibri" w:cs="Calibri" w:eastAsia="Calibri" w:hAnsi="Calibri"/>
          <w:sz w:val="22"/>
          <w:szCs w:val="22"/>
        </w:rPr>
        <w:t xml:space="preserve">Outlier filtering: trips under 60 seconds (already filtered by Citi Bike per its stated data policy) and trips exceeding a defined upper bound (e.g., 24 hours) will be excluded or flagged.</w:t>
      </w:r>
    </w:p>
    <w:p>
      <w:pPr>
        <w:pStyle w:val="ListParagraph"/>
        <w:numPr>
          <w:ilvl w:val="0"/>
          <w:numId w:val="2"/>
        </w:numPr>
        <w:spacing w:after="100" w:line="276"/>
      </w:pPr>
      <w:r>
        <w:rPr>
          <w:rFonts w:ascii="Calibri" w:cs="Calibri" w:eastAsia="Calibri" w:hAnsi="Calibri"/>
          <w:sz w:val="22"/>
          <w:szCs w:val="22"/>
        </w:rPr>
        <w:t xml:space="preserve">Schema harmonization: minor column-naming differences across monthly files will be normalized to a single consistent schema before merging.</w:t>
      </w:r>
    </w:p>
    <w:p>
      <w:pPr>
        <w:pStyle w:val="Heading2"/>
        <w:spacing w:after="120" w:before="240"/>
      </w:pPr>
      <w:r>
        <w:rPr>
          <w:b/>
          <w:bCs/>
          <w:color w:val="1F4E5F"/>
        </w:rPr>
        <w:t xml:space="preserve">Silver Data Model</w:t>
      </w:r>
    </w:p>
    <w:p>
      <w:pPr>
        <w:spacing w:after="160" w:line="276"/>
      </w:pPr>
      <w:r>
        <w:rPr>
          <w:rFonts w:ascii="Calibri" w:cs="Calibri" w:eastAsia="Calibri" w:hAnsi="Calibri"/>
          <w:sz w:val="22"/>
          <w:szCs w:val="22"/>
        </w:rPr>
        <w:t xml:space="preserve">The Silver layer will consist of a single cleansed, conformed fact-style table, silver_trips, containing one row per validated trip with the fields above standardized and typed, plus a silver_stations reference table (station ID, name, latitude, longitude, first-seen date) deduplicated from the trip data to serve as a clean station lookup.</w:t>
      </w:r>
    </w:p>
    <w:p>
      <w:pPr>
        <w:pStyle w:val="Heading2"/>
        <w:spacing w:after="120" w:before="240"/>
      </w:pPr>
      <w:r>
        <w:rPr>
          <w:b/>
          <w:bCs/>
          <w:color w:val="1F4E5F"/>
        </w:rPr>
        <w:t xml:space="preserve">Gold Layer</w:t>
      </w:r>
    </w:p>
    <w:p>
      <w:pPr>
        <w:spacing w:after="160" w:line="276"/>
      </w:pPr>
      <w:r>
        <w:rPr>
          <w:rFonts w:ascii="Calibri" w:cs="Calibri" w:eastAsia="Calibri" w:hAnsi="Calibri"/>
          <w:sz w:val="22"/>
          <w:szCs w:val="22"/>
        </w:rPr>
        <w:t xml:space="preserve">The Gold layer will be modeled as a star schema optimized for business-analyst consumption in Power BI:</w:t>
      </w:r>
    </w:p>
    <w:p>
      <w:pPr>
        <w:pStyle w:val="ListParagraph"/>
        <w:numPr>
          <w:ilvl w:val="0"/>
          <w:numId w:val="2"/>
        </w:numPr>
        <w:spacing w:after="100" w:line="276"/>
      </w:pPr>
      <w:r>
        <w:rPr>
          <w:rFonts w:ascii="Calibri" w:cs="Calibri" w:eastAsia="Calibri" w:hAnsi="Calibri"/>
          <w:sz w:val="22"/>
          <w:szCs w:val="22"/>
        </w:rPr>
        <w:t xml:space="preserve">fact_trips: one row per trip, with foreign keys to the dimension tables below plus measures (trip_duration_seconds, distance_estimate_km).</w:t>
      </w:r>
    </w:p>
    <w:p>
      <w:pPr>
        <w:pStyle w:val="ListParagraph"/>
        <w:numPr>
          <w:ilvl w:val="0"/>
          <w:numId w:val="2"/>
        </w:numPr>
        <w:spacing w:after="100" w:line="276"/>
      </w:pPr>
      <w:r>
        <w:rPr>
          <w:rFonts w:ascii="Calibri" w:cs="Calibri" w:eastAsia="Calibri" w:hAnsi="Calibri"/>
          <w:sz w:val="22"/>
          <w:szCs w:val="22"/>
        </w:rPr>
        <w:t xml:space="preserve">dim_station: station ID, name, latitude, longitude.</w:t>
      </w:r>
    </w:p>
    <w:p>
      <w:pPr>
        <w:pStyle w:val="ListParagraph"/>
        <w:numPr>
          <w:ilvl w:val="0"/>
          <w:numId w:val="2"/>
        </w:numPr>
        <w:spacing w:after="100" w:line="276"/>
      </w:pPr>
      <w:r>
        <w:rPr>
          <w:rFonts w:ascii="Calibri" w:cs="Calibri" w:eastAsia="Calibri" w:hAnsi="Calibri"/>
          <w:sz w:val="22"/>
          <w:szCs w:val="22"/>
        </w:rPr>
        <w:t xml:space="preserve">dim_date: date, day of week, month, quarter, year, weekend flag.</w:t>
      </w:r>
    </w:p>
    <w:p>
      <w:pPr>
        <w:pStyle w:val="ListParagraph"/>
        <w:numPr>
          <w:ilvl w:val="0"/>
          <w:numId w:val="2"/>
        </w:numPr>
        <w:spacing w:after="100" w:line="276"/>
      </w:pPr>
      <w:r>
        <w:rPr>
          <w:rFonts w:ascii="Calibri" w:cs="Calibri" w:eastAsia="Calibri" w:hAnsi="Calibri"/>
          <w:sz w:val="22"/>
          <w:szCs w:val="22"/>
        </w:rPr>
        <w:t xml:space="preserve">dim_time: hour of day, time-of-day bucket (morning/midday/evening/night).</w:t>
      </w:r>
    </w:p>
    <w:p>
      <w:pPr>
        <w:pStyle w:val="ListParagraph"/>
        <w:numPr>
          <w:ilvl w:val="0"/>
          <w:numId w:val="2"/>
        </w:numPr>
        <w:spacing w:after="100" w:line="276"/>
      </w:pPr>
      <w:r>
        <w:rPr>
          <w:rFonts w:ascii="Calibri" w:cs="Calibri" w:eastAsia="Calibri" w:hAnsi="Calibri"/>
          <w:sz w:val="22"/>
          <w:szCs w:val="22"/>
        </w:rPr>
        <w:t xml:space="preserve">dim_rider_type: member vs. casual, rideable type (classic/electric).</w:t>
      </w:r>
    </w:p>
    <w:p>
      <w:pPr>
        <w:spacing w:after="160" w:line="276"/>
      </w:pPr>
      <w:r>
        <w:rPr>
          <w:rFonts w:ascii="Calibri" w:cs="Calibri" w:eastAsia="Calibri" w:hAnsi="Calibri"/>
          <w:sz w:val="22"/>
          <w:szCs w:val="22"/>
        </w:rPr>
        <w:t xml:space="preserve">Planned aggregated Gold tables built on top of this star schema include:</w:t>
      </w:r>
    </w:p>
    <w:p>
      <w:pPr>
        <w:pStyle w:val="ListParagraph"/>
        <w:numPr>
          <w:ilvl w:val="0"/>
          <w:numId w:val="2"/>
        </w:numPr>
        <w:spacing w:after="100" w:line="276"/>
      </w:pPr>
      <w:r>
        <w:rPr>
          <w:rFonts w:ascii="Calibri" w:cs="Calibri" w:eastAsia="Calibri" w:hAnsi="Calibri"/>
          <w:sz w:val="22"/>
          <w:szCs w:val="22"/>
        </w:rPr>
        <w:t xml:space="preserve">gold_daily_ridership_summary — total trips, average duration, member-vs-casual split, per day.</w:t>
      </w:r>
    </w:p>
    <w:p>
      <w:pPr>
        <w:pStyle w:val="ListParagraph"/>
        <w:numPr>
          <w:ilvl w:val="0"/>
          <w:numId w:val="2"/>
        </w:numPr>
        <w:spacing w:after="100" w:line="276"/>
      </w:pPr>
      <w:r>
        <w:rPr>
          <w:rFonts w:ascii="Calibri" w:cs="Calibri" w:eastAsia="Calibri" w:hAnsi="Calibri"/>
          <w:sz w:val="22"/>
          <w:szCs w:val="22"/>
        </w:rPr>
        <w:t xml:space="preserve">gold_station_popularity — total departures and arrivals per station, per month, to support rebalancing and demand analysis.</w:t>
      </w:r>
    </w:p>
    <w:p>
      <w:pPr>
        <w:pStyle w:val="ListParagraph"/>
        <w:numPr>
          <w:ilvl w:val="0"/>
          <w:numId w:val="2"/>
        </w:numPr>
        <w:spacing w:after="100" w:line="276"/>
      </w:pPr>
      <w:r>
        <w:rPr>
          <w:rFonts w:ascii="Calibri" w:cs="Calibri" w:eastAsia="Calibri" w:hAnsi="Calibri"/>
          <w:sz w:val="22"/>
          <w:szCs w:val="22"/>
        </w:rPr>
        <w:t xml:space="preserve">gold_hourly_demand_pattern — trip counts by hour-of-day and day-of-week, to support peak-usage analysis.</w:t>
      </w:r>
    </w:p>
    <w:p>
      <w:pPr>
        <w:pBdr>
          <w:bottom w:val="single" w:color="CCCCCC" w:sz="6" w:space="1"/>
        </w:pBdr>
        <w:spacing w:after="200" w:before="100"/>
      </w:pPr>
      <w:r>
        <w:t xml:space="preserve"/>
      </w:r>
    </w:p>
    <w:p>
      <w:pPr>
        <w:pStyle w:val="Heading1"/>
        <w:spacing w:after="160" w:before="360"/>
      </w:pPr>
      <w:r>
        <w:rPr>
          <w:b/>
          <w:bCs/>
        </w:rPr>
        <w:t xml:space="preserve">5. Business Intelligence &amp; Dashboards</w:t>
      </w:r>
    </w:p>
    <w:p>
      <w:pPr>
        <w:pStyle w:val="Heading2"/>
        <w:spacing w:after="120" w:before="240"/>
      </w:pPr>
      <w:r>
        <w:rPr>
          <w:b/>
          <w:bCs/>
          <w:color w:val="1F4E5F"/>
        </w:rPr>
        <w:t xml:space="preserve">Dashboard Overview</w:t>
      </w:r>
    </w:p>
    <w:p>
      <w:pPr>
        <w:spacing w:after="160" w:line="276"/>
      </w:pPr>
      <w:r>
        <w:rPr>
          <w:rFonts w:ascii="Calibri" w:cs="Calibri" w:eastAsia="Calibri" w:hAnsi="Calibri"/>
          <w:sz w:val="22"/>
          <w:szCs w:val="22"/>
        </w:rPr>
        <w:t xml:space="preserve">A Power BI dashboard will be developed on top of the Gold-layer tables (gold_daily_ridership_summary, gold_station_popularity, gold_hourly_demand_pattern, and the underlying star schema), structured around three business questions relevant to a bike-share operator: demand forecasting, station-level operations, and ridership growth.</w:t>
      </w:r>
    </w:p>
    <w:p>
      <w:pPr>
        <w:pStyle w:val="Heading2"/>
        <w:spacing w:after="120" w:before="240"/>
      </w:pPr>
      <w:r>
        <w:rPr>
          <w:b/>
          <w:bCs/>
          <w:color w:val="1F4E5F"/>
        </w:rPr>
        <w:t xml:space="preserve">Business Questions Addressed</w:t>
      </w:r>
    </w:p>
    <w:p>
      <w:pPr>
        <w:pStyle w:val="ListParagraph"/>
        <w:numPr>
          <w:ilvl w:val="0"/>
          <w:numId w:val="2"/>
        </w:numPr>
        <w:spacing w:after="100" w:line="276"/>
      </w:pPr>
      <w:r>
        <w:rPr>
          <w:rFonts w:ascii="Calibri" w:cs="Calibri" w:eastAsia="Calibri" w:hAnsi="Calibri"/>
          <w:sz w:val="22"/>
          <w:szCs w:val="22"/>
        </w:rPr>
        <w:t xml:space="preserve">How does ridership volume vary by day, season, and time of day, and what does this imply for fleet and staffing planning?</w:t>
      </w:r>
    </w:p>
    <w:p>
      <w:pPr>
        <w:pStyle w:val="ListParagraph"/>
        <w:numPr>
          <w:ilvl w:val="0"/>
          <w:numId w:val="2"/>
        </w:numPr>
        <w:spacing w:after="100" w:line="276"/>
      </w:pPr>
      <w:r>
        <w:rPr>
          <w:rFonts w:ascii="Calibri" w:cs="Calibri" w:eastAsia="Calibri" w:hAnsi="Calibri"/>
          <w:sz w:val="22"/>
          <w:szCs w:val="22"/>
        </w:rPr>
        <w:t xml:space="preserve">Which stations experience the highest departure and arrival volume, and where are imbalances most severe, indicating a need for bike rebalancing?</w:t>
      </w:r>
    </w:p>
    <w:p>
      <w:pPr>
        <w:pStyle w:val="ListParagraph"/>
        <w:numPr>
          <w:ilvl w:val="0"/>
          <w:numId w:val="2"/>
        </w:numPr>
        <w:spacing w:after="100" w:line="276"/>
      </w:pPr>
      <w:r>
        <w:rPr>
          <w:rFonts w:ascii="Calibri" w:cs="Calibri" w:eastAsia="Calibri" w:hAnsi="Calibri"/>
          <w:sz w:val="22"/>
          <w:szCs w:val="22"/>
        </w:rPr>
        <w:t xml:space="preserve">How is the rider base composed (member vs. casual), and how has this composition shifted month over month?</w:t>
      </w:r>
    </w:p>
    <w:p>
      <w:pPr>
        <w:pStyle w:val="Heading2"/>
        <w:spacing w:after="120" w:before="240"/>
      </w:pPr>
      <w:r>
        <w:rPr>
          <w:b/>
          <w:bCs/>
          <w:color w:val="1F4E5F"/>
        </w:rPr>
        <w:t xml:space="preserve">Planned Visuals</w:t>
      </w:r>
    </w:p>
    <w:p>
      <w:pPr>
        <w:pStyle w:val="ListParagraph"/>
        <w:numPr>
          <w:ilvl w:val="0"/>
          <w:numId w:val="2"/>
        </w:numPr>
        <w:spacing w:after="100" w:line="276"/>
      </w:pPr>
      <w:r>
        <w:rPr>
          <w:rFonts w:ascii="Calibri" w:cs="Calibri" w:eastAsia="Calibri" w:hAnsi="Calibri"/>
          <w:sz w:val="22"/>
          <w:szCs w:val="22"/>
        </w:rPr>
        <w:t xml:space="preserve">Ridership Trend Line Chart — daily or weekly total trips over the full-load and incremental period, with a secondary series breaking out member vs. casual riders.</w:t>
      </w:r>
    </w:p>
    <w:p>
      <w:pPr>
        <w:pStyle w:val="ListParagraph"/>
        <w:numPr>
          <w:ilvl w:val="0"/>
          <w:numId w:val="2"/>
        </w:numPr>
        <w:spacing w:after="100" w:line="276"/>
      </w:pPr>
      <w:r>
        <w:rPr>
          <w:rFonts w:ascii="Calibri" w:cs="Calibri" w:eastAsia="Calibri" w:hAnsi="Calibri"/>
          <w:sz w:val="22"/>
          <w:szCs w:val="22"/>
        </w:rPr>
        <w:t xml:space="preserve">Station Demand Map / Ranked Bar Chart — top and bottom stations by combined departure and arrival volume, with a supplementary imbalance metric (departures minus arrivals) to flag stations requiring rebalancing.</w:t>
      </w:r>
    </w:p>
    <w:p>
      <w:pPr>
        <w:pStyle w:val="ListParagraph"/>
        <w:numPr>
          <w:ilvl w:val="0"/>
          <w:numId w:val="2"/>
        </w:numPr>
        <w:spacing w:after="100" w:line="276"/>
      </w:pPr>
      <w:r>
        <w:rPr>
          <w:rFonts w:ascii="Calibri" w:cs="Calibri" w:eastAsia="Calibri" w:hAnsi="Calibri"/>
          <w:sz w:val="22"/>
          <w:szCs w:val="22"/>
        </w:rPr>
        <w:t xml:space="preserve">Hour-by-Day Heatmap — trip counts across hour-of-day and day-of-week, surfacing commute-pattern peaks versus weekend leisure-ridership patterns.</w:t>
      </w:r>
    </w:p>
    <w:p>
      <w:pPr>
        <w:spacing w:after="160" w:line="276"/>
      </w:pPr>
      <w:r>
        <w:rPr>
          <w:rFonts w:ascii="Calibri" w:cs="Calibri" w:eastAsia="Calibri" w:hAnsi="Calibri"/>
          <w:sz w:val="22"/>
          <w:szCs w:val="22"/>
        </w:rPr>
        <w:t xml:space="preserve">An optional KPI summary panel (total trips, average trip duration, member-share percentage, month-over-month growth) will be included as a dashboard header if time permits, giving analysts an at-a-glance operational snapshot before drilling into the three charts above.</w:t>
      </w:r>
    </w:p>
    <w:p>
      <w:pPr>
        <w:pBdr>
          <w:bottom w:val="single" w:color="CCCCCC" w:sz="6" w:space="1"/>
        </w:pBdr>
        <w:spacing w:after="200" w:before="100"/>
      </w:pPr>
      <w:r>
        <w:t xml:space="preserve"/>
      </w:r>
    </w:p>
    <w:p>
      <w:pPr>
        <w:pStyle w:val="Heading1"/>
        <w:spacing w:after="160" w:before="360"/>
      </w:pPr>
      <w:r>
        <w:rPr>
          <w:b/>
          <w:bCs/>
        </w:rPr>
        <w:t xml:space="preserve">6. Engineering Setup &amp; FinOps</w:t>
      </w:r>
    </w:p>
    <w:p>
      <w:pPr>
        <w:pStyle w:val="Heading2"/>
        <w:spacing w:after="120" w:before="240"/>
      </w:pPr>
      <w:r>
        <w:rPr>
          <w:b/>
          <w:bCs/>
          <w:color w:val="1F4E5F"/>
        </w:rPr>
        <w:t xml:space="preserve">Version Control</w:t>
      </w:r>
    </w:p>
    <w:p>
      <w:pPr>
        <w:spacing w:after="160" w:line="276"/>
      </w:pPr>
      <w:r>
        <w:rPr>
          <w:rFonts w:ascii="Calibri" w:cs="Calibri" w:eastAsia="Calibri" w:hAnsi="Calibri"/>
          <w:sz w:val="22"/>
          <w:szCs w:val="22"/>
        </w:rPr>
        <w:t xml:space="preserve">A dedicated GitHub repository will be created for this project, structured to separate raw sample data, pipeline code, and documentation (e.g., /data/samples, /notebooks, /docs). The repository link is provided in the team information table at the start of this document. Trimmed sample files representing the full-load and incremental-load payloads (Section 2) will be committed to the repository, while complete monthly files will be retrieved directly from the Citi Bike S3 source at pipeline runtime rather than stored in version control.</w:t>
      </w:r>
    </w:p>
    <w:p>
      <w:pPr>
        <w:pStyle w:val="Heading2"/>
        <w:spacing w:after="120" w:before="240"/>
      </w:pPr>
      <w:r>
        <w:rPr>
          <w:b/>
          <w:bCs/>
          <w:color w:val="1F4E5F"/>
        </w:rPr>
        <w:t xml:space="preserve">Infrastructure</w:t>
      </w:r>
    </w:p>
    <w:p>
      <w:pPr>
        <w:spacing w:after="160" w:line="276"/>
      </w:pPr>
      <w:r>
        <w:rPr>
          <w:rFonts w:ascii="Calibri" w:cs="Calibri" w:eastAsia="Calibri" w:hAnsi="Calibri"/>
          <w:sz w:val="22"/>
          <w:szCs w:val="22"/>
        </w:rPr>
        <w:t xml:space="preserve">The pipeline will be developed and executed using Databricks Community Edition, which provides a free Spark cluster suitable for the estimated data volumes outlined in Section 2 (approximately 4–6 GB uncompressed for the full-load baseline, with incremental batches of 60–150 MB compressed per month). Should Community Edition's compute or storage limits prove restrictive during development, Azure for Students credits will be used as a fallback, providing access to Azure Databricks or an equivalent Spark environment.</w:t>
      </w:r>
    </w:p>
    <w:p>
      <w:pPr>
        <w:pStyle w:val="Heading2"/>
        <w:spacing w:after="120" w:before="240"/>
      </w:pPr>
      <w:r>
        <w:rPr>
          <w:b/>
          <w:bCs/>
          <w:color w:val="1F4E5F"/>
        </w:rPr>
        <w:t xml:space="preserve">Cost / FinOps Awareness</w:t>
      </w:r>
    </w:p>
    <w:p>
      <w:pPr>
        <w:spacing w:after="160" w:line="276"/>
      </w:pPr>
      <w:r>
        <w:rPr>
          <w:rFonts w:ascii="Calibri" w:cs="Calibri" w:eastAsia="Calibri" w:hAnsi="Calibri"/>
          <w:sz w:val="22"/>
          <w:szCs w:val="22"/>
        </w:rPr>
        <w:t xml:space="preserve">The following practices will be followed to manage free-tier compute and storage limits across the semester:</w:t>
      </w:r>
    </w:p>
    <w:p>
      <w:pPr>
        <w:pStyle w:val="ListParagraph"/>
        <w:numPr>
          <w:ilvl w:val="0"/>
          <w:numId w:val="2"/>
        </w:numPr>
        <w:spacing w:after="100" w:line="276"/>
      </w:pPr>
      <w:r>
        <w:rPr>
          <w:rFonts w:ascii="Calibri" w:cs="Calibri" w:eastAsia="Calibri" w:hAnsi="Calibri"/>
          <w:sz w:val="22"/>
          <w:szCs w:val="22"/>
        </w:rPr>
        <w:t xml:space="preserve">Bounded baseline scope: the full-load baseline will initially target a twelve-month window; if cluster memory or storage constraints are encountered, this will be reduced to six months rather than scaling up infrastructure.</w:t>
      </w:r>
    </w:p>
    <w:p>
      <w:pPr>
        <w:pStyle w:val="ListParagraph"/>
        <w:numPr>
          <w:ilvl w:val="0"/>
          <w:numId w:val="2"/>
        </w:numPr>
        <w:spacing w:after="100" w:line="276"/>
      </w:pPr>
      <w:r>
        <w:rPr>
          <w:rFonts w:ascii="Calibri" w:cs="Calibri" w:eastAsia="Calibri" w:hAnsi="Calibri"/>
          <w:sz w:val="22"/>
          <w:szCs w:val="22"/>
        </w:rPr>
        <w:t xml:space="preserve">Development on samples, validation on full data: pipeline logic will be developed and iterated against the trimmed sample files, with full-volume runs reserved for validation checkpoints.</w:t>
      </w:r>
    </w:p>
    <w:p>
      <w:pPr>
        <w:pStyle w:val="ListParagraph"/>
        <w:numPr>
          <w:ilvl w:val="0"/>
          <w:numId w:val="2"/>
        </w:numPr>
        <w:spacing w:after="100" w:line="276"/>
      </w:pPr>
      <w:r>
        <w:rPr>
          <w:rFonts w:ascii="Calibri" w:cs="Calibri" w:eastAsia="Calibri" w:hAnsi="Calibri"/>
          <w:sz w:val="22"/>
          <w:szCs w:val="22"/>
        </w:rPr>
        <w:t xml:space="preserve">Cluster hygiene: Databricks clusters will be terminated immediately after each working session rather than left idle, since idle clusters against free-tier or student credits represent unnecessary cost.</w:t>
      </w:r>
    </w:p>
    <w:p>
      <w:pPr>
        <w:pStyle w:val="ListParagraph"/>
        <w:numPr>
          <w:ilvl w:val="0"/>
          <w:numId w:val="2"/>
        </w:numPr>
        <w:spacing w:after="100" w:line="276"/>
      </w:pPr>
      <w:r>
        <w:rPr>
          <w:rFonts w:ascii="Calibri" w:cs="Calibri" w:eastAsia="Calibri" w:hAnsi="Calibri"/>
          <w:sz w:val="22"/>
          <w:szCs w:val="22"/>
        </w:rPr>
        <w:t xml:space="preserve">Incremental testing at small scale: incremental-load logic will first be tested against a small synthetic subset before being run against the full incremental monthly file.</w:t>
      </w:r>
    </w:p>
    <w:p>
      <w:pPr>
        <w:pStyle w:val="ListParagraph"/>
        <w:numPr>
          <w:ilvl w:val="0"/>
          <w:numId w:val="2"/>
        </w:numPr>
        <w:spacing w:after="100" w:line="276"/>
      </w:pPr>
      <w:r>
        <w:rPr>
          <w:rFonts w:ascii="Calibri" w:cs="Calibri" w:eastAsia="Calibri" w:hAnsi="Calibri"/>
          <w:sz w:val="22"/>
          <w:szCs w:val="22"/>
        </w:rPr>
        <w:t xml:space="preserve">Monitoring: Azure Cost Management (if Azure for Students is used) will be checked periodically against the allocated credit to ensure the budget is not exhausted before Phase 3 delivery.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vw2wxa9cecgk11zaoa5h" Type="http://schemas.openxmlformats.org/officeDocument/2006/relationships/hyperlink" Target="https://s3.amazonaws.com/tripdata/index.html"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2026-09-30T23:17:11.844Z</dcterms:created>
  <dcterms:modified xsi:type="dcterms:W3CDTF">2026-09-30T23:17:11.849Z</dcterms:modified>
</cp:coreProperties>
</file>

<file path=docProps/custom.xml><?xml version="1.0" encoding="utf-8"?>
<Properties xmlns="http://schemas.openxmlformats.org/officeDocument/2006/custom-properties" xmlns:vt="http://schemas.openxmlformats.org/officeDocument/2006/docPropsVTypes"/>
</file>