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4E5F"/>
          <w:sz w:val="36"/>
          <w:szCs w:val="36"/>
        </w:rPr>
        <w:t xml:space="preserve">Data Analysis and Visualization</w:t>
      </w:r>
    </w:p>
    <w:p>
      <w:pPr>
        <w:spacing w:after="40"/>
        <w:jc w:val="center"/>
      </w:pPr>
      <w:r>
        <w:rPr>
          <w:rFonts w:ascii="Calibri" w:cs="Calibri" w:eastAsia="Calibri" w:hAnsi="Calibri"/>
          <w:b/>
          <w:bCs/>
          <w:sz w:val="26"/>
          <w:szCs w:val="26"/>
        </w:rPr>
        <w:t xml:space="preserve">Semester Project — Phase 1: Project Proposal</w:t>
      </w:r>
    </w:p>
    <w:p>
      <w:pPr>
        <w:spacing w:after="40"/>
        <w:jc w:val="center"/>
      </w:pPr>
      <w:r>
        <w:rPr>
          <w:rFonts w:ascii="Calibri" w:cs="Calibri" w:eastAsia="Calibri" w:hAnsi="Calibri"/>
          <w:i/>
          <w:iCs/>
          <w:sz w:val="22"/>
          <w:szCs w:val="22"/>
        </w:rPr>
        <w:t xml:space="preserve">Domain: Urban Mobility Analytics — NYC Citi Bike System Data</w:t>
      </w:r>
    </w:p>
    <w:p>
      <w:pPr>
        <w:spacing w:after="400"/>
        <w:jc w:val="center"/>
      </w:pPr>
      <w:r>
        <w:rPr>
          <w:rFonts w:ascii="Calibri" w:cs="Calibri" w:eastAsia="Calibri" w:hAnsi="Calibri"/>
          <w:color w:val="555555"/>
          <w:sz w:val="20"/>
          <w:szCs w:val="20"/>
        </w:rPr>
        <w:t xml:space="preserve">Prepared using Apache Spark on Databricks Community Edition / Azure for Students</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3000"/>
        <w:gridCol w:w="6660"/>
      </w:tblGrid>
      <w:tr>
        <w:trPr>
          <w:tblHeader/>
        </w:trPr>
        <w:tc>
          <w:tcPr>
            <w:tcW w:type="dxa" w:w="3000"/>
            <w:shd w:fill="1F4E5F" w:color="auto" w:val="clear"/>
            <w:tcMar>
              <w:top w:type="dxa" w:w="100"/>
              <w:left w:type="dxa" w:w="120"/>
              <w:bottom w:type="dxa" w:w="100"/>
              <w:right w:type="dxa" w:w="120"/>
            </w:tcMar>
          </w:tcPr>
          <w:p>
            <w:r>
              <w:rPr>
                <w:rFonts w:ascii="Calibri" w:cs="Calibri" w:eastAsia="Calibri" w:hAnsi="Calibri"/>
                <w:b/>
                <w:bCs/>
                <w:color w:val="FFFFFF"/>
                <w:sz w:val="20"/>
                <w:szCs w:val="20"/>
              </w:rPr>
              <w:t xml:space="preserve">Field</w:t>
            </w:r>
          </w:p>
        </w:tc>
        <w:tc>
          <w:tcPr>
            <w:tcW w:type="dxa" w:w="6660"/>
            <w:shd w:fill="1F4E5F" w:color="auto" w:val="clear"/>
            <w:tcMar>
              <w:top w:type="dxa" w:w="100"/>
              <w:left w:type="dxa" w:w="120"/>
              <w:bottom w:type="dxa" w:w="100"/>
              <w:right w:type="dxa" w:w="120"/>
            </w:tcMar>
          </w:tcPr>
          <w:p>
            <w:r>
              <w:rPr>
                <w:rFonts w:ascii="Calibri" w:cs="Calibri" w:eastAsia="Calibri" w:hAnsi="Calibri"/>
                <w:b/>
                <w:bCs/>
                <w:color w:val="FFFFFF"/>
                <w:sz w:val="20"/>
                <w:szCs w:val="20"/>
              </w:rPr>
              <w:t xml:space="preserve">Details</w:t>
            </w:r>
          </w:p>
        </w:tc>
      </w:tr>
      <w:tr>
        <w:tc>
          <w:tcPr>
            <w:tcW w:type="dxa" w:w="3000"/>
            <w:tcMar>
              <w:top w:type="dxa" w:w="100"/>
              <w:left w:type="dxa" w:w="120"/>
              <w:bottom w:type="dxa" w:w="100"/>
              <w:right w:type="dxa" w:w="120"/>
            </w:tcMar>
          </w:tcPr>
          <w:p>
            <w:r>
              <w:rPr>
                <w:rFonts w:ascii="Calibri" w:cs="Calibri" w:eastAsia="Calibri" w:hAnsi="Calibri"/>
                <w:b w:val="false"/>
                <w:bCs w:val="false"/>
                <w:color w:val="000000"/>
                <w:sz w:val="20"/>
                <w:szCs w:val="20"/>
              </w:rPr>
              <w:t xml:space="preserve">Team Members</w:t>
            </w:r>
          </w:p>
        </w:tc>
        <w:tc>
          <w:tcPr>
            <w:tcW w:type="dxa" w:w="6660"/>
            <w:tcMar>
              <w:top w:type="dxa" w:w="100"/>
              <w:left w:type="dxa" w:w="120"/>
              <w:bottom w:type="dxa" w:w="100"/>
              <w:right w:type="dxa" w:w="120"/>
            </w:tcMar>
          </w:tcPr>
          <w:p>
            <w:r>
              <w:rPr>
                <w:rFonts w:ascii="Calibri" w:cs="Calibri" w:eastAsia="Calibri" w:hAnsi="Calibri"/>
                <w:b w:val="false"/>
                <w:bCs w:val="false"/>
                <w:color w:val="000000"/>
                <w:sz w:val="20"/>
                <w:szCs w:val="20"/>
              </w:rPr>
              <w:t xml:space="preserve">[Name 1], [Name 2]</w:t>
            </w:r>
          </w:p>
        </w:tc>
      </w:tr>
      <w:tr>
        <w:tc>
          <w:tcPr>
            <w:tcW w:type="dxa" w:w="3000"/>
            <w:tcMar>
              <w:top w:type="dxa" w:w="100"/>
              <w:left w:type="dxa" w:w="120"/>
              <w:bottom w:type="dxa" w:w="100"/>
              <w:right w:type="dxa" w:w="120"/>
            </w:tcMar>
          </w:tcPr>
          <w:p>
            <w:r>
              <w:rPr>
                <w:rFonts w:ascii="Calibri" w:cs="Calibri" w:eastAsia="Calibri" w:hAnsi="Calibri"/>
                <w:b w:val="false"/>
                <w:bCs w:val="false"/>
                <w:color w:val="000000"/>
                <w:sz w:val="20"/>
                <w:szCs w:val="20"/>
              </w:rPr>
              <w:t xml:space="preserve">Course</w:t>
            </w:r>
          </w:p>
        </w:tc>
        <w:tc>
          <w:tcPr>
            <w:tcW w:type="dxa" w:w="6660"/>
            <w:tcMar>
              <w:top w:type="dxa" w:w="100"/>
              <w:left w:type="dxa" w:w="120"/>
              <w:bottom w:type="dxa" w:w="100"/>
              <w:right w:type="dxa" w:w="120"/>
            </w:tcMar>
          </w:tcPr>
          <w:p>
            <w:r>
              <w:rPr>
                <w:rFonts w:ascii="Calibri" w:cs="Calibri" w:eastAsia="Calibri" w:hAnsi="Calibri"/>
                <w:b w:val="false"/>
                <w:bCs w:val="false"/>
                <w:color w:val="000000"/>
                <w:sz w:val="20"/>
                <w:szCs w:val="20"/>
              </w:rPr>
              <w:t xml:space="preserve">[Course name / code]</w:t>
            </w:r>
          </w:p>
        </w:tc>
      </w:tr>
      <w:tr>
        <w:tc>
          <w:tcPr>
            <w:tcW w:type="dxa" w:w="3000"/>
            <w:tcMar>
              <w:top w:type="dxa" w:w="100"/>
              <w:left w:type="dxa" w:w="120"/>
              <w:bottom w:type="dxa" w:w="100"/>
              <w:right w:type="dxa" w:w="120"/>
            </w:tcMar>
          </w:tcPr>
          <w:p>
            <w:r>
              <w:rPr>
                <w:rFonts w:ascii="Calibri" w:cs="Calibri" w:eastAsia="Calibri" w:hAnsi="Calibri"/>
                <w:b w:val="false"/>
                <w:bCs w:val="false"/>
                <w:color w:val="000000"/>
                <w:sz w:val="20"/>
                <w:szCs w:val="20"/>
              </w:rPr>
              <w:t xml:space="preserve">Submission Date</w:t>
            </w:r>
          </w:p>
        </w:tc>
        <w:tc>
          <w:tcPr>
            <w:tcW w:type="dxa" w:w="6660"/>
            <w:tcMar>
              <w:top w:type="dxa" w:w="100"/>
              <w:left w:type="dxa" w:w="120"/>
              <w:bottom w:type="dxa" w:w="100"/>
              <w:right w:type="dxa" w:w="120"/>
            </w:tcMar>
          </w:tcPr>
          <w:p>
            <w:r>
              <w:rPr>
                <w:rFonts w:ascii="Calibri" w:cs="Calibri" w:eastAsia="Calibri" w:hAnsi="Calibri"/>
                <w:b w:val="false"/>
                <w:bCs w:val="false"/>
                <w:color w:val="000000"/>
                <w:sz w:val="20"/>
                <w:szCs w:val="20"/>
              </w:rPr>
              <w:t xml:space="preserve">[Date]</w:t>
            </w:r>
          </w:p>
        </w:tc>
      </w:tr>
      <w:tr>
        <w:tc>
          <w:tcPr>
            <w:tcW w:type="dxa" w:w="3000"/>
            <w:tcMar>
              <w:top w:type="dxa" w:w="100"/>
              <w:left w:type="dxa" w:w="120"/>
              <w:bottom w:type="dxa" w:w="100"/>
              <w:right w:type="dxa" w:w="120"/>
            </w:tcMar>
          </w:tcPr>
          <w:p>
            <w:r>
              <w:rPr>
                <w:rFonts w:ascii="Calibri" w:cs="Calibri" w:eastAsia="Calibri" w:hAnsi="Calibri"/>
                <w:b w:val="false"/>
                <w:bCs w:val="false"/>
                <w:color w:val="000000"/>
                <w:sz w:val="20"/>
                <w:szCs w:val="20"/>
              </w:rPr>
              <w:t xml:space="preserve">GitHub Repository</w:t>
            </w:r>
          </w:p>
        </w:tc>
        <w:tc>
          <w:tcPr>
            <w:tcW w:type="dxa" w:w="6660"/>
            <w:tcMar>
              <w:top w:type="dxa" w:w="100"/>
              <w:left w:type="dxa" w:w="120"/>
              <w:bottom w:type="dxa" w:w="100"/>
              <w:right w:type="dxa" w:w="120"/>
            </w:tcMar>
          </w:tcPr>
          <w:p>
            <w:r>
              <w:rPr>
                <w:rFonts w:ascii="Calibri" w:cs="Calibri" w:eastAsia="Calibri" w:hAnsi="Calibri"/>
                <w:b w:val="false"/>
                <w:bCs w:val="false"/>
                <w:color w:val="000000"/>
                <w:sz w:val="20"/>
                <w:szCs w:val="20"/>
              </w:rPr>
              <w:t xml:space="preserve">[Insert repository link here]</w:t>
            </w:r>
          </w:p>
        </w:tc>
      </w:tr>
    </w:tbl>
    <w:p>
      <w:pPr>
        <w:spacing w:after="300"/>
      </w:pPr>
    </w:p>
    <w:p>
      <w:pPr>
        <w:pBdr>
          <w:bottom w:val="single" w:color="CCCCCC" w:sz="6" w:space="1"/>
        </w:pBdr>
        <w:spacing w:after="200" w:before="100"/>
      </w:pPr>
      <w:r>
        <w:t xml:space="preserve"/>
      </w:r>
    </w:p>
    <w:p>
      <w:pPr>
        <w:pStyle w:val="Heading1"/>
        <w:spacing w:after="160" w:before="360"/>
      </w:pPr>
      <w:r>
        <w:rPr>
          <w:b/>
          <w:bCs/>
        </w:rPr>
        <w:t xml:space="preserve">1. Domain &amp; Source Identification</w:t>
      </w:r>
    </w:p>
    <w:p>
      <w:pPr>
        <w:pStyle w:val="Heading2"/>
        <w:spacing w:after="120" w:before="240"/>
      </w:pPr>
      <w:r>
        <w:rPr>
          <w:b/>
          <w:bCs/>
          <w:color w:val="1F4E5F"/>
        </w:rPr>
        <w:t xml:space="preserve">Project Concept</w:t>
      </w:r>
    </w:p>
    <w:p>
      <w:pPr>
        <w:spacing w:after="160" w:line="276"/>
      </w:pPr>
      <w:r>
        <w:rPr>
          <w:rFonts w:ascii="Calibri" w:cs="Calibri" w:eastAsia="Calibri" w:hAnsi="Calibri"/>
          <w:sz w:val="22"/>
          <w:szCs w:val="22"/>
        </w:rPr>
        <w:t xml:space="preserve">The chosen domain is urban mobility and transportation analytics, using New York City's Citi Bike bike-share system. The project analyzes ridership patterns, station demand, and rider behavior to answer operational and business questions relevant to a bike-share operator, such as station rebalancing needs and demand forecasting.</w:t>
      </w:r>
    </w:p>
    <w:p>
      <w:pPr>
        <w:pStyle w:val="Heading2"/>
        <w:spacing w:after="120" w:before="240"/>
      </w:pPr>
      <w:r>
        <w:rPr>
          <w:b/>
          <w:bCs/>
          <w:color w:val="1F4E5F"/>
        </w:rPr>
        <w:t xml:space="preserve">Data Source</w:t>
      </w:r>
    </w:p>
    <w:p>
      <w:pPr>
        <w:spacing w:after="160" w:line="276"/>
      </w:pPr>
      <w:r>
        <w:rPr>
          <w:rFonts w:ascii="Calibri" w:cs="Calibri" w:eastAsia="Calibri" w:hAnsi="Calibri"/>
          <w:b/>
          <w:bCs/>
          <w:sz w:val="22"/>
          <w:szCs w:val="22"/>
        </w:rPr>
        <w:t xml:space="preserve">Primary source: </w:t>
      </w:r>
      <w:r>
        <w:rPr>
          <w:rFonts w:ascii="Calibri" w:cs="Calibri" w:eastAsia="Calibri" w:hAnsi="Calibri"/>
          <w:sz w:val="22"/>
          <w:szCs w:val="22"/>
        </w:rPr>
        <w:t xml:space="preserve">Citi Bike's official System Data, published as monthly CSV files at </w:t>
      </w:r>
      <w:hyperlink w:history="1" r:id="rIdrs1l7nozqhvuuomb60ejx">
        <w:r>
          <w:rPr>
            <w:rStyle w:val="Hyperlink"/>
            <w:rFonts w:ascii="Calibri" w:cs="Calibri" w:eastAsia="Calibri" w:hAnsi="Calibri"/>
            <w:sz w:val="22"/>
            <w:szCs w:val="22"/>
          </w:rPr>
          <w:t xml:space="preserve">https://s3.amazonaws.com/tripdata/index.html</w:t>
        </w:r>
      </w:hyperlink>
      <w:r>
        <w:rPr>
          <w:rFonts w:ascii="Calibri" w:cs="Calibri" w:eastAsia="Calibri" w:hAnsi="Calibri"/>
          <w:sz w:val="22"/>
          <w:szCs w:val="22"/>
        </w:rPr>
        <w:t xml:space="preserve">, an open, public Amazon S3 bucket requiring no authentication. Files follow the naming pattern YYYYMM-citibike-tripdata.csv.zip (e.g., 202401-citibike-tripdata.csv.zip), each containing all completed trips for that month across New York City. Fields include ride_id, rideable_type, started_at, ended_at, start and end station name/ID, start and end latitude/longitude, and member_casual.</w:t>
      </w:r>
    </w:p>
    <w:p>
      <w:pPr>
        <w:spacing w:after="160" w:line="276"/>
      </w:pPr>
      <w:r>
        <w:rPr>
          <w:rFonts w:ascii="Calibri" w:cs="Calibri" w:eastAsia="Calibri" w:hAnsi="Calibri"/>
          <w:b/>
          <w:bCs/>
          <w:sz w:val="22"/>
          <w:szCs w:val="22"/>
        </w:rPr>
        <w:t xml:space="preserve">Secondary source (supplementary): </w:t>
      </w:r>
      <w:r>
        <w:rPr>
          <w:rFonts w:ascii="Calibri" w:cs="Calibri" w:eastAsia="Calibri" w:hAnsi="Calibri"/>
          <w:sz w:val="22"/>
          <w:szCs w:val="22"/>
        </w:rPr>
        <w:t xml:space="preserve">Citi Bike's real-time General Bikeshare Feed Specification (GBFS) feed, a live JSON API exposing current station status. This may be incorporated as a second, API-based incremental stream in addition to the file-based monthly releases.</w:t>
      </w:r>
    </w:p>
    <w:p>
      <w:pPr>
        <w:pStyle w:val="Heading2"/>
        <w:spacing w:after="120" w:before="240"/>
      </w:pPr>
      <w:r>
        <w:rPr>
          <w:b/>
          <w:bCs/>
          <w:color w:val="1F4E5F"/>
        </w:rPr>
        <w:t xml:space="preserve">Ingestion Pattern</w:t>
      </w:r>
    </w:p>
    <w:p>
      <w:pPr>
        <w:pStyle w:val="ListParagraph"/>
        <w:numPr>
          <w:ilvl w:val="0"/>
          <w:numId w:val="2"/>
        </w:numPr>
        <w:spacing w:after="100" w:line="276"/>
      </w:pPr>
      <w:r>
        <w:rPr>
          <w:rFonts w:ascii="Calibri" w:cs="Calibri" w:eastAsia="Calibri" w:hAnsi="Calibri"/>
          <w:sz w:val="22"/>
          <w:szCs w:val="22"/>
        </w:rPr>
        <w:t xml:space="preserve">Full Load: The historical baseline will be constructed by ingesting a defined window of monthly trip files (initially twelve months, reducible to six if resource constraints require) as the Bronze-layer historical dataset.</w:t>
      </w:r>
    </w:p>
    <w:p>
      <w:pPr>
        <w:pStyle w:val="ListParagraph"/>
        <w:numPr>
          <w:ilvl w:val="0"/>
          <w:numId w:val="2"/>
        </w:numPr>
        <w:spacing w:after="100" w:line="276"/>
      </w:pPr>
      <w:r>
        <w:rPr>
          <w:rFonts w:ascii="Calibri" w:cs="Calibri" w:eastAsia="Calibri" w:hAnsi="Calibri"/>
          <w:sz w:val="22"/>
          <w:szCs w:val="22"/>
        </w:rPr>
        <w:t xml:space="preserve">Incremental Load: Citi Bike publishes a new monthly file on a regular cadence shortly after each month-end. The pipeline will treat the newest published month(s) as the incremental feed, appending new records into Bronze and reconciling them into Silver and Gold. The GBFS feed, if incorporated, provides an additional real-time incremental source polled on a daily or hourly basis.</w:t>
      </w:r>
    </w:p>
    <w:p>
      <w:pPr>
        <w:spacing w:after="160" w:line="276"/>
      </w:pPr>
      <w:r>
        <w:rPr>
          <w:rFonts w:ascii="Calibri" w:cs="Calibri" w:eastAsia="Calibri" w:hAnsi="Calibri"/>
          <w:sz w:val="22"/>
          <w:szCs w:val="22"/>
        </w:rPr>
        <w:t xml:space="preserve">This satisfies the dual-load requirement using a single trusted, authoritative source: the historical S3 archive constitutes the full load, and the most recently published month (or the GBFS feed) constitutes the incremental load, eliminating schema-mismatch risk between the two.</w:t>
      </w:r>
    </w:p>
    <w:p>
      <w:pPr>
        <w:pBdr>
          <w:bottom w:val="single" w:color="CCCCCC" w:sz="6" w:space="1"/>
        </w:pBdr>
        <w:spacing w:after="200" w:before="100"/>
      </w:pPr>
      <w:r>
        <w:t xml:space="preserve"/>
      </w:r>
    </w:p>
    <w:p>
      <w:pPr>
        <w:pStyle w:val="Heading1"/>
        <w:spacing w:after="160" w:before="360"/>
      </w:pPr>
      <w:r>
        <w:rPr>
          <w:b/>
          <w:bCs/>
        </w:rPr>
        <w:t xml:space="preserve">2. Data Samples &amp; Volume</w:t>
      </w:r>
    </w:p>
    <w:p>
      <w:pPr>
        <w:pStyle w:val="Heading2"/>
        <w:spacing w:after="120" w:before="240"/>
      </w:pPr>
      <w:r>
        <w:rPr>
          <w:b/>
          <w:bCs/>
          <w:color w:val="1F4E5F"/>
        </w:rPr>
        <w:t xml:space="preserve">Sample Files</w:t>
      </w:r>
    </w:p>
    <w:p>
      <w:pPr>
        <w:spacing w:after="160" w:line="276"/>
      </w:pPr>
      <w:r>
        <w:rPr>
          <w:rFonts w:ascii="Calibri" w:cs="Calibri" w:eastAsia="Calibri" w:hAnsi="Calibri"/>
          <w:sz w:val="22"/>
          <w:szCs w:val="22"/>
        </w:rPr>
        <w:t xml:space="preserve">The following files were selected to represent the two required load types:</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60"/>
      </w:tblGrid>
      <w:tr>
        <w:trPr>
          <w:tblHeader/>
        </w:trPr>
        <w:tc>
          <w:tcPr>
            <w:tcW w:type="dxa" w:w="2400"/>
            <w:shd w:fill="1F4E5F" w:color="auto" w:val="clear"/>
            <w:tcMar>
              <w:top w:type="dxa" w:w="100"/>
              <w:left w:type="dxa" w:w="120"/>
              <w:bottom w:type="dxa" w:w="100"/>
              <w:right w:type="dxa" w:w="120"/>
            </w:tcMar>
          </w:tcPr>
          <w:p>
            <w:r>
              <w:rPr>
                <w:rFonts w:ascii="Calibri" w:cs="Calibri" w:eastAsia="Calibri" w:hAnsi="Calibri"/>
                <w:b/>
                <w:bCs/>
                <w:color w:val="FFFFFF"/>
                <w:sz w:val="20"/>
                <w:szCs w:val="20"/>
              </w:rPr>
              <w:t xml:space="preserve">Load Type</w:t>
            </w:r>
          </w:p>
        </w:tc>
        <w:tc>
          <w:tcPr>
            <w:tcW w:type="dxa" w:w="4200"/>
            <w:shd w:fill="1F4E5F" w:color="auto" w:val="clear"/>
            <w:tcMar>
              <w:top w:type="dxa" w:w="100"/>
              <w:left w:type="dxa" w:w="120"/>
              <w:bottom w:type="dxa" w:w="100"/>
              <w:right w:type="dxa" w:w="120"/>
            </w:tcMar>
          </w:tcPr>
          <w:p>
            <w:r>
              <w:rPr>
                <w:rFonts w:ascii="Calibri" w:cs="Calibri" w:eastAsia="Calibri" w:hAnsi="Calibri"/>
                <w:b/>
                <w:bCs/>
                <w:color w:val="FFFFFF"/>
                <w:sz w:val="20"/>
                <w:szCs w:val="20"/>
              </w:rPr>
              <w:t xml:space="preserve">Data Selected</w:t>
            </w:r>
          </w:p>
        </w:tc>
        <w:tc>
          <w:tcPr>
            <w:tcW w:type="dxa" w:w="3060"/>
            <w:shd w:fill="1F4E5F" w:color="auto" w:val="clear"/>
            <w:tcMar>
              <w:top w:type="dxa" w:w="100"/>
              <w:left w:type="dxa" w:w="120"/>
              <w:bottom w:type="dxa" w:w="100"/>
              <w:right w:type="dxa" w:w="120"/>
            </w:tcMar>
          </w:tcPr>
          <w:p>
            <w:r>
              <w:rPr>
                <w:rFonts w:ascii="Calibri" w:cs="Calibri" w:eastAsia="Calibri" w:hAnsi="Calibri"/>
                <w:b/>
                <w:bCs/>
                <w:color w:val="FFFFFF"/>
                <w:sz w:val="20"/>
                <w:szCs w:val="20"/>
              </w:rPr>
              <w:t xml:space="preserve">Source</w:t>
            </w:r>
          </w:p>
        </w:tc>
      </w:tr>
      <w:tr>
        <w:tc>
          <w:tcPr>
            <w:tcW w:type="dxa" w:w="2400"/>
            <w:tcMar>
              <w:top w:type="dxa" w:w="100"/>
              <w:left w:type="dxa" w:w="120"/>
              <w:bottom w:type="dxa" w:w="100"/>
              <w:right w:type="dxa" w:w="120"/>
            </w:tcMar>
          </w:tcPr>
          <w:p>
            <w:r>
              <w:rPr>
                <w:rFonts w:ascii="Calibri" w:cs="Calibri" w:eastAsia="Calibri" w:hAnsi="Calibri"/>
                <w:b w:val="false"/>
                <w:bCs w:val="false"/>
                <w:color w:val="000000"/>
                <w:sz w:val="20"/>
                <w:szCs w:val="20"/>
              </w:rPr>
              <w:t xml:space="preserve">Full Load</w:t>
            </w:r>
          </w:p>
        </w:tc>
        <w:tc>
          <w:tcPr>
            <w:tcW w:type="dxa" w:w="4200"/>
            <w:tcMar>
              <w:top w:type="dxa" w:w="100"/>
              <w:left w:type="dxa" w:w="120"/>
              <w:bottom w:type="dxa" w:w="100"/>
              <w:right w:type="dxa" w:w="120"/>
            </w:tcMar>
          </w:tcPr>
          <w:p>
            <w:r>
              <w:rPr>
                <w:rFonts w:ascii="Calibri" w:cs="Calibri" w:eastAsia="Calibri" w:hAnsi="Calibri"/>
                <w:b w:val="false"/>
                <w:bCs w:val="false"/>
                <w:color w:val="000000"/>
                <w:sz w:val="20"/>
                <w:szCs w:val="20"/>
              </w:rPr>
              <w:t xml:space="preserve">Twelve months of historical trip records (January 2024 – December 2024)</w:t>
            </w:r>
          </w:p>
        </w:tc>
        <w:tc>
          <w:tcPr>
            <w:tcW w:type="dxa" w:w="3060"/>
            <w:tcMar>
              <w:top w:type="dxa" w:w="100"/>
              <w:left w:type="dxa" w:w="120"/>
              <w:bottom w:type="dxa" w:w="100"/>
              <w:right w:type="dxa" w:w="120"/>
            </w:tcMar>
          </w:tcPr>
          <w:p>
            <w:r>
              <w:rPr>
                <w:rFonts w:ascii="Calibri" w:cs="Calibri" w:eastAsia="Calibri" w:hAnsi="Calibri"/>
                <w:b w:val="false"/>
                <w:bCs w:val="false"/>
                <w:color w:val="000000"/>
                <w:sz w:val="20"/>
                <w:szCs w:val="20"/>
              </w:rPr>
              <w:t xml:space="preserve">202401-citibike-tripdata.csv.zip through 202412-citibike-tripdata.csv.zip</w:t>
            </w:r>
          </w:p>
        </w:tc>
      </w:tr>
      <w:tr>
        <w:tc>
          <w:tcPr>
            <w:tcW w:type="dxa" w:w="2400"/>
            <w:tcMar>
              <w:top w:type="dxa" w:w="100"/>
              <w:left w:type="dxa" w:w="120"/>
              <w:bottom w:type="dxa" w:w="100"/>
              <w:right w:type="dxa" w:w="120"/>
            </w:tcMar>
          </w:tcPr>
          <w:p>
            <w:r>
              <w:rPr>
                <w:rFonts w:ascii="Calibri" w:cs="Calibri" w:eastAsia="Calibri" w:hAnsi="Calibri"/>
                <w:b w:val="false"/>
                <w:bCs w:val="false"/>
                <w:color w:val="000000"/>
                <w:sz w:val="20"/>
                <w:szCs w:val="20"/>
              </w:rPr>
              <w:t xml:space="preserve">Incremental Load</w:t>
            </w:r>
          </w:p>
        </w:tc>
        <w:tc>
          <w:tcPr>
            <w:tcW w:type="dxa" w:w="4200"/>
            <w:tcMar>
              <w:top w:type="dxa" w:w="100"/>
              <w:left w:type="dxa" w:w="120"/>
              <w:bottom w:type="dxa" w:w="100"/>
              <w:right w:type="dxa" w:w="120"/>
            </w:tcMar>
          </w:tcPr>
          <w:p>
            <w:r>
              <w:rPr>
                <w:rFonts w:ascii="Calibri" w:cs="Calibri" w:eastAsia="Calibri" w:hAnsi="Calibri"/>
                <w:b w:val="false"/>
                <w:bCs w:val="false"/>
                <w:color w:val="000000"/>
                <w:sz w:val="20"/>
                <w:szCs w:val="20"/>
              </w:rPr>
              <w:t xml:space="preserve">The subsequent month's trip records, not present in the baseline (January 2025)</w:t>
            </w:r>
          </w:p>
        </w:tc>
        <w:tc>
          <w:tcPr>
            <w:tcW w:type="dxa" w:w="3060"/>
            <w:tcMar>
              <w:top w:type="dxa" w:w="100"/>
              <w:left w:type="dxa" w:w="120"/>
              <w:bottom w:type="dxa" w:w="100"/>
              <w:right w:type="dxa" w:w="120"/>
            </w:tcMar>
          </w:tcPr>
          <w:p>
            <w:r>
              <w:rPr>
                <w:rFonts w:ascii="Calibri" w:cs="Calibri" w:eastAsia="Calibri" w:hAnsi="Calibri"/>
                <w:b w:val="false"/>
                <w:bCs w:val="false"/>
                <w:color w:val="000000"/>
                <w:sz w:val="20"/>
                <w:szCs w:val="20"/>
              </w:rPr>
              <w:t xml:space="preserve">202501-citibike-tripdata.csv.zip</w:t>
            </w:r>
          </w:p>
        </w:tc>
      </w:tr>
    </w:tbl>
    <w:p>
      <w:pPr>
        <w:spacing w:after="200"/>
      </w:pPr>
    </w:p>
    <w:p>
      <w:pPr>
        <w:spacing w:after="160" w:line="276"/>
      </w:pPr>
      <w:r>
        <w:rPr>
          <w:rFonts w:ascii="Calibri" w:cs="Calibri" w:eastAsia="Calibri" w:hAnsi="Calibri"/>
          <w:sz w:val="22"/>
          <w:szCs w:val="22"/>
        </w:rPr>
        <w:t xml:space="preserve">This structure reflects a realistic production scenario: a historical baseline is ingested once, and each newly published month is subsequently ingested as an incremental batch.</w:t>
      </w:r>
    </w:p>
    <w:p>
      <w:pPr>
        <w:pStyle w:val="Heading2"/>
        <w:spacing w:after="120" w:before="240"/>
      </w:pPr>
      <w:r>
        <w:rPr>
          <w:b/>
          <w:bCs/>
          <w:color w:val="1F4E5F"/>
        </w:rPr>
        <w:t xml:space="preserve">Volume &amp; Frequency Estimation</w:t>
      </w:r>
    </w:p>
    <w:p>
      <w:pPr>
        <w:spacing w:after="160" w:line="276"/>
      </w:pPr>
      <w:r>
        <w:rPr>
          <w:rFonts w:ascii="Calibri" w:cs="Calibri" w:eastAsia="Calibri" w:hAnsi="Calibri"/>
          <w:sz w:val="22"/>
          <w:szCs w:val="22"/>
        </w:rPr>
        <w:t xml:space="preserve">Citi Bike's publicly reported monthly totals indicate that ridership varies seasonally, with recent months such as June 2024 reaching 4,781,020 trips, and NYC DOT reporting over 12.1 million trips citywide for the April–July 2024 quarter. Monthly volume therefore ranges from approximately 2 million trips in winter months to 4.5–4.8 million trips during summer peaks.</w:t>
      </w:r>
    </w:p>
    <w:p>
      <w:pPr>
        <w:spacing w:after="160" w:line="276"/>
      </w:pPr>
      <w:r>
        <w:rPr>
          <w:rFonts w:ascii="Calibri" w:cs="Calibri" w:eastAsia="Calibri" w:hAnsi="Calibri"/>
          <w:sz w:val="22"/>
          <w:szCs w:val="22"/>
        </w:rPr>
        <w:t xml:space="preserve">Each trip record contains approximately thirteen fields (ride identifier, timestamps, station names and IDs, coordinates, rideable type, and membership status). Based on this schema and observed row counts, the following volumes are estimated:</w:t>
      </w:r>
    </w:p>
    <w:p>
      <w:pPr>
        <w:pStyle w:val="ListParagraph"/>
        <w:numPr>
          <w:ilvl w:val="0"/>
          <w:numId w:val="2"/>
        </w:numPr>
        <w:spacing w:after="100" w:line="276"/>
      </w:pPr>
      <w:r>
        <w:rPr>
          <w:rFonts w:ascii="Calibri" w:cs="Calibri" w:eastAsia="Calibri" w:hAnsi="Calibri"/>
          <w:sz w:val="22"/>
          <w:szCs w:val="22"/>
        </w:rPr>
        <w:t xml:space="preserve">Single month, uncompressed: approximately 300–850 MB, depending on seasonal ridership</w:t>
      </w:r>
    </w:p>
    <w:p>
      <w:pPr>
        <w:pStyle w:val="ListParagraph"/>
        <w:numPr>
          <w:ilvl w:val="0"/>
          <w:numId w:val="2"/>
        </w:numPr>
        <w:spacing w:after="100" w:line="276"/>
      </w:pPr>
      <w:r>
        <w:rPr>
          <w:rFonts w:ascii="Calibri" w:cs="Calibri" w:eastAsia="Calibri" w:hAnsi="Calibri"/>
          <w:sz w:val="22"/>
          <w:szCs w:val="22"/>
        </w:rPr>
        <w:t xml:space="preserve">Single month, compressed (as distributed): approximately 60–150 MB</w:t>
      </w:r>
    </w:p>
    <w:p>
      <w:pPr>
        <w:pStyle w:val="ListParagraph"/>
        <w:numPr>
          <w:ilvl w:val="0"/>
          <w:numId w:val="2"/>
        </w:numPr>
        <w:spacing w:after="100" w:line="276"/>
      </w:pPr>
      <w:r>
        <w:rPr>
          <w:rFonts w:ascii="Calibri" w:cs="Calibri" w:eastAsia="Calibri" w:hAnsi="Calibri"/>
          <w:sz w:val="22"/>
          <w:szCs w:val="22"/>
        </w:rPr>
        <w:t xml:space="preserve">Full-load baseline (12 months, compressed): approximately 1–1.8 GB compressed, expanding to approximately 4–6 GB uncompressed once loaded</w:t>
      </w:r>
    </w:p>
    <w:p>
      <w:pPr>
        <w:pStyle w:val="ListParagraph"/>
        <w:numPr>
          <w:ilvl w:val="0"/>
          <w:numId w:val="2"/>
        </w:numPr>
        <w:spacing w:after="100" w:line="276"/>
      </w:pPr>
      <w:r>
        <w:rPr>
          <w:rFonts w:ascii="Calibri" w:cs="Calibri" w:eastAsia="Calibri" w:hAnsi="Calibri"/>
          <w:sz w:val="22"/>
          <w:szCs w:val="22"/>
        </w:rPr>
        <w:t xml:space="preserve">Incremental load (single month): approximately 60–150 MB compressed, published on a monthly cadence</w:t>
      </w:r>
    </w:p>
    <w:p>
      <w:pPr>
        <w:spacing w:after="160" w:line="276"/>
      </w:pPr>
      <w:r>
        <w:rPr>
          <w:rFonts w:ascii="Calibri" w:cs="Calibri" w:eastAsia="Calibri" w:hAnsi="Calibri"/>
          <w:sz w:val="22"/>
          <w:szCs w:val="22"/>
        </w:rPr>
        <w:t xml:space="preserve">These figures are estimated from row-count and schema analysis and will be confirmed against actual file sizes upon download.</w:t>
      </w:r>
    </w:p>
    <w:p>
      <w:pPr>
        <w:pStyle w:val="Heading2"/>
        <w:spacing w:after="120" w:before="240"/>
      </w:pPr>
      <w:r>
        <w:rPr>
          <w:b/>
          <w:bCs/>
          <w:color w:val="1F4E5F"/>
        </w:rPr>
        <w:t xml:space="preserve">Compliance with Free-Tier Constraints</w:t>
      </w:r>
    </w:p>
    <w:p>
      <w:pPr>
        <w:spacing w:after="160" w:line="276"/>
      </w:pPr>
      <w:r>
        <w:rPr>
          <w:rFonts w:ascii="Calibri" w:cs="Calibri" w:eastAsia="Calibri" w:hAnsi="Calibri"/>
          <w:sz w:val="22"/>
          <w:szCs w:val="22"/>
        </w:rPr>
        <w:t xml:space="preserve">The estimated full-load volume (4–6 GB uncompressed) is within the operating limits of Databricks Community Edition and Azure for Students. Two constraints were identified and addressed in project scoping:</w:t>
      </w:r>
    </w:p>
    <w:p>
      <w:pPr>
        <w:pStyle w:val="ListParagraph"/>
        <w:numPr>
          <w:ilvl w:val="0"/>
          <w:numId w:val="2"/>
        </w:numPr>
        <w:spacing w:after="100" w:line="276"/>
      </w:pPr>
      <w:r>
        <w:rPr>
          <w:rFonts w:ascii="Calibri" w:cs="Calibri" w:eastAsia="Calibri" w:hAnsi="Calibri"/>
          <w:sz w:val="22"/>
          <w:szCs w:val="22"/>
        </w:rPr>
        <w:t xml:space="preserve">Repository size: GitHub restricts individual file uploads to 100 MB without Git LFS. Accordingly, only trimmed samples (the first 50,000 rows of one full-load month and of the incremental month) will be committed to the repository for reference; complete raw files will be retrieved directly from the S3 source at pipeline runtime.</w:t>
      </w:r>
    </w:p>
    <w:p>
      <w:pPr>
        <w:pStyle w:val="ListParagraph"/>
        <w:numPr>
          <w:ilvl w:val="0"/>
          <w:numId w:val="2"/>
        </w:numPr>
        <w:spacing w:after="100" w:line="276"/>
      </w:pPr>
      <w:r>
        <w:rPr>
          <w:rFonts w:ascii="Calibri" w:cs="Calibri" w:eastAsia="Calibri" w:hAnsi="Calibri"/>
          <w:sz w:val="22"/>
          <w:szCs w:val="22"/>
        </w:rPr>
        <w:t xml:space="preserve">Baseline scope: Should the twelve-month baseline prove too resource-intensive during development, the window will be reduced to six months, still providing a multi-gigabyte dataset sufficient to justify distributed processing while reducing compute and storage load.</w:t>
      </w:r>
    </w:p>
    <w:p>
      <w:pPr>
        <w:pBdr>
          <w:bottom w:val="single" w:color="CCCCCC" w:sz="6" w:space="1"/>
        </w:pBdr>
        <w:spacing w:after="200" w:before="100"/>
      </w:pPr>
      <w:r>
        <w:t xml:space="preserve"/>
      </w:r>
    </w:p>
    <w:p>
      <w:pPr>
        <w:pStyle w:val="Heading1"/>
        <w:spacing w:after="160" w:before="360"/>
      </w:pPr>
      <w:r>
        <w:rPr>
          <w:b/>
          <w:bCs/>
        </w:rPr>
        <w:t xml:space="preserve">3. Security &amp; Compliance</w:t>
      </w:r>
    </w:p>
    <w:p>
      <w:pPr>
        <w:pStyle w:val="Heading2"/>
        <w:spacing w:after="120" w:before="240"/>
      </w:pPr>
      <w:r>
        <w:rPr>
          <w:b/>
          <w:bCs/>
          <w:color w:val="1F4E5F"/>
        </w:rPr>
        <w:t xml:space="preserve">Identification of PII and Sensitive Data</w:t>
      </w:r>
    </w:p>
    <w:p>
      <w:pPr>
        <w:spacing w:after="160" w:line="276"/>
      </w:pPr>
      <w:r>
        <w:rPr>
          <w:rFonts w:ascii="Calibri" w:cs="Calibri" w:eastAsia="Calibri" w:hAnsi="Calibri"/>
          <w:sz w:val="22"/>
          <w:szCs w:val="22"/>
        </w:rPr>
        <w:t xml:space="preserve">The selected dataset (Citi Bike trip history, 2024–2025 schema) contains the following fields: ride_id, rideable_type, started_at, ended_at, start_station_name, start_station_id, end_station_name, end_station_id, start_lat/start_lng, end_lat/end_lng, and member_casual.</w:t>
      </w:r>
    </w:p>
    <w:p>
      <w:pPr>
        <w:spacing w:after="160" w:line="276"/>
      </w:pPr>
      <w:r>
        <w:rPr>
          <w:rFonts w:ascii="Calibri" w:cs="Calibri" w:eastAsia="Calibri" w:hAnsi="Calibri"/>
          <w:sz w:val="22"/>
          <w:szCs w:val="22"/>
        </w:rPr>
        <w:t xml:space="preserve">A review of these fields against standard PII categories (names, email addresses, IP addresses, financial details, government identifiers) finds no direct PII present. Specifically:</w:t>
      </w:r>
    </w:p>
    <w:p>
      <w:pPr>
        <w:pStyle w:val="ListParagraph"/>
        <w:numPr>
          <w:ilvl w:val="0"/>
          <w:numId w:val="2"/>
        </w:numPr>
        <w:spacing w:after="100" w:line="276"/>
      </w:pPr>
      <w:r>
        <w:rPr>
          <w:rFonts w:ascii="Calibri" w:cs="Calibri" w:eastAsia="Calibri" w:hAnsi="Calibri"/>
          <w:sz w:val="22"/>
          <w:szCs w:val="22"/>
        </w:rPr>
        <w:t xml:space="preserve">No rider names, email addresses, phone numbers, or payment information are included in the published dataset.</w:t>
      </w:r>
    </w:p>
    <w:p>
      <w:pPr>
        <w:pStyle w:val="ListParagraph"/>
        <w:numPr>
          <w:ilvl w:val="0"/>
          <w:numId w:val="2"/>
        </w:numPr>
        <w:spacing w:after="100" w:line="276"/>
      </w:pPr>
      <w:r>
        <w:rPr>
          <w:rFonts w:ascii="Calibri" w:cs="Calibri" w:eastAsia="Calibri" w:hAnsi="Calibri"/>
          <w:sz w:val="22"/>
          <w:szCs w:val="22"/>
        </w:rPr>
        <w:t xml:space="preserve">No persistent rider or account identifier is present. The ride_id field is unique per trip, not per user, meaning individual trips cannot be linked to one another or aggregated into a rider-level history.</w:t>
      </w:r>
    </w:p>
    <w:p>
      <w:pPr>
        <w:pStyle w:val="ListParagraph"/>
        <w:numPr>
          <w:ilvl w:val="0"/>
          <w:numId w:val="2"/>
        </w:numPr>
        <w:spacing w:after="100" w:line="276"/>
      </w:pPr>
      <w:r>
        <w:rPr>
          <w:rFonts w:ascii="Calibri" w:cs="Calibri" w:eastAsia="Calibri" w:hAnsi="Calibri"/>
          <w:sz w:val="22"/>
          <w:szCs w:val="22"/>
        </w:rPr>
        <w:t xml:space="preserve">Earlier versions of the Citi Bike dataset (pre-2021) included rider birth year and gender as quasi-identifying attributes. These fields have since been removed from the published schema and are absent from the 2024–2025 files selected for this project.</w:t>
      </w:r>
    </w:p>
    <w:p>
      <w:pPr>
        <w:pStyle w:val="ListParagraph"/>
        <w:numPr>
          <w:ilvl w:val="0"/>
          <w:numId w:val="2"/>
        </w:numPr>
        <w:spacing w:after="100" w:line="276"/>
      </w:pPr>
      <w:r>
        <w:rPr>
          <w:rFonts w:ascii="Calibri" w:cs="Calibri" w:eastAsia="Calibri" w:hAnsi="Calibri"/>
          <w:sz w:val="22"/>
          <w:szCs w:val="22"/>
        </w:rPr>
        <w:t xml:space="preserve">Station latitude/longitude coordinates refer to fixed, public docking station locations rather than individual home or work addresses, and therefore do not constitute location-based PII.</w:t>
      </w:r>
    </w:p>
    <w:p>
      <w:pPr>
        <w:pStyle w:val="Heading2"/>
        <w:spacing w:after="120" w:before="240"/>
      </w:pPr>
      <w:r>
        <w:rPr>
          <w:b/>
          <w:bCs/>
          <w:color w:val="1F4E5F"/>
        </w:rPr>
        <w:t xml:space="preserve">Handling Strategy</w:t>
      </w:r>
    </w:p>
    <w:p>
      <w:pPr>
        <w:spacing w:after="160" w:line="276"/>
      </w:pPr>
      <w:r>
        <w:rPr>
          <w:rFonts w:ascii="Calibri" w:cs="Calibri" w:eastAsia="Calibri" w:hAnsi="Calibri"/>
          <w:sz w:val="22"/>
          <w:szCs w:val="22"/>
        </w:rPr>
        <w:t xml:space="preserve">Given the absence of direct or quasi-identifying PII in the selected dataset, no masking, hashing, or column-dropping is required prior to the Silver layer. This determination is made explicit here rather than assumed: the dataset is public, operator-published, aggregate-safe data with no individual-level identifiers to protect.</w:t>
      </w:r>
    </w:p>
    <w:p>
      <w:pPr>
        <w:spacing w:after="160" w:line="276"/>
      </w:pPr>
      <w:r>
        <w:rPr>
          <w:rFonts w:ascii="Calibri" w:cs="Calibri" w:eastAsia="Calibri" w:hAnsi="Calibri"/>
          <w:sz w:val="22"/>
          <w:szCs w:val="22"/>
        </w:rPr>
        <w:t xml:space="preserve">As a precautionary measure consistent with data governance best practice, the following safeguards will still be applied:</w:t>
      </w:r>
    </w:p>
    <w:p>
      <w:pPr>
        <w:pStyle w:val="ListParagraph"/>
        <w:numPr>
          <w:ilvl w:val="0"/>
          <w:numId w:val="2"/>
        </w:numPr>
        <w:spacing w:after="100" w:line="276"/>
      </w:pPr>
      <w:r>
        <w:rPr>
          <w:rFonts w:ascii="Calibri" w:cs="Calibri" w:eastAsia="Calibri" w:hAnsi="Calibri"/>
          <w:sz w:val="22"/>
          <w:szCs w:val="22"/>
        </w:rPr>
        <w:t xml:space="preserve">The bike_id field, where present in a given month's schema, will be treated as a low-sensitivity operational identifier (it identifies equipment, not a person) and retained without transformation, as it carries no re-identification risk without an accompanying rider identifier.</w:t>
      </w:r>
    </w:p>
    <w:p>
      <w:pPr>
        <w:pStyle w:val="ListParagraph"/>
        <w:numPr>
          <w:ilvl w:val="0"/>
          <w:numId w:val="2"/>
        </w:numPr>
        <w:spacing w:after="100" w:line="276"/>
      </w:pPr>
      <w:r>
        <w:rPr>
          <w:rFonts w:ascii="Calibri" w:cs="Calibri" w:eastAsia="Calibri" w:hAnsi="Calibri"/>
          <w:sz w:val="22"/>
          <w:szCs w:val="22"/>
        </w:rPr>
        <w:t xml:space="preserve">Should future data sources be added to this pipeline (e.g., a station-level GBFS feed), each new field will be re-evaluated against the same PII criteria before being admitted to the Silver layer, rather than assuming the no-PII determination extends automatically to new sources.</w:t>
      </w:r>
    </w:p>
    <w:p>
      <w:pPr>
        <w:pBdr>
          <w:bottom w:val="single" w:color="CCCCCC" w:sz="6" w:space="1"/>
        </w:pBdr>
        <w:spacing w:after="200" w:before="100"/>
      </w:pPr>
      <w:r>
        <w:t xml:space="preserve"/>
      </w:r>
    </w:p>
    <w:p>
      <w:pPr>
        <w:pStyle w:val="Heading1"/>
        <w:spacing w:after="160" w:before="360"/>
      </w:pPr>
      <w:r>
        <w:rPr>
          <w:b/>
          <w:bCs/>
        </w:rPr>
        <w:t xml:space="preserve">4. High-Level Medallion Data Modeling</w:t>
      </w:r>
    </w:p>
    <w:p>
      <w:pPr>
        <w:pStyle w:val="Heading2"/>
        <w:spacing w:after="120" w:before="240"/>
      </w:pPr>
      <w:r>
        <w:rPr>
          <w:b/>
          <w:bCs/>
          <w:color w:val="1F4E5F"/>
        </w:rPr>
        <w:t xml:space="preserve">Bronze Layer</w:t>
      </w:r>
    </w:p>
    <w:p>
      <w:pPr>
        <w:spacing w:after="160" w:line="276"/>
      </w:pPr>
      <w:r>
        <w:rPr>
          <w:rFonts w:ascii="Calibri" w:cs="Calibri" w:eastAsia="Calibri" w:hAnsi="Calibri"/>
          <w:sz w:val="22"/>
          <w:szCs w:val="22"/>
        </w:rPr>
        <w:t xml:space="preserve">The Bronze layer will store raw trip records exactly as ingested, with no transformation applied, preserving full fidelity for auditability and reprocessing. Full-load files (twelve historical months) and incremental files (each newly published month) will land in separate, clearly partitioned Bronze directories (partitioned by year and month), with an added ingestion_timestamp and source_file_name column to track lineage and support reproducible incremental merges.</w:t>
      </w:r>
    </w:p>
    <w:p>
      <w:pPr>
        <w:pStyle w:val="Heading2"/>
        <w:spacing w:after="120" w:before="240"/>
      </w:pPr>
      <w:r>
        <w:rPr>
          <w:b/>
          <w:bCs/>
          <w:color w:val="1F4E5F"/>
        </w:rPr>
        <w:t xml:space="preserve">Bronze-to-Silver Transformation</w:t>
      </w:r>
    </w:p>
    <w:p>
      <w:pPr>
        <w:spacing w:after="160" w:line="276"/>
      </w:pPr>
      <w:r>
        <w:rPr>
          <w:rFonts w:ascii="Calibri" w:cs="Calibri" w:eastAsia="Calibri" w:hAnsi="Calibri"/>
          <w:sz w:val="22"/>
          <w:szCs w:val="22"/>
        </w:rPr>
        <w:t xml:space="preserve">The following cleaning, formatting, and casting steps are anticipated when moving data from Bronze to Silver:</w:t>
      </w:r>
    </w:p>
    <w:p>
      <w:pPr>
        <w:pStyle w:val="ListParagraph"/>
        <w:numPr>
          <w:ilvl w:val="0"/>
          <w:numId w:val="2"/>
        </w:numPr>
        <w:spacing w:after="100" w:line="276"/>
      </w:pPr>
      <w:r>
        <w:rPr>
          <w:rFonts w:ascii="Calibri" w:cs="Calibri" w:eastAsia="Calibri" w:hAnsi="Calibri"/>
          <w:sz w:val="22"/>
          <w:szCs w:val="22"/>
        </w:rPr>
        <w:t xml:space="preserve">Type casting: started_at and ended_at will be cast from string to proper timestamp type; latitude/longitude fields will be cast to double; station IDs will be standardized to a consistent type.</w:t>
      </w:r>
    </w:p>
    <w:p>
      <w:pPr>
        <w:pStyle w:val="ListParagraph"/>
        <w:numPr>
          <w:ilvl w:val="0"/>
          <w:numId w:val="2"/>
        </w:numPr>
        <w:spacing w:after="100" w:line="276"/>
      </w:pPr>
      <w:r>
        <w:rPr>
          <w:rFonts w:ascii="Calibri" w:cs="Calibri" w:eastAsia="Calibri" w:hAnsi="Calibri"/>
          <w:sz w:val="22"/>
          <w:szCs w:val="22"/>
        </w:rPr>
        <w:t xml:space="preserve">Derived fields: a trip_duration_seconds column will be computed from ended_at minus started_at; calendar attributes (trip_date, trip_hour, day_of_week, month) will be derived from started_at.</w:t>
      </w:r>
    </w:p>
    <w:p>
      <w:pPr>
        <w:pStyle w:val="ListParagraph"/>
        <w:numPr>
          <w:ilvl w:val="0"/>
          <w:numId w:val="2"/>
        </w:numPr>
        <w:spacing w:after="100" w:line="276"/>
      </w:pPr>
      <w:r>
        <w:rPr>
          <w:rFonts w:ascii="Calibri" w:cs="Calibri" w:eastAsia="Calibri" w:hAnsi="Calibri"/>
          <w:sz w:val="22"/>
          <w:szCs w:val="22"/>
        </w:rPr>
        <w:t xml:space="preserve">Null and malformed record handling: records with a missing or null station ID, missing timestamps, or a negative/zero trip duration will be flagged and quarantined into a silver_rejected_records table rather than silently dropped.</w:t>
      </w:r>
    </w:p>
    <w:p>
      <w:pPr>
        <w:pStyle w:val="ListParagraph"/>
        <w:numPr>
          <w:ilvl w:val="0"/>
          <w:numId w:val="2"/>
        </w:numPr>
        <w:spacing w:after="100" w:line="276"/>
      </w:pPr>
      <w:r>
        <w:rPr>
          <w:rFonts w:ascii="Calibri" w:cs="Calibri" w:eastAsia="Calibri" w:hAnsi="Calibri"/>
          <w:sz w:val="22"/>
          <w:szCs w:val="22"/>
        </w:rPr>
        <w:t xml:space="preserve">Deduplication: records will be deduplicated on ride_id to address potential overlap between an incremental file and the tail of a previous load.</w:t>
      </w:r>
    </w:p>
    <w:p>
      <w:pPr>
        <w:pStyle w:val="ListParagraph"/>
        <w:numPr>
          <w:ilvl w:val="0"/>
          <w:numId w:val="2"/>
        </w:numPr>
        <w:spacing w:after="100" w:line="276"/>
      </w:pPr>
      <w:r>
        <w:rPr>
          <w:rFonts w:ascii="Calibri" w:cs="Calibri" w:eastAsia="Calibri" w:hAnsi="Calibri"/>
          <w:sz w:val="22"/>
          <w:szCs w:val="22"/>
        </w:rPr>
        <w:t xml:space="preserve">Outlier filtering: trips under 60 seconds (already filtered by Citi Bike per its stated data policy) and trips exceeding a defined upper bound (e.g., 24 hours) will be excluded or flagged.</w:t>
      </w:r>
    </w:p>
    <w:p>
      <w:pPr>
        <w:pStyle w:val="ListParagraph"/>
        <w:numPr>
          <w:ilvl w:val="0"/>
          <w:numId w:val="2"/>
        </w:numPr>
        <w:spacing w:after="100" w:line="276"/>
      </w:pPr>
      <w:r>
        <w:rPr>
          <w:rFonts w:ascii="Calibri" w:cs="Calibri" w:eastAsia="Calibri" w:hAnsi="Calibri"/>
          <w:sz w:val="22"/>
          <w:szCs w:val="22"/>
        </w:rPr>
        <w:t xml:space="preserve">Schema harmonization: minor column-naming differences across monthly files will be normalized to a single consistent schema before merging.</w:t>
      </w:r>
    </w:p>
    <w:p>
      <w:pPr>
        <w:pStyle w:val="Heading2"/>
        <w:spacing w:after="120" w:before="240"/>
      </w:pPr>
      <w:r>
        <w:rPr>
          <w:b/>
          <w:bCs/>
          <w:color w:val="1F4E5F"/>
        </w:rPr>
        <w:t xml:space="preserve">Silver Data Model</w:t>
      </w:r>
    </w:p>
    <w:p>
      <w:pPr>
        <w:spacing w:after="160" w:line="276"/>
      </w:pPr>
      <w:r>
        <w:rPr>
          <w:rFonts w:ascii="Calibri" w:cs="Calibri" w:eastAsia="Calibri" w:hAnsi="Calibri"/>
          <w:sz w:val="22"/>
          <w:szCs w:val="22"/>
        </w:rPr>
        <w:t xml:space="preserve">The Silver layer will consist of a single cleansed, conformed fact-style table, silver_trips, containing one row per validated trip with the fields above standardized and typed, plus a silver_stations reference table (station ID, name, latitude, longitude, first-seen date) deduplicated from the trip data to serve as a clean station lookup.</w:t>
      </w:r>
    </w:p>
    <w:p>
      <w:pPr>
        <w:pStyle w:val="Heading2"/>
        <w:spacing w:after="120" w:before="240"/>
      </w:pPr>
      <w:r>
        <w:rPr>
          <w:b/>
          <w:bCs/>
          <w:color w:val="1F4E5F"/>
        </w:rPr>
        <w:t xml:space="preserve">Gold Layer</w:t>
      </w:r>
    </w:p>
    <w:p>
      <w:pPr>
        <w:spacing w:after="160" w:line="276"/>
      </w:pPr>
      <w:r>
        <w:rPr>
          <w:rFonts w:ascii="Calibri" w:cs="Calibri" w:eastAsia="Calibri" w:hAnsi="Calibri"/>
          <w:sz w:val="22"/>
          <w:szCs w:val="22"/>
        </w:rPr>
        <w:t xml:space="preserve">The Gold layer will be modeled as a star schema optimized for business-analyst consumption in Power BI:</w:t>
      </w:r>
    </w:p>
    <w:p>
      <w:pPr>
        <w:pStyle w:val="ListParagraph"/>
        <w:numPr>
          <w:ilvl w:val="0"/>
          <w:numId w:val="2"/>
        </w:numPr>
        <w:spacing w:after="100" w:line="276"/>
      </w:pPr>
      <w:r>
        <w:rPr>
          <w:rFonts w:ascii="Calibri" w:cs="Calibri" w:eastAsia="Calibri" w:hAnsi="Calibri"/>
          <w:sz w:val="22"/>
          <w:szCs w:val="22"/>
        </w:rPr>
        <w:t xml:space="preserve">fact_trips: one row per trip, with foreign keys to the dimension tables below plus measures (trip_duration_seconds, distance_estimate_km).</w:t>
      </w:r>
    </w:p>
    <w:p>
      <w:pPr>
        <w:pStyle w:val="ListParagraph"/>
        <w:numPr>
          <w:ilvl w:val="0"/>
          <w:numId w:val="2"/>
        </w:numPr>
        <w:spacing w:after="100" w:line="276"/>
      </w:pPr>
      <w:r>
        <w:rPr>
          <w:rFonts w:ascii="Calibri" w:cs="Calibri" w:eastAsia="Calibri" w:hAnsi="Calibri"/>
          <w:sz w:val="22"/>
          <w:szCs w:val="22"/>
        </w:rPr>
        <w:t xml:space="preserve">dim_station: station ID, name, latitude, longitude.</w:t>
      </w:r>
    </w:p>
    <w:p>
      <w:pPr>
        <w:pStyle w:val="ListParagraph"/>
        <w:numPr>
          <w:ilvl w:val="0"/>
          <w:numId w:val="2"/>
        </w:numPr>
        <w:spacing w:after="100" w:line="276"/>
      </w:pPr>
      <w:r>
        <w:rPr>
          <w:rFonts w:ascii="Calibri" w:cs="Calibri" w:eastAsia="Calibri" w:hAnsi="Calibri"/>
          <w:sz w:val="22"/>
          <w:szCs w:val="22"/>
        </w:rPr>
        <w:t xml:space="preserve">dim_date: date, day of week, month, quarter, year, weekend flag.</w:t>
      </w:r>
    </w:p>
    <w:p>
      <w:pPr>
        <w:pStyle w:val="ListParagraph"/>
        <w:numPr>
          <w:ilvl w:val="0"/>
          <w:numId w:val="2"/>
        </w:numPr>
        <w:spacing w:after="100" w:line="276"/>
      </w:pPr>
      <w:r>
        <w:rPr>
          <w:rFonts w:ascii="Calibri" w:cs="Calibri" w:eastAsia="Calibri" w:hAnsi="Calibri"/>
          <w:sz w:val="22"/>
          <w:szCs w:val="22"/>
        </w:rPr>
        <w:t xml:space="preserve">dim_time: hour of day, time-of-day bucket (morning/midday/evening/night).</w:t>
      </w:r>
    </w:p>
    <w:p>
      <w:pPr>
        <w:pStyle w:val="ListParagraph"/>
        <w:numPr>
          <w:ilvl w:val="0"/>
          <w:numId w:val="2"/>
        </w:numPr>
        <w:spacing w:after="100" w:line="276"/>
      </w:pPr>
      <w:r>
        <w:rPr>
          <w:rFonts w:ascii="Calibri" w:cs="Calibri" w:eastAsia="Calibri" w:hAnsi="Calibri"/>
          <w:sz w:val="22"/>
          <w:szCs w:val="22"/>
        </w:rPr>
        <w:t xml:space="preserve">dim_rider_type: member vs. casual, rideable type (classic/electric).</w:t>
      </w:r>
    </w:p>
    <w:p>
      <w:pPr>
        <w:spacing w:after="160" w:line="276"/>
      </w:pPr>
      <w:r>
        <w:rPr>
          <w:rFonts w:ascii="Calibri" w:cs="Calibri" w:eastAsia="Calibri" w:hAnsi="Calibri"/>
          <w:sz w:val="22"/>
          <w:szCs w:val="22"/>
        </w:rPr>
        <w:t xml:space="preserve">Planned aggregated Gold tables built on top of this star schema include:</w:t>
      </w:r>
    </w:p>
    <w:p>
      <w:pPr>
        <w:pStyle w:val="ListParagraph"/>
        <w:numPr>
          <w:ilvl w:val="0"/>
          <w:numId w:val="2"/>
        </w:numPr>
        <w:spacing w:after="100" w:line="276"/>
      </w:pPr>
      <w:r>
        <w:rPr>
          <w:rFonts w:ascii="Calibri" w:cs="Calibri" w:eastAsia="Calibri" w:hAnsi="Calibri"/>
          <w:sz w:val="22"/>
          <w:szCs w:val="22"/>
        </w:rPr>
        <w:t xml:space="preserve">gold_daily_ridership_summary — total trips, average duration, member-vs-casual split, per day.</w:t>
      </w:r>
    </w:p>
    <w:p>
      <w:pPr>
        <w:pStyle w:val="ListParagraph"/>
        <w:numPr>
          <w:ilvl w:val="0"/>
          <w:numId w:val="2"/>
        </w:numPr>
        <w:spacing w:after="100" w:line="276"/>
      </w:pPr>
      <w:r>
        <w:rPr>
          <w:rFonts w:ascii="Calibri" w:cs="Calibri" w:eastAsia="Calibri" w:hAnsi="Calibri"/>
          <w:sz w:val="22"/>
          <w:szCs w:val="22"/>
        </w:rPr>
        <w:t xml:space="preserve">gold_station_popularity — total departures and arrivals per station, per month, to support rebalancing and demand analysis.</w:t>
      </w:r>
    </w:p>
    <w:p>
      <w:pPr>
        <w:pStyle w:val="ListParagraph"/>
        <w:numPr>
          <w:ilvl w:val="0"/>
          <w:numId w:val="2"/>
        </w:numPr>
        <w:spacing w:after="100" w:line="276"/>
      </w:pPr>
      <w:r>
        <w:rPr>
          <w:rFonts w:ascii="Calibri" w:cs="Calibri" w:eastAsia="Calibri" w:hAnsi="Calibri"/>
          <w:sz w:val="22"/>
          <w:szCs w:val="22"/>
        </w:rPr>
        <w:t xml:space="preserve">gold_hourly_demand_pattern — trip counts by hour-of-day and day-of-week, to support peak-usage analysis.</w:t>
      </w:r>
    </w:p>
    <w:p>
      <w:pPr>
        <w:pBdr>
          <w:bottom w:val="single" w:color="CCCCCC" w:sz="6" w:space="1"/>
        </w:pBdr>
        <w:spacing w:after="200" w:before="100"/>
      </w:pPr>
      <w:r>
        <w:t xml:space="preserve"/>
      </w:r>
    </w:p>
    <w:p>
      <w:pPr>
        <w:pStyle w:val="Heading1"/>
        <w:spacing w:after="160" w:before="360"/>
      </w:pPr>
      <w:r>
        <w:rPr>
          <w:b/>
          <w:bCs/>
        </w:rPr>
        <w:t xml:space="preserve">5. Business Intelligence &amp; Dashboards</w:t>
      </w:r>
    </w:p>
    <w:p>
      <w:pPr>
        <w:pStyle w:val="Heading2"/>
        <w:spacing w:after="120" w:before="240"/>
      </w:pPr>
      <w:r>
        <w:rPr>
          <w:b/>
          <w:bCs/>
          <w:color w:val="1F4E5F"/>
        </w:rPr>
        <w:t xml:space="preserve">Dashboard Overview</w:t>
      </w:r>
    </w:p>
    <w:p>
      <w:pPr>
        <w:spacing w:after="160" w:line="276"/>
      </w:pPr>
      <w:r>
        <w:rPr>
          <w:rFonts w:ascii="Calibri" w:cs="Calibri" w:eastAsia="Calibri" w:hAnsi="Calibri"/>
          <w:sz w:val="22"/>
          <w:szCs w:val="22"/>
        </w:rPr>
        <w:t xml:space="preserve">A Power BI dashboard will be developed on top of the Gold-layer tables (gold_daily_ridership_summary, gold_station_popularity, gold_hourly_demand_pattern, and the underlying star schema), structured around three business questions relevant to a bike-share operator: demand forecasting, station-level operations, and ridership growth.</w:t>
      </w:r>
    </w:p>
    <w:p>
      <w:pPr>
        <w:pStyle w:val="Heading2"/>
        <w:spacing w:after="120" w:before="240"/>
      </w:pPr>
      <w:r>
        <w:rPr>
          <w:b/>
          <w:bCs/>
          <w:color w:val="1F4E5F"/>
        </w:rPr>
        <w:t xml:space="preserve">Business Questions Addressed</w:t>
      </w:r>
    </w:p>
    <w:p>
      <w:pPr>
        <w:pStyle w:val="ListParagraph"/>
        <w:numPr>
          <w:ilvl w:val="0"/>
          <w:numId w:val="2"/>
        </w:numPr>
        <w:spacing w:after="100" w:line="276"/>
      </w:pPr>
      <w:r>
        <w:rPr>
          <w:rFonts w:ascii="Calibri" w:cs="Calibri" w:eastAsia="Calibri" w:hAnsi="Calibri"/>
          <w:sz w:val="22"/>
          <w:szCs w:val="22"/>
        </w:rPr>
        <w:t xml:space="preserve">How does ridership volume vary by day, season, and time of day, and what does this imply for fleet and staffing planning?</w:t>
      </w:r>
    </w:p>
    <w:p>
      <w:pPr>
        <w:pStyle w:val="ListParagraph"/>
        <w:numPr>
          <w:ilvl w:val="0"/>
          <w:numId w:val="2"/>
        </w:numPr>
        <w:spacing w:after="100" w:line="276"/>
      </w:pPr>
      <w:r>
        <w:rPr>
          <w:rFonts w:ascii="Calibri" w:cs="Calibri" w:eastAsia="Calibri" w:hAnsi="Calibri"/>
          <w:sz w:val="22"/>
          <w:szCs w:val="22"/>
        </w:rPr>
        <w:t xml:space="preserve">Which stations experience the highest departure and arrival volume, and where are imbalances most severe, indicating a need for bike rebalancing?</w:t>
      </w:r>
    </w:p>
    <w:p>
      <w:pPr>
        <w:pStyle w:val="ListParagraph"/>
        <w:numPr>
          <w:ilvl w:val="0"/>
          <w:numId w:val="2"/>
        </w:numPr>
        <w:spacing w:after="100" w:line="276"/>
      </w:pPr>
      <w:r>
        <w:rPr>
          <w:rFonts w:ascii="Calibri" w:cs="Calibri" w:eastAsia="Calibri" w:hAnsi="Calibri"/>
          <w:sz w:val="22"/>
          <w:szCs w:val="22"/>
        </w:rPr>
        <w:t xml:space="preserve">How is the rider base composed (member vs. casual), and how has this composition shifted month over month?</w:t>
      </w:r>
    </w:p>
    <w:p>
      <w:pPr>
        <w:pStyle w:val="Heading2"/>
        <w:spacing w:after="120" w:before="240"/>
      </w:pPr>
      <w:r>
        <w:rPr>
          <w:b/>
          <w:bCs/>
          <w:color w:val="1F4E5F"/>
        </w:rPr>
        <w:t xml:space="preserve">Planned Visuals</w:t>
      </w:r>
    </w:p>
    <w:p>
      <w:pPr>
        <w:pStyle w:val="ListParagraph"/>
        <w:numPr>
          <w:ilvl w:val="0"/>
          <w:numId w:val="2"/>
        </w:numPr>
        <w:spacing w:after="100" w:line="276"/>
      </w:pPr>
      <w:r>
        <w:rPr>
          <w:rFonts w:ascii="Calibri" w:cs="Calibri" w:eastAsia="Calibri" w:hAnsi="Calibri"/>
          <w:sz w:val="22"/>
          <w:szCs w:val="22"/>
        </w:rPr>
        <w:t xml:space="preserve">Ridership Trend Line Chart — daily or weekly total trips over the full-load and incremental period, with a secondary series breaking out member vs. casual riders.</w:t>
      </w:r>
    </w:p>
    <w:p>
      <w:pPr>
        <w:pStyle w:val="ListParagraph"/>
        <w:numPr>
          <w:ilvl w:val="0"/>
          <w:numId w:val="2"/>
        </w:numPr>
        <w:spacing w:after="100" w:line="276"/>
      </w:pPr>
      <w:r>
        <w:rPr>
          <w:rFonts w:ascii="Calibri" w:cs="Calibri" w:eastAsia="Calibri" w:hAnsi="Calibri"/>
          <w:sz w:val="22"/>
          <w:szCs w:val="22"/>
        </w:rPr>
        <w:t xml:space="preserve">Station Demand Map / Ranked Bar Chart — top and bottom stations by combined departure and arrival volume, with a supplementary imbalance metric (departures minus arrivals) to flag stations requiring rebalancing.</w:t>
      </w:r>
    </w:p>
    <w:p>
      <w:pPr>
        <w:pStyle w:val="ListParagraph"/>
        <w:numPr>
          <w:ilvl w:val="0"/>
          <w:numId w:val="2"/>
        </w:numPr>
        <w:spacing w:after="100" w:line="276"/>
      </w:pPr>
      <w:r>
        <w:rPr>
          <w:rFonts w:ascii="Calibri" w:cs="Calibri" w:eastAsia="Calibri" w:hAnsi="Calibri"/>
          <w:sz w:val="22"/>
          <w:szCs w:val="22"/>
        </w:rPr>
        <w:t xml:space="preserve">Hour-by-Day Heatmap — trip counts across hour-of-day and day-of-week, surfacing commute-pattern peaks versus weekend leisure-ridership patterns.</w:t>
      </w:r>
    </w:p>
    <w:p>
      <w:pPr>
        <w:spacing w:after="160" w:line="276"/>
      </w:pPr>
      <w:r>
        <w:rPr>
          <w:rFonts w:ascii="Calibri" w:cs="Calibri" w:eastAsia="Calibri" w:hAnsi="Calibri"/>
          <w:sz w:val="22"/>
          <w:szCs w:val="22"/>
        </w:rPr>
        <w:t xml:space="preserve">An optional KPI summary panel (total trips, average trip duration, member-share percentage, month-over-month growth) will be included as a dashboard header if time permits, giving analysts an at-a-glance operational snapshot before drilling into the three charts above.</w:t>
      </w:r>
    </w:p>
    <w:p>
      <w:pPr>
        <w:pBdr>
          <w:bottom w:val="single" w:color="CCCCCC" w:sz="6" w:space="1"/>
        </w:pBdr>
        <w:spacing w:after="200" w:before="100"/>
      </w:pPr>
      <w:r>
        <w:t xml:space="preserve"/>
      </w:r>
    </w:p>
    <w:p>
      <w:pPr>
        <w:pStyle w:val="Heading1"/>
        <w:spacing w:after="160" w:before="360"/>
      </w:pPr>
      <w:r>
        <w:rPr>
          <w:b/>
          <w:bCs/>
        </w:rPr>
        <w:t xml:space="preserve">6. Engineering Setup &amp; FinOps</w:t>
      </w:r>
    </w:p>
    <w:p>
      <w:pPr>
        <w:pStyle w:val="Heading2"/>
        <w:spacing w:after="120" w:before="240"/>
      </w:pPr>
      <w:r>
        <w:rPr>
          <w:b/>
          <w:bCs/>
          <w:color w:val="1F4E5F"/>
        </w:rPr>
        <w:t xml:space="preserve">Version Control</w:t>
      </w:r>
    </w:p>
    <w:p>
      <w:pPr>
        <w:spacing w:after="160" w:line="276"/>
      </w:pPr>
      <w:r>
        <w:rPr>
          <w:rFonts w:ascii="Calibri" w:cs="Calibri" w:eastAsia="Calibri" w:hAnsi="Calibri"/>
          <w:sz w:val="22"/>
          <w:szCs w:val="22"/>
        </w:rPr>
        <w:t xml:space="preserve">A dedicated GitHub repository will be created for this project, structured to separate raw sample data, pipeline code, and documentation (e.g., /data/samples, /notebooks, /docs). The repository link is provided in the team information table at the start of this document. Trimmed sample files representing the full-load and incremental-load payloads (Section 2) will be committed to the repository, while complete monthly files will be retrieved directly from the Citi Bike S3 source at pipeline runtime rather than stored in version control.</w:t>
      </w:r>
    </w:p>
    <w:p>
      <w:pPr>
        <w:pStyle w:val="Heading2"/>
        <w:spacing w:after="120" w:before="240"/>
      </w:pPr>
      <w:r>
        <w:rPr>
          <w:b/>
          <w:bCs/>
          <w:color w:val="1F4E5F"/>
        </w:rPr>
        <w:t xml:space="preserve">Infrastructure</w:t>
      </w:r>
    </w:p>
    <w:p>
      <w:pPr>
        <w:spacing w:after="160" w:line="276"/>
      </w:pPr>
      <w:r>
        <w:rPr>
          <w:rFonts w:ascii="Calibri" w:cs="Calibri" w:eastAsia="Calibri" w:hAnsi="Calibri"/>
          <w:sz w:val="22"/>
          <w:szCs w:val="22"/>
        </w:rPr>
        <w:t xml:space="preserve">The pipeline will be developed and executed using Databricks Community Edition, which provides a free Spark cluster suitable for the estimated data volumes outlined in Section 2 (approximately 4–6 GB uncompressed for the full-load baseline, with incremental batches of 60–150 MB compressed per month). Should Community Edition's compute or storage limits prove restrictive during development, Azure for Students credits will be used as a fallback, providing access to Azure Databricks or an equivalent Spark environment.</w:t>
      </w:r>
    </w:p>
    <w:p>
      <w:pPr>
        <w:pStyle w:val="Heading2"/>
        <w:spacing w:after="120" w:before="240"/>
      </w:pPr>
      <w:r>
        <w:rPr>
          <w:b/>
          <w:bCs/>
          <w:color w:val="1F4E5F"/>
        </w:rPr>
        <w:t xml:space="preserve">Cost / FinOps Awareness</w:t>
      </w:r>
    </w:p>
    <w:p>
      <w:pPr>
        <w:spacing w:after="160" w:line="276"/>
      </w:pPr>
      <w:r>
        <w:rPr>
          <w:rFonts w:ascii="Calibri" w:cs="Calibri" w:eastAsia="Calibri" w:hAnsi="Calibri"/>
          <w:sz w:val="22"/>
          <w:szCs w:val="22"/>
        </w:rPr>
        <w:t xml:space="preserve">The following practices will be followed to manage free-tier compute and storage limits across the semester:</w:t>
      </w:r>
    </w:p>
    <w:p>
      <w:pPr>
        <w:pStyle w:val="ListParagraph"/>
        <w:numPr>
          <w:ilvl w:val="0"/>
          <w:numId w:val="2"/>
        </w:numPr>
        <w:spacing w:after="100" w:line="276"/>
      </w:pPr>
      <w:r>
        <w:rPr>
          <w:rFonts w:ascii="Calibri" w:cs="Calibri" w:eastAsia="Calibri" w:hAnsi="Calibri"/>
          <w:sz w:val="22"/>
          <w:szCs w:val="22"/>
        </w:rPr>
        <w:t xml:space="preserve">Bounded baseline scope: the full-load baseline will initially target a twelve-month window; if cluster memory or storage constraints are encountered, this will be reduced to six months rather than scaling up infrastructure.</w:t>
      </w:r>
    </w:p>
    <w:p>
      <w:pPr>
        <w:pStyle w:val="ListParagraph"/>
        <w:numPr>
          <w:ilvl w:val="0"/>
          <w:numId w:val="2"/>
        </w:numPr>
        <w:spacing w:after="100" w:line="276"/>
      </w:pPr>
      <w:r>
        <w:rPr>
          <w:rFonts w:ascii="Calibri" w:cs="Calibri" w:eastAsia="Calibri" w:hAnsi="Calibri"/>
          <w:sz w:val="22"/>
          <w:szCs w:val="22"/>
        </w:rPr>
        <w:t xml:space="preserve">Development on samples, validation on full data: pipeline logic will be developed and iterated against the trimmed sample files, with full-volume runs reserved for validation checkpoints.</w:t>
      </w:r>
    </w:p>
    <w:p>
      <w:pPr>
        <w:pStyle w:val="ListParagraph"/>
        <w:numPr>
          <w:ilvl w:val="0"/>
          <w:numId w:val="2"/>
        </w:numPr>
        <w:spacing w:after="100" w:line="276"/>
      </w:pPr>
      <w:r>
        <w:rPr>
          <w:rFonts w:ascii="Calibri" w:cs="Calibri" w:eastAsia="Calibri" w:hAnsi="Calibri"/>
          <w:sz w:val="22"/>
          <w:szCs w:val="22"/>
        </w:rPr>
        <w:t xml:space="preserve">Cluster hygiene: Databricks clusters will be terminated immediately after each working session rather than left idle, since idle clusters against free-tier or student credits represent unnecessary cost.</w:t>
      </w:r>
    </w:p>
    <w:p>
      <w:pPr>
        <w:pStyle w:val="ListParagraph"/>
        <w:numPr>
          <w:ilvl w:val="0"/>
          <w:numId w:val="2"/>
        </w:numPr>
        <w:spacing w:after="100" w:line="276"/>
      </w:pPr>
      <w:r>
        <w:rPr>
          <w:rFonts w:ascii="Calibri" w:cs="Calibri" w:eastAsia="Calibri" w:hAnsi="Calibri"/>
          <w:sz w:val="22"/>
          <w:szCs w:val="22"/>
        </w:rPr>
        <w:t xml:space="preserve">Incremental testing at small scale: incremental-load logic will first be tested against a small synthetic subset before being run against the full incremental monthly file.</w:t>
      </w:r>
    </w:p>
    <w:p>
      <w:pPr>
        <w:pStyle w:val="ListParagraph"/>
        <w:numPr>
          <w:ilvl w:val="0"/>
          <w:numId w:val="2"/>
        </w:numPr>
        <w:spacing w:after="100" w:line="276"/>
      </w:pPr>
      <w:r>
        <w:rPr>
          <w:rFonts w:ascii="Calibri" w:cs="Calibri" w:eastAsia="Calibri" w:hAnsi="Calibri"/>
          <w:sz w:val="22"/>
          <w:szCs w:val="22"/>
        </w:rPr>
        <w:t xml:space="preserve">Monitoring: Azure Cost Management (if Azure for Students is used) will be checked periodically against the allocated credit to ensure the budget is not exhausted before Phase 3 delivery.</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1l7nozqhvuuomb60ejx" Type="http://schemas.openxmlformats.org/officeDocument/2006/relationships/hyperlink" Target="https://s3.amazonaws.com/tripdata/index.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2026-09-27T18:29:58.277Z</dcterms:created>
  <dcterms:modified xsi:type="dcterms:W3CDTF">2026-09-27T18:29:58.289Z</dcterms:modified>
</cp:coreProperties>
</file>

<file path=docProps/custom.xml><?xml version="1.0" encoding="utf-8"?>
<Properties xmlns="http://schemas.openxmlformats.org/officeDocument/2006/custom-properties" xmlns:vt="http://schemas.openxmlformats.org/officeDocument/2006/docPropsVTypes"/>
</file>