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Rencana Kerja dan Anggaran</w:t>
        <w:br/>
        <w:t>Tahun 2027</w:t>
      </w:r>
    </w:p>
    <w:p>
      <w:pPr>
        <w:pStyle w:val="Heading2"/>
        <w:bidi w:val="0"/>
        <w:jc w:val="left"/>
        <w:rPr/>
      </w:pPr>
      <w:r>
        <w:rPr/>
        <w:t>1. Arah Kebijakan</w:t>
      </w:r>
    </w:p>
    <w:p>
      <w:pPr>
        <w:pStyle w:val="BodyText"/>
        <w:bidi w:val="0"/>
        <w:jc w:val="left"/>
        <w:rPr/>
      </w:pPr>
      <w:r>
        <w:rPr/>
        <w:t>Rencana kerja tahun 2027 diarahkan pada penguatan pengawasan kegiatan hulu minyak dan gas bumi di wilayah kerja Aceh, peningkatan mutu data teknis, serta pemantapan tata kelola dokumen dan sistem informasi internal.</w:t>
      </w:r>
    </w:p>
    <w:p>
      <w:pPr>
        <w:pStyle w:val="Heading2"/>
        <w:bidi w:val="0"/>
        <w:jc w:val="left"/>
        <w:rPr/>
      </w:pPr>
      <w:r>
        <w:rPr/>
        <w:t>2. Sasaran Program</w:t>
      </w:r>
    </w:p>
    <w:tbl>
      <w:tblPr>
        <w:tblW w:w="10524" w:type="dxa"/>
        <w:jc w:val="left"/>
        <w:tblInd w:w="28" w:type="dxa"/>
        <w:tblLayout w:type="fixed"/>
        <w:tblCellMar>
          <w:top w:w="28" w:type="dxa"/>
          <w:left w:w="28" w:type="dxa"/>
          <w:bottom w:w="28" w:type="dxa"/>
          <w:right w:w="28" w:type="dxa"/>
        </w:tblCellMar>
      </w:tblPr>
      <w:tblGrid>
        <w:gridCol w:w="5200"/>
        <w:gridCol w:w="3084"/>
        <w:gridCol w:w="2240"/>
      </w:tblGrid>
      <w:tr>
        <w:trPr/>
        <w:tc>
          <w:tcPr>
            <w:tcW w:w="5200" w:type="dxa"/>
            <w:tcBorders/>
            <w:vAlign w:val="center"/>
          </w:tcPr>
          <w:p>
            <w:pPr>
              <w:pStyle w:val="TableHeading"/>
              <w:suppressLineNumbers/>
              <w:shd w:fill="EEEEEE" w:val="clear"/>
              <w:bidi w:val="0"/>
              <w:spacing w:before="0" w:after="283"/>
              <w:jc w:val="center"/>
              <w:rPr/>
            </w:pPr>
            <w:r>
              <w:rPr/>
              <w:t>Sasaran</w:t>
            </w:r>
          </w:p>
        </w:tc>
        <w:tc>
          <w:tcPr>
            <w:tcW w:w="3084" w:type="dxa"/>
            <w:tcBorders/>
            <w:vAlign w:val="center"/>
          </w:tcPr>
          <w:p>
            <w:pPr>
              <w:pStyle w:val="TableHeading"/>
              <w:bidi w:val="0"/>
              <w:spacing w:before="0" w:after="283"/>
              <w:ind w:hanging="0" w:left="0" w:right="0"/>
              <w:rPr/>
            </w:pPr>
            <w:r>
              <w:rPr/>
              <w:t>Indikator</w:t>
            </w:r>
          </w:p>
        </w:tc>
        <w:tc>
          <w:tcPr>
            <w:tcW w:w="2240" w:type="dxa"/>
            <w:tcBorders/>
            <w:vAlign w:val="center"/>
          </w:tcPr>
          <w:p>
            <w:pPr>
              <w:pStyle w:val="TableHeading"/>
              <w:bidi w:val="0"/>
              <w:spacing w:before="0" w:after="283"/>
              <w:jc w:val="right"/>
              <w:rPr/>
            </w:pPr>
            <w:r>
              <w:rPr/>
              <w:t>Target</w:t>
            </w:r>
          </w:p>
        </w:tc>
      </w:tr>
      <w:tr>
        <w:trPr/>
        <w:tc>
          <w:tcPr>
            <w:tcW w:w="5200" w:type="dxa"/>
            <w:tcBorders/>
            <w:vAlign w:val="center"/>
          </w:tcPr>
          <w:p>
            <w:pPr>
              <w:pStyle w:val="TableContents"/>
              <w:bidi w:val="0"/>
              <w:spacing w:before="0" w:after="283"/>
              <w:jc w:val="left"/>
              <w:rPr/>
            </w:pPr>
            <w:r>
              <w:rPr/>
              <w:t>Pengawasan kegiatan operasi berjalan tertib</w:t>
            </w:r>
          </w:p>
        </w:tc>
        <w:tc>
          <w:tcPr>
            <w:tcW w:w="3084" w:type="dxa"/>
            <w:tcBorders/>
            <w:vAlign w:val="center"/>
          </w:tcPr>
          <w:p>
            <w:pPr>
              <w:pStyle w:val="TableContents"/>
              <w:bidi w:val="0"/>
              <w:spacing w:before="0" w:after="283"/>
              <w:ind w:hanging="0" w:left="0" w:right="0"/>
              <w:jc w:val="left"/>
              <w:rPr/>
            </w:pPr>
            <w:r>
              <w:rPr/>
              <w:t>Kunjungan lapangan terlaksana</w:t>
            </w:r>
          </w:p>
        </w:tc>
        <w:tc>
          <w:tcPr>
            <w:tcW w:w="2240" w:type="dxa"/>
            <w:tcBorders/>
            <w:vAlign w:val="center"/>
          </w:tcPr>
          <w:p>
            <w:pPr>
              <w:pStyle w:val="TableContents"/>
              <w:bidi w:val="0"/>
              <w:spacing w:before="0" w:after="283"/>
              <w:jc w:val="right"/>
              <w:rPr/>
            </w:pPr>
            <w:r>
              <w:rPr/>
              <w:t>48 kali</w:t>
            </w:r>
          </w:p>
        </w:tc>
      </w:tr>
      <w:tr>
        <w:trPr/>
        <w:tc>
          <w:tcPr>
            <w:tcW w:w="5200" w:type="dxa"/>
            <w:tcBorders/>
            <w:vAlign w:val="center"/>
          </w:tcPr>
          <w:p>
            <w:pPr>
              <w:pStyle w:val="TableContents"/>
              <w:bidi w:val="0"/>
              <w:spacing w:before="0" w:after="283"/>
              <w:jc w:val="left"/>
              <w:rPr/>
            </w:pPr>
            <w:r>
              <w:rPr/>
              <w:t>Data teknis terkelola baik</w:t>
            </w:r>
          </w:p>
        </w:tc>
        <w:tc>
          <w:tcPr>
            <w:tcW w:w="3084" w:type="dxa"/>
            <w:tcBorders/>
            <w:vAlign w:val="center"/>
          </w:tcPr>
          <w:p>
            <w:pPr>
              <w:pStyle w:val="TableContents"/>
              <w:bidi w:val="0"/>
              <w:spacing w:before="0" w:after="283"/>
              <w:ind w:hanging="0" w:left="0" w:right="0"/>
              <w:jc w:val="left"/>
              <w:rPr/>
            </w:pPr>
            <w:r>
              <w:rPr/>
              <w:t>Dokumen teknis terarsip lengkap</w:t>
            </w:r>
          </w:p>
        </w:tc>
        <w:tc>
          <w:tcPr>
            <w:tcW w:w="2240" w:type="dxa"/>
            <w:tcBorders/>
            <w:vAlign w:val="center"/>
          </w:tcPr>
          <w:p>
            <w:pPr>
              <w:pStyle w:val="TableContents"/>
              <w:bidi w:val="0"/>
              <w:spacing w:before="0" w:after="283"/>
              <w:jc w:val="right"/>
              <w:rPr/>
            </w:pPr>
            <w:r>
              <w:rPr/>
              <w:t>95%</w:t>
            </w:r>
          </w:p>
        </w:tc>
      </w:tr>
      <w:tr>
        <w:trPr/>
        <w:tc>
          <w:tcPr>
            <w:tcW w:w="5200" w:type="dxa"/>
            <w:tcBorders/>
            <w:vAlign w:val="center"/>
          </w:tcPr>
          <w:p>
            <w:pPr>
              <w:pStyle w:val="TableContents"/>
              <w:bidi w:val="0"/>
              <w:spacing w:before="0" w:after="283"/>
              <w:jc w:val="left"/>
              <w:rPr/>
            </w:pPr>
            <w:r>
              <w:rPr/>
              <w:t>Penerimaan negara terpantau</w:t>
            </w:r>
          </w:p>
        </w:tc>
        <w:tc>
          <w:tcPr>
            <w:tcW w:w="3084" w:type="dxa"/>
            <w:tcBorders/>
            <w:vAlign w:val="center"/>
          </w:tcPr>
          <w:p>
            <w:pPr>
              <w:pStyle w:val="TableContents"/>
              <w:bidi w:val="0"/>
              <w:spacing w:before="0" w:after="283"/>
              <w:ind w:hanging="0" w:left="0" w:right="0"/>
              <w:jc w:val="left"/>
              <w:rPr/>
            </w:pPr>
            <w:r>
              <w:rPr/>
              <w:t>Laporan lifting tepat waktu</w:t>
            </w:r>
          </w:p>
        </w:tc>
        <w:tc>
          <w:tcPr>
            <w:tcW w:w="2240" w:type="dxa"/>
            <w:tcBorders/>
            <w:vAlign w:val="center"/>
          </w:tcPr>
          <w:p>
            <w:pPr>
              <w:pStyle w:val="TableContents"/>
              <w:bidi w:val="0"/>
              <w:spacing w:before="0" w:after="283"/>
              <w:jc w:val="right"/>
              <w:rPr/>
            </w:pPr>
            <w:r>
              <w:rPr/>
              <w:t>12 laporan</w:t>
            </w:r>
          </w:p>
        </w:tc>
      </w:tr>
      <w:tr>
        <w:trPr/>
        <w:tc>
          <w:tcPr>
            <w:tcW w:w="5200" w:type="dxa"/>
            <w:tcBorders/>
            <w:vAlign w:val="center"/>
          </w:tcPr>
          <w:p>
            <w:pPr>
              <w:pStyle w:val="TableContents"/>
              <w:bidi w:val="0"/>
              <w:spacing w:before="0" w:after="283"/>
              <w:jc w:val="left"/>
              <w:rPr/>
            </w:pPr>
            <w:r>
              <w:rPr/>
              <w:t>Tata kelola dokumen membaik</w:t>
            </w:r>
          </w:p>
        </w:tc>
        <w:tc>
          <w:tcPr>
            <w:tcW w:w="3084" w:type="dxa"/>
            <w:tcBorders/>
            <w:vAlign w:val="center"/>
          </w:tcPr>
          <w:p>
            <w:pPr>
              <w:pStyle w:val="TableContents"/>
              <w:bidi w:val="0"/>
              <w:spacing w:before="0" w:after="283"/>
              <w:ind w:hanging="0" w:left="0" w:right="0"/>
              <w:jc w:val="left"/>
              <w:rPr/>
            </w:pPr>
            <w:r>
              <w:rPr/>
              <w:t>Dokumen bermetadata lengkap</w:t>
            </w:r>
          </w:p>
        </w:tc>
        <w:tc>
          <w:tcPr>
            <w:tcW w:w="2240" w:type="dxa"/>
            <w:tcBorders/>
            <w:vAlign w:val="center"/>
          </w:tcPr>
          <w:p>
            <w:pPr>
              <w:pStyle w:val="TableContents"/>
              <w:bidi w:val="0"/>
              <w:spacing w:before="0" w:after="283"/>
              <w:jc w:val="right"/>
              <w:rPr/>
            </w:pPr>
            <w:r>
              <w:rPr/>
              <w:t>90%</w:t>
            </w:r>
          </w:p>
        </w:tc>
      </w:tr>
    </w:tbl>
    <w:p>
      <w:pPr>
        <w:pStyle w:val="Heading2"/>
        <w:bidi w:val="0"/>
        <w:jc w:val="left"/>
        <w:rPr/>
      </w:pPr>
      <w:r>
        <w:rPr/>
        <w:t>3. Kerangka Anggaran</w:t>
      </w:r>
    </w:p>
    <w:tbl>
      <w:tblPr>
        <w:tblW w:w="5904" w:type="dxa"/>
        <w:jc w:val="left"/>
        <w:tblInd w:w="28" w:type="dxa"/>
        <w:tblLayout w:type="fixed"/>
        <w:tblCellMar>
          <w:top w:w="28" w:type="dxa"/>
          <w:left w:w="28" w:type="dxa"/>
          <w:bottom w:w="28" w:type="dxa"/>
          <w:right w:w="28" w:type="dxa"/>
        </w:tblCellMar>
      </w:tblPr>
      <w:tblGrid>
        <w:gridCol w:w="2323"/>
        <w:gridCol w:w="1716"/>
        <w:gridCol w:w="1865"/>
      </w:tblGrid>
      <w:tr>
        <w:trPr/>
        <w:tc>
          <w:tcPr>
            <w:tcW w:w="2323" w:type="dxa"/>
            <w:tcBorders/>
            <w:vAlign w:val="center"/>
          </w:tcPr>
          <w:p>
            <w:pPr>
              <w:pStyle w:val="TableHeading"/>
              <w:bidi w:val="0"/>
              <w:spacing w:before="0" w:after="283"/>
              <w:ind w:hanging="0" w:left="0" w:right="0"/>
              <w:rPr/>
            </w:pPr>
            <w:r>
              <w:rPr/>
              <w:t>Jenis Belanja</w:t>
            </w:r>
          </w:p>
        </w:tc>
        <w:tc>
          <w:tcPr>
            <w:tcW w:w="1716" w:type="dxa"/>
            <w:tcBorders/>
            <w:vAlign w:val="center"/>
          </w:tcPr>
          <w:p>
            <w:pPr>
              <w:pStyle w:val="TableHeading"/>
              <w:bidi w:val="0"/>
              <w:spacing w:before="0" w:after="283"/>
              <w:ind w:hanging="0" w:left="0" w:right="0"/>
              <w:jc w:val="right"/>
              <w:rPr/>
            </w:pPr>
            <w:r>
              <w:rPr/>
              <w:t>Usulan (Rp juta)</w:t>
            </w:r>
          </w:p>
        </w:tc>
        <w:tc>
          <w:tcPr>
            <w:tcW w:w="1865" w:type="dxa"/>
            <w:tcBorders/>
            <w:vAlign w:val="center"/>
          </w:tcPr>
          <w:p>
            <w:pPr>
              <w:pStyle w:val="TableHeading"/>
              <w:bidi w:val="0"/>
              <w:spacing w:before="0" w:after="283"/>
              <w:jc w:val="right"/>
              <w:rPr/>
            </w:pPr>
            <w:r>
              <w:rPr/>
              <w:t>Porsi</w:t>
            </w:r>
          </w:p>
        </w:tc>
      </w:tr>
      <w:tr>
        <w:trPr/>
        <w:tc>
          <w:tcPr>
            <w:tcW w:w="2323" w:type="dxa"/>
            <w:tcBorders/>
            <w:vAlign w:val="center"/>
          </w:tcPr>
          <w:p>
            <w:pPr>
              <w:pStyle w:val="TableContents"/>
              <w:bidi w:val="0"/>
              <w:spacing w:before="0" w:after="283"/>
              <w:ind w:hanging="0" w:left="0" w:right="0"/>
              <w:jc w:val="left"/>
              <w:rPr/>
            </w:pPr>
            <w:r>
              <w:rPr/>
              <w:t>Belanja Pegawai</w:t>
            </w:r>
          </w:p>
        </w:tc>
        <w:tc>
          <w:tcPr>
            <w:tcW w:w="1716" w:type="dxa"/>
            <w:tcBorders/>
            <w:vAlign w:val="center"/>
          </w:tcPr>
          <w:p>
            <w:pPr>
              <w:pStyle w:val="TableContents"/>
              <w:bidi w:val="0"/>
              <w:spacing w:before="0" w:after="283"/>
              <w:ind w:hanging="0" w:left="0" w:right="0"/>
              <w:jc w:val="right"/>
              <w:rPr/>
            </w:pPr>
            <w:r>
              <w:rPr/>
              <w:t>16.800</w:t>
            </w:r>
          </w:p>
        </w:tc>
        <w:tc>
          <w:tcPr>
            <w:tcW w:w="1865" w:type="dxa"/>
            <w:tcBorders/>
            <w:vAlign w:val="center"/>
          </w:tcPr>
          <w:p>
            <w:pPr>
              <w:pStyle w:val="TableContents"/>
              <w:bidi w:val="0"/>
              <w:spacing w:before="0" w:after="283"/>
              <w:jc w:val="right"/>
              <w:rPr/>
            </w:pPr>
            <w:r>
              <w:rPr/>
              <w:t>36,5%</w:t>
            </w:r>
          </w:p>
        </w:tc>
      </w:tr>
      <w:tr>
        <w:trPr/>
        <w:tc>
          <w:tcPr>
            <w:tcW w:w="2323" w:type="dxa"/>
            <w:tcBorders/>
            <w:vAlign w:val="center"/>
          </w:tcPr>
          <w:p>
            <w:pPr>
              <w:pStyle w:val="TableContents"/>
              <w:bidi w:val="0"/>
              <w:spacing w:before="0" w:after="283"/>
              <w:ind w:hanging="0" w:left="0" w:right="0"/>
              <w:jc w:val="left"/>
              <w:rPr/>
            </w:pPr>
            <w:r>
              <w:rPr/>
              <w:t>Belanja Barang dan Jasa</w:t>
            </w:r>
          </w:p>
        </w:tc>
        <w:tc>
          <w:tcPr>
            <w:tcW w:w="1716" w:type="dxa"/>
            <w:tcBorders/>
            <w:vAlign w:val="center"/>
          </w:tcPr>
          <w:p>
            <w:pPr>
              <w:pStyle w:val="TableContents"/>
              <w:bidi w:val="0"/>
              <w:spacing w:before="0" w:after="283"/>
              <w:ind w:hanging="0" w:left="0" w:right="0"/>
              <w:jc w:val="right"/>
              <w:rPr/>
            </w:pPr>
            <w:r>
              <w:rPr/>
              <w:t>21.400</w:t>
            </w:r>
          </w:p>
        </w:tc>
        <w:tc>
          <w:tcPr>
            <w:tcW w:w="1865" w:type="dxa"/>
            <w:tcBorders/>
            <w:vAlign w:val="center"/>
          </w:tcPr>
          <w:p>
            <w:pPr>
              <w:pStyle w:val="TableContents"/>
              <w:bidi w:val="0"/>
              <w:spacing w:before="0" w:after="283"/>
              <w:jc w:val="right"/>
              <w:rPr/>
            </w:pPr>
            <w:r>
              <w:rPr/>
              <w:t>46,5%</w:t>
            </w:r>
          </w:p>
        </w:tc>
      </w:tr>
      <w:tr>
        <w:trPr/>
        <w:tc>
          <w:tcPr>
            <w:tcW w:w="2323" w:type="dxa"/>
            <w:tcBorders/>
            <w:vAlign w:val="center"/>
          </w:tcPr>
          <w:p>
            <w:pPr>
              <w:pStyle w:val="TableContents"/>
              <w:bidi w:val="0"/>
              <w:spacing w:before="0" w:after="283"/>
              <w:ind w:hanging="0" w:left="0" w:right="0"/>
              <w:jc w:val="left"/>
              <w:rPr/>
            </w:pPr>
            <w:r>
              <w:rPr/>
              <w:t>Belanja Modal</w:t>
            </w:r>
          </w:p>
        </w:tc>
        <w:tc>
          <w:tcPr>
            <w:tcW w:w="1716" w:type="dxa"/>
            <w:tcBorders/>
            <w:vAlign w:val="center"/>
          </w:tcPr>
          <w:p>
            <w:pPr>
              <w:pStyle w:val="TableContents"/>
              <w:bidi w:val="0"/>
              <w:spacing w:before="0" w:after="283"/>
              <w:ind w:hanging="0" w:left="0" w:right="0"/>
              <w:jc w:val="right"/>
              <w:rPr/>
            </w:pPr>
            <w:r>
              <w:rPr/>
              <w:t>7.800</w:t>
            </w:r>
          </w:p>
        </w:tc>
        <w:tc>
          <w:tcPr>
            <w:tcW w:w="1865" w:type="dxa"/>
            <w:tcBorders/>
            <w:vAlign w:val="center"/>
          </w:tcPr>
          <w:p>
            <w:pPr>
              <w:pStyle w:val="TableContents"/>
              <w:bidi w:val="0"/>
              <w:spacing w:before="0" w:after="283"/>
              <w:jc w:val="right"/>
              <w:rPr/>
            </w:pPr>
            <w:r>
              <w:rPr/>
              <w:t>17,0%</w:t>
            </w:r>
          </w:p>
        </w:tc>
      </w:tr>
      <w:tr>
        <w:trPr/>
        <w:tc>
          <w:tcPr>
            <w:tcW w:w="2323" w:type="dxa"/>
            <w:tcBorders/>
            <w:vAlign w:val="center"/>
          </w:tcPr>
          <w:p>
            <w:pPr>
              <w:pStyle w:val="TableHeading"/>
              <w:bidi w:val="0"/>
              <w:spacing w:before="0" w:after="283"/>
              <w:ind w:hanging="0" w:left="0" w:right="0"/>
              <w:rPr/>
            </w:pPr>
            <w:r>
              <w:rPr/>
              <w:t>Jumlah</w:t>
            </w:r>
          </w:p>
        </w:tc>
        <w:tc>
          <w:tcPr>
            <w:tcW w:w="1716" w:type="dxa"/>
            <w:tcBorders/>
            <w:vAlign w:val="center"/>
          </w:tcPr>
          <w:p>
            <w:pPr>
              <w:pStyle w:val="TableHeading"/>
              <w:bidi w:val="0"/>
              <w:spacing w:before="0" w:after="283"/>
              <w:ind w:hanging="0" w:left="0" w:right="0"/>
              <w:jc w:val="right"/>
              <w:rPr/>
            </w:pPr>
            <w:r>
              <w:rPr/>
              <w:t>46.000</w:t>
            </w:r>
          </w:p>
        </w:tc>
        <w:tc>
          <w:tcPr>
            <w:tcW w:w="1865" w:type="dxa"/>
            <w:tcBorders/>
            <w:vAlign w:val="center"/>
          </w:tcPr>
          <w:p>
            <w:pPr>
              <w:pStyle w:val="TableHeading"/>
              <w:bidi w:val="0"/>
              <w:spacing w:before="0" w:after="283"/>
              <w:jc w:val="right"/>
              <w:rPr/>
            </w:pPr>
            <w:r>
              <w:rPr/>
              <w:t>100%</w:t>
            </w:r>
          </w:p>
        </w:tc>
      </w:tr>
    </w:tbl>
    <w:p>
      <w:pPr>
        <w:pStyle w:val="Heading2"/>
        <w:bidi w:val="0"/>
        <w:jc w:val="left"/>
        <w:rPr/>
      </w:pPr>
      <w:r>
        <w:rPr/>
        <w:t>4. Asumsi Penyusunan</w:t>
      </w:r>
    </w:p>
    <w:p>
      <w:pPr>
        <w:pStyle w:val="BodyText"/>
        <w:bidi w:val="0"/>
        <w:jc w:val="left"/>
        <w:rPr/>
      </w:pPr>
      <w:r>
        <w:rPr/>
        <w:t>Penyusunan anggaran memakai asumsi tingkat produksi stabil dan tidak terdapat penambahan wilayah kerja baru sepanjang tahun anggaran. Perubahan asumsi akan ditindaklanjuti melalui mekanisme revisi anggaran.</w:t>
      </w:r>
    </w:p>
    <w:p>
      <w:pPr>
        <w:pStyle w:val="BodyTextfoot"/>
        <w:bidi w:val="0"/>
        <w:spacing w:before="480" w:after="283"/>
        <w:jc w:val="left"/>
        <w:rPr/>
      </w:pPr>
      <w:r>
        <w:rPr/>
        <w:t>Dokumen contoh — data dummy untuk prototype DMS BPMA. Angka bersifat fiktif.</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134" w:after="1134"/>
      <w:ind w:left="1134" w:right="1134"/>
    </w:pPr>
    <w:rPr>
      <w:rFonts w:ascii="Liberation Serif;serif" w:hAnsi="Liberation Serif;serif" w:eastAsia="Liberation Serif;serif" w:cs="Liberation Serif;serif"/>
      <w:color w:val="auto"/>
      <w:sz w:val="22"/>
      <w:szCs w:val="22"/>
      <w:lang w:val="en-US" w:eastAsia="zh-CN" w:bidi="hi-IN"/>
    </w:rPr>
  </w:style>
  <w:style w:type="paragraph" w:styleId="Heading1">
    <w:name w:val="heading 1"/>
    <w:basedOn w:val="Heading"/>
    <w:next w:val="BodyText"/>
    <w:qFormat/>
    <w:pPr>
      <w:jc w:val="center"/>
    </w:pPr>
    <w:rPr>
      <w:b/>
      <w:bCs/>
      <w:caps/>
      <w:sz w:val="28"/>
      <w:szCs w:val="28"/>
    </w:rPr>
  </w:style>
  <w:style w:type="paragraph" w:styleId="Heading2">
    <w:name w:val="heading 2"/>
    <w:basedOn w:val="Heading"/>
    <w:next w:val="BodyText"/>
    <w:qFormat/>
    <w:pPr>
      <w:spacing w:before="280" w:after="120"/>
      <w:outlineLvl w:val="1"/>
    </w:pPr>
    <w:rPr>
      <w:rFonts w:ascii="Liberation Serif" w:hAnsi="Liberation Serif" w:eastAsia="Noto Serif CJK SC" w:cs="Noto Sans Devanagari"/>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EEEEEE" w:val="clear"/>
      <w:jc w:val="center"/>
    </w:pPr>
    <w:rPr>
      <w:b/>
      <w:bCs/>
    </w:rPr>
  </w:style>
  <w:style w:type="paragraph" w:styleId="BodyTextfoot">
    <w:name w:val="Body Text.foot"/>
    <w:basedOn w:val="BodyText"/>
    <w:qFormat/>
    <w:pPr>
      <w:pBdr>
        <w:top w:val="single" w:sz="2" w:space="6" w:color="CCCCCC"/>
      </w:pBdr>
      <w:spacing w:before="480" w:after="283"/>
    </w:pPr>
    <w:rPr>
      <w:color w:val="666666"/>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