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Campaign Concept (Case 2)</w:t>
      </w:r>
    </w:p>
    <w:p>
      <w:pPr>
        <w:spacing w:after="120"/>
      </w:pPr>
      <w:r>
        <w:rPr>
          <w:rFonts w:ascii="Segoe UI" w:hAnsi="Segoe UI"/>
          <w:b/>
          <w:i w:val="0"/>
          <w:sz w:val="21"/>
        </w:rPr>
        <w:t>Dus Feesad Aur. Khet Gawah Hai.</w:t>
      </w:r>
      <w:r>
        <w:rPr>
          <w:rFonts w:ascii="Segoe UI" w:hAnsi="Segoe UI"/>
          <w:b w:val="0"/>
          <w:i w:val="0"/>
          <w:sz w:val="21"/>
        </w:rPr>
        <w:t xml:space="preserve"> </w:t>
      </w:r>
      <w:r>
        <w:rPr>
          <w:rFonts w:ascii="Segoe UI" w:hAnsi="Segoe UI"/>
          <w:b w:val="0"/>
          <w:i/>
          <w:sz w:val="21"/>
        </w:rPr>
        <w:t>Ten percent more. The field is the witness.</w:t>
      </w:r>
    </w:p>
    <w:p>
      <w:pPr>
        <w:spacing w:after="120"/>
      </w:pPr>
      <w:r>
        <w:rPr>
          <w:rFonts w:ascii="Segoe UI" w:hAnsi="Segoe UI"/>
          <w:b w:val="0"/>
          <w:i w:val="0"/>
          <w:sz w:val="21"/>
        </w:rPr>
        <w:t xml:space="preserve">Tactical campaign for "10 feesad se bhi ziada izaafi paidawaar" (brief p13), built on the Big Idea </w:t>
      </w:r>
      <w:r>
        <w:rPr>
          <w:rFonts w:ascii="Segoe UI" w:hAnsi="Segoe UI"/>
          <w:b w:val="0"/>
          <w:i/>
          <w:sz w:val="21"/>
        </w:rPr>
        <w:t>Sarsabz proves itself on a field like yours</w:t>
      </w:r>
      <w:r>
        <w:rPr>
          <w:rFonts w:ascii="Segoe UI" w:hAnsi="Segoe UI"/>
          <w:b w:val="0"/>
          <w:i w:val="0"/>
          <w:sz w:val="21"/>
        </w:rPr>
        <w:t xml:space="preserve">. Method: </w:t>
      </w:r>
      <w:r>
        <w:rPr>
          <w:rFonts w:ascii="Segoe UI" w:hAnsi="Segoe UI"/>
          <w:b w:val="0"/>
          <w:i w:val="0"/>
          <w:sz w:val="21"/>
        </w:rPr>
        <w:t>campaign-concept</w:t>
      </w:r>
      <w:r>
        <w:rPr>
          <w:rFonts w:ascii="Segoe UI" w:hAnsi="Segoe UI"/>
          <w:b w:val="0"/>
          <w:i w:val="0"/>
          <w:sz w:val="21"/>
        </w:rPr>
        <w:t>. Working draft, 15 September 2026.</w:t>
      </w:r>
    </w:p>
    <w:p>
      <w:r>
        <w:br w:type="page"/>
      </w:r>
    </w:p>
    <w:p>
      <w:pPr>
        <w:pStyle w:val="Heading1"/>
      </w:pPr>
      <w:r>
        <w:rPr>
          <w:rFonts w:ascii="Segoe UI" w:hAnsi="Segoe UI"/>
          <w:b/>
          <w:i w:val="0"/>
          <w:color w:val="2E2B6F"/>
          <w:sz w:val="32"/>
        </w:rPr>
        <w:t>The stated assumptions</w:t>
      </w:r>
    </w:p>
    <w:p>
      <w:pPr>
        <w:pStyle w:val="ListBullet"/>
        <w:spacing w:after="60"/>
      </w:pPr>
      <w:r>
        <w:rPr>
          <w:rFonts w:ascii="Segoe UI" w:hAnsi="Segoe UI"/>
          <w:b/>
          <w:i w:val="0"/>
          <w:sz w:val="21"/>
        </w:rPr>
        <w:t>No budget or pitch date is given in the brief.</w:t>
      </w:r>
      <w:r>
        <w:rPr>
          <w:rFonts w:ascii="Segoe UI" w:hAnsi="Segoe UI"/>
          <w:b w:val="0"/>
          <w:i w:val="0"/>
          <w:sz w:val="21"/>
        </w:rPr>
        <w:t xml:space="preserve"> The executions are sized to show the idea travels, not costed.</w:t>
      </w:r>
    </w:p>
    <w:p>
      <w:pPr>
        <w:pStyle w:val="ListBullet"/>
        <w:spacing w:after="60"/>
      </w:pPr>
      <w:r>
        <w:rPr>
          <w:rFonts w:ascii="Segoe UI" w:hAnsi="Segoe UI"/>
          <w:b/>
          <w:i w:val="0"/>
          <w:sz w:val="21"/>
        </w:rPr>
        <w:t>Plot numbers are a proposal, not a fact.</w:t>
      </w:r>
      <w:r>
        <w:rPr>
          <w:rFonts w:ascii="Segoe UI" w:hAnsi="Segoe UI"/>
          <w:b w:val="0"/>
          <w:i w:val="0"/>
          <w:sz w:val="21"/>
        </w:rPr>
        <w:t xml:space="preserve"> One paired plot per Ki Jeet district (34) in Rabi 2026-27 is the starting scale suggested here; Fatima's agronomy team sets the real number.</w:t>
      </w:r>
    </w:p>
    <w:p>
      <w:pPr>
        <w:pStyle w:val="ListBullet"/>
        <w:spacing w:after="60"/>
      </w:pPr>
      <w:r>
        <w:rPr>
          <w:rFonts w:ascii="Segoe UI" w:hAnsi="Segoe UI"/>
          <w:b/>
          <w:i w:val="0"/>
          <w:sz w:val="21"/>
        </w:rPr>
        <w:t>The 10% claim needs clearing for advertising.</w:t>
      </w:r>
      <w:r>
        <w:rPr>
          <w:rFonts w:ascii="Segoe UI" w:hAnsi="Segoe UI"/>
          <w:b w:val="0"/>
          <w:i w:val="0"/>
          <w:sz w:val="21"/>
        </w:rPr>
        <w:t xml:space="preserve"> Its substantiation sits in Fatima's demo-plot data, which was not supplied. That is a question for the client, not an assumption this concept makes.</w:t>
      </w:r>
    </w:p>
    <w:p>
      <w:pPr>
        <w:pStyle w:val="Heading1"/>
      </w:pPr>
      <w:r>
        <w:rPr>
          <w:rFonts w:ascii="Segoe UI" w:hAnsi="Segoe UI"/>
          <w:b/>
          <w:i w:val="0"/>
          <w:color w:val="2E2B6F"/>
          <w:sz w:val="32"/>
        </w:rPr>
        <w:t>1. What we found</w:t>
      </w:r>
    </w:p>
    <w:p>
      <w:pPr>
        <w:spacing w:after="120"/>
      </w:pPr>
      <w:r>
        <w:rPr>
          <w:rFonts w:ascii="Segoe UI" w:hAnsi="Segoe UI"/>
          <w:b w:val="0"/>
          <w:i w:val="0"/>
          <w:sz w:val="21"/>
        </w:rPr>
        <w:t>Sarsabz makes the loudest yield promise in the category and proves it almost nowhere: 10 of its 11 "10%" films show nothing but the badge. Engro, the only competitor with real owned video, has made itself the farmer's adviser: it answers a farmer objection in 58% of its 110 uploads, against Sarsabz's 6%. No brand in 200 uploads shows a result on a real field beside the old way. Meanwhile 1,433 farmer comments don't question whether NP and CAN work. They ask how to use them without waste: 220 comments on mixing alone.</w:t>
      </w:r>
    </w:p>
    <w:p>
      <w:pPr>
        <w:pStyle w:val="Heading1"/>
      </w:pPr>
      <w:r>
        <w:rPr>
          <w:rFonts w:ascii="Segoe UI" w:hAnsi="Segoe UI"/>
          <w:b/>
          <w:i w:val="0"/>
          <w:color w:val="2E2B6F"/>
          <w:sz w:val="32"/>
        </w:rPr>
        <w:t>2. What it means</w:t>
      </w:r>
    </w:p>
    <w:p>
      <w:pPr>
        <w:spacing w:after="120"/>
      </w:pPr>
      <w:r>
        <w:rPr>
          <w:rFonts w:ascii="Segoe UI" w:hAnsi="Segoe UI"/>
          <w:b w:val="0"/>
          <w:i w:val="0"/>
          <w:sz w:val="21"/>
        </w:rPr>
        <w:t>The tension is the switch, not the product. A farmer moving from DAP and urea to NP and CAN is betting a season on advice he can't check, and the advice he gets contradicts itself, sometimes against Fatima's own field practice. The category avoids this tension for structural reasons. Urea and DAP are near-commodities, so Engro competes on service around the bag. Fatima has had almost no rival on its own products, so Sarsabz has never had to prove them.</w:t>
      </w:r>
    </w:p>
    <w:p>
      <w:pPr>
        <w:pStyle w:val="Heading1"/>
      </w:pPr>
      <w:r>
        <w:rPr>
          <w:rFonts w:ascii="Segoe UI" w:hAnsi="Segoe UI"/>
          <w:b/>
          <w:i w:val="0"/>
          <w:color w:val="2E2B6F"/>
          <w:sz w:val="32"/>
        </w:rPr>
        <w:t>3. The idea</w:t>
      </w:r>
    </w:p>
    <w:tbl>
      <w:tblPr>
        <w:tblStyle w:val="LightGrid-Accent1"/>
        <w:tblW w:type="auto" w:w="0"/>
        <w:jc w:val="left"/>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r>
              <w:rPr>
                <w:rFonts w:ascii="Segoe UI" w:hAnsi="Segoe UI"/>
                <w:b/>
                <w:i w:val="0"/>
                <w:sz w:val="18"/>
              </w:rPr>
              <w:t>Asset</w:t>
            </w:r>
          </w:p>
        </w:tc>
        <w:tc>
          <w:tcPr>
            <w:tcW w:type="dxa" w:w="4320"/>
          </w:tcPr>
          <w:p>
            <w:r/>
            <w:r>
              <w:rPr>
                <w:rFonts w:ascii="Segoe UI" w:hAnsi="Segoe UI"/>
                <w:b w:val="0"/>
                <w:i w:val="0"/>
                <w:sz w:val="18"/>
              </w:rPr>
              <w:t>The only CAN and 93% of NP in Pakistan, 500+ demo plots, Ki Jeet winners in 34 of 40 districts. Engro holds 6% of NP and no CAN.</w:t>
            </w:r>
          </w:p>
        </w:tc>
      </w:tr>
      <w:tr>
        <w:tc>
          <w:tcPr>
            <w:tcW w:type="dxa" w:w="4320"/>
          </w:tcPr>
          <w:p>
            <w:r/>
            <w:r>
              <w:rPr>
                <w:rFonts w:ascii="Segoe UI" w:hAnsi="Segoe UI"/>
                <w:b/>
                <w:i w:val="0"/>
                <w:sz w:val="18"/>
              </w:rPr>
              <w:t>Tension</w:t>
            </w:r>
          </w:p>
        </w:tc>
        <w:tc>
          <w:tcPr>
            <w:tcW w:type="dxa" w:w="4320"/>
          </w:tcPr>
          <w:p>
            <w:r/>
            <w:r>
              <w:rPr>
                <w:rFonts w:ascii="Segoe UI" w:hAnsi="Segoe UI"/>
                <w:b w:val="0"/>
                <w:i w:val="0"/>
                <w:sz w:val="18"/>
              </w:rPr>
              <w:t>Farmers won't bet a season on a switch nobody has shown them how to make without waste.</w:t>
            </w:r>
          </w:p>
        </w:tc>
      </w:tr>
      <w:tr>
        <w:tc>
          <w:tcPr>
            <w:tcW w:type="dxa" w:w="4320"/>
          </w:tcPr>
          <w:p>
            <w:r/>
            <w:r>
              <w:rPr>
                <w:rFonts w:ascii="Segoe UI" w:hAnsi="Segoe UI"/>
                <w:b/>
                <w:i w:val="0"/>
                <w:sz w:val="18"/>
              </w:rPr>
              <w:t>Territory</w:t>
            </w:r>
          </w:p>
        </w:tc>
        <w:tc>
          <w:tcPr>
            <w:tcW w:type="dxa" w:w="4320"/>
          </w:tcPr>
          <w:p>
            <w:r/>
            <w:r>
              <w:rPr>
                <w:rFonts w:ascii="Segoe UI" w:hAnsi="Segoe UI"/>
                <w:b w:val="0"/>
                <w:i w:val="0"/>
                <w:sz w:val="18"/>
              </w:rPr>
              <w:t>Proof on a real field: a result beside the old way.</w:t>
            </w:r>
          </w:p>
        </w:tc>
      </w:tr>
      <w:tr>
        <w:tc>
          <w:tcPr>
            <w:tcW w:type="dxa" w:w="4320"/>
          </w:tcPr>
          <w:p>
            <w:r/>
            <w:r>
              <w:rPr>
                <w:rFonts w:ascii="Segoe UI" w:hAnsi="Segoe UI"/>
                <w:b/>
                <w:i w:val="0"/>
                <w:sz w:val="18"/>
              </w:rPr>
              <w:t>Proposition</w:t>
            </w:r>
          </w:p>
        </w:tc>
        <w:tc>
          <w:tcPr>
            <w:tcW w:type="dxa" w:w="4320"/>
          </w:tcPr>
          <w:p>
            <w:r/>
            <w:r>
              <w:rPr>
                <w:rFonts w:ascii="Segoe UI" w:hAnsi="Segoe UI"/>
                <w:b w:val="0"/>
                <w:i w:val="0"/>
                <w:sz w:val="18"/>
              </w:rPr>
              <w:t>Sarsabz puts its NP and CAN beside your usual DAP and urea on a field like yours, weighs both, and publishes the result and the recipe, whatever it shows.</w:t>
            </w:r>
          </w:p>
        </w:tc>
      </w:tr>
      <w:tr>
        <w:tc>
          <w:tcPr>
            <w:tcW w:type="dxa" w:w="4320"/>
          </w:tcPr>
          <w:p>
            <w:r/>
            <w:r>
              <w:rPr>
                <w:rFonts w:ascii="Segoe UI" w:hAnsi="Segoe UI"/>
                <w:b/>
                <w:i w:val="0"/>
                <w:sz w:val="18"/>
              </w:rPr>
              <w:t>Line</w:t>
            </w:r>
          </w:p>
        </w:tc>
        <w:tc>
          <w:tcPr>
            <w:tcW w:type="dxa" w:w="4320"/>
          </w:tcPr>
          <w:p>
            <w:r/>
            <w:r>
              <w:rPr>
                <w:rFonts w:ascii="Segoe UI" w:hAnsi="Segoe UI"/>
                <w:b/>
                <w:i w:val="0"/>
                <w:sz w:val="18"/>
              </w:rPr>
              <w:t>Dus Feesad Aur. Khet Gawah Hai.</w:t>
            </w:r>
          </w:p>
        </w:tc>
      </w:tr>
      <w:tr>
        <w:tc>
          <w:tcPr>
            <w:tcW w:type="dxa" w:w="4320"/>
          </w:tcPr>
          <w:p>
            <w:r/>
            <w:r>
              <w:rPr>
                <w:rFonts w:ascii="Segoe UI" w:hAnsi="Segoe UI"/>
                <w:b/>
                <w:i w:val="0"/>
                <w:sz w:val="18"/>
              </w:rPr>
              <w:t>Mechanic</w:t>
            </w:r>
          </w:p>
        </w:tc>
        <w:tc>
          <w:tcPr>
            <w:tcW w:type="dxa" w:w="4320"/>
          </w:tcPr>
          <w:p>
            <w:r/>
            <w:r>
              <w:rPr>
                <w:rFonts w:ascii="Segoe UI" w:hAnsi="Segoe UI"/>
                <w:b w:val="0"/>
                <w:i/>
                <w:sz w:val="18"/>
              </w:rPr>
              <w:t>Do Khet</w:t>
            </w:r>
            <w:r>
              <w:rPr>
                <w:rFonts w:ascii="Segoe UI" w:hAnsi="Segoe UI"/>
                <w:b w:val="0"/>
                <w:i w:val="0"/>
                <w:sz w:val="18"/>
              </w:rPr>
              <w:t xml:space="preserve"> (two fields) · </w:t>
            </w:r>
            <w:r>
              <w:rPr>
                <w:rFonts w:ascii="Segoe UI" w:hAnsi="Segoe UI"/>
                <w:b w:val="0"/>
                <w:i/>
                <w:sz w:val="18"/>
              </w:rPr>
              <w:t>Kaanta Din</w:t>
            </w:r>
            <w:r>
              <w:rPr>
                <w:rFonts w:ascii="Segoe UI" w:hAnsi="Segoe UI"/>
                <w:b w:val="0"/>
                <w:i w:val="0"/>
                <w:sz w:val="18"/>
              </w:rPr>
              <w:t xml:space="preserve"> (weighing day) · </w:t>
            </w:r>
            <w:r>
              <w:rPr>
                <w:rFonts w:ascii="Segoe UI" w:hAnsi="Segoe UI"/>
                <w:b w:val="0"/>
                <w:i/>
                <w:sz w:val="18"/>
              </w:rPr>
              <w:t>Nuskha</w:t>
            </w:r>
            <w:r>
              <w:rPr>
                <w:rFonts w:ascii="Segoe UI" w:hAnsi="Segoe UI"/>
                <w:b w:val="0"/>
                <w:i w:val="0"/>
                <w:sz w:val="18"/>
              </w:rPr>
              <w:t xml:space="preserve"> (the recipe)</w:t>
            </w:r>
          </w:p>
        </w:tc>
      </w:tr>
    </w:tbl>
    <w:p>
      <w:pPr>
        <w:spacing w:after="40"/>
      </w:pPr>
    </w:p>
    <w:p>
      <w:pPr>
        <w:spacing w:after="120"/>
      </w:pPr>
      <w:r>
        <w:rPr>
          <w:rFonts w:ascii="Segoe UI" w:hAnsi="Segoe UI"/>
          <w:b/>
          <w:i w:val="0"/>
          <w:sz w:val="21"/>
        </w:rPr>
        <w:t>The line revives what Sarsabz already owns.</w:t>
      </w:r>
      <w:r>
        <w:rPr>
          <w:rFonts w:ascii="Segoe UI" w:hAnsi="Segoe UI"/>
          <w:b w:val="0"/>
          <w:i w:val="0"/>
          <w:sz w:val="21"/>
        </w:rPr>
        <w:t xml:space="preserve"> "Dus Feesad Aur" ran as a 2018 wheat film and a 2021 rice TVC with 1.8M views, and has been dormant since. "Khet Gawah Hai" (the field is the witness) makes the field, not the brand, the one making the claim. That's the answer to farmers who suspect paid advice.</w:t>
      </w:r>
    </w:p>
    <w:p>
      <w:pPr>
        <w:spacing w:after="120"/>
      </w:pPr>
      <w:r>
        <w:rPr>
          <w:rFonts w:ascii="Segoe UI" w:hAnsi="Segoe UI"/>
          <w:b/>
          <w:i w:val="0"/>
          <w:sz w:val="21"/>
        </w:rPr>
        <w:t>Lines considered:</w:t>
      </w:r>
    </w:p>
    <w:p>
      <w:pPr>
        <w:pStyle w:val="ListBullet"/>
        <w:spacing w:after="60"/>
      </w:pPr>
      <w:r>
        <w:rPr>
          <w:rFonts w:ascii="Segoe UI" w:hAnsi="Segoe UI"/>
          <w:b/>
          <w:i w:val="0"/>
          <w:sz w:val="21"/>
        </w:rPr>
        <w:t>Pehle Dekho, Phir Daalo</w:t>
      </w:r>
      <w:r>
        <w:rPr>
          <w:rFonts w:ascii="Segoe UI" w:hAnsi="Segoe UI"/>
          <w:b w:val="0"/>
          <w:i w:val="0"/>
          <w:sz w:val="21"/>
        </w:rPr>
        <w:t xml:space="preserve"> (see first, then apply): clear, but new and ownable by anyone.</w:t>
      </w:r>
    </w:p>
    <w:p>
      <w:pPr>
        <w:pStyle w:val="ListBullet"/>
        <w:spacing w:after="60"/>
      </w:pPr>
      <w:r>
        <w:rPr>
          <w:rFonts w:ascii="Segoe UI" w:hAnsi="Segoe UI"/>
          <w:b/>
          <w:i w:val="0"/>
          <w:sz w:val="21"/>
        </w:rPr>
        <w:t>Revive "Khaad Muft He Samjho"</w:t>
      </w:r>
      <w:r>
        <w:rPr>
          <w:rFonts w:ascii="Segoe UI" w:hAnsi="Segoe UI"/>
          <w:b w:val="0"/>
          <w:i w:val="0"/>
          <w:sz w:val="21"/>
        </w:rPr>
        <w:t>: owned (1.1M views, 2022), but a price line walks into the fight Engro is running with "Kam Kharch, Zyada Paidawar".</w:t>
      </w:r>
    </w:p>
    <w:p>
      <w:pPr>
        <w:pStyle w:val="ListBullet"/>
        <w:spacing w:after="60"/>
      </w:pPr>
      <w:r>
        <w:rPr>
          <w:rFonts w:ascii="Segoe UI" w:hAnsi="Segoe UI"/>
          <w:b/>
          <w:i w:val="0"/>
          <w:sz w:val="21"/>
        </w:rPr>
        <w:t>Keep "10% Se Bhi Ziyada Izaafi Paidawaar"</w:t>
      </w:r>
      <w:r>
        <w:rPr>
          <w:rFonts w:ascii="Segoe UI" w:hAnsi="Segoe UI"/>
          <w:b w:val="0"/>
          <w:i w:val="0"/>
          <w:sz w:val="21"/>
        </w:rPr>
        <w:t>: the brief's wording, and the badge that already goes unproven.</w:t>
      </w:r>
    </w:p>
    <w:p>
      <w:pPr>
        <w:pStyle w:val="Heading1"/>
      </w:pPr>
      <w:r>
        <w:rPr>
          <w:rFonts w:ascii="Segoe UI" w:hAnsi="Segoe UI"/>
          <w:b/>
          <w:i w:val="0"/>
          <w:color w:val="2E2B6F"/>
          <w:sz w:val="32"/>
        </w:rPr>
        <w:t>4. Why only Sarsabz</w:t>
      </w:r>
    </w:p>
    <w:p>
      <w:pPr>
        <w:spacing w:after="120"/>
      </w:pPr>
      <w:r>
        <w:rPr>
          <w:rFonts w:ascii="Segoe UI" w:hAnsi="Segoe UI"/>
          <w:b w:val="0"/>
          <w:i w:val="0"/>
          <w:sz w:val="21"/>
        </w:rPr>
        <w:t>Engro could film a demo plot and even say "Khet Gawah Hai". But its field would show urea and DAP, because it holds 6% of NP and no CAN. FFC has no owned video channel at all. Only Sarsabz can put NP and CAN on the winning side of the comparison, and it already holds 500+ plots and Ki Jeet winners to start from.</w:t>
      </w:r>
    </w:p>
    <w:p>
      <w:pPr>
        <w:pStyle w:val="Heading1"/>
      </w:pPr>
      <w:r>
        <w:rPr>
          <w:rFonts w:ascii="Segoe UI" w:hAnsi="Segoe UI"/>
          <w:b/>
          <w:i w:val="0"/>
          <w:color w:val="2E2B6F"/>
          <w:sz w:val="32"/>
        </w:rPr>
        <w:t>5. How it travels</w:t>
      </w:r>
    </w:p>
    <w:p>
      <w:pPr>
        <w:spacing w:after="120"/>
      </w:pPr>
      <w:r>
        <w:rPr>
          <w:rFonts w:ascii="Segoe UI" w:hAnsi="Segoe UI"/>
          <w:b/>
          <w:i w:val="0"/>
          <w:sz w:val="21"/>
        </w:rPr>
        <w:t>The mechanic.</w:t>
      </w:r>
      <w:r>
        <w:rPr>
          <w:rFonts w:ascii="Segoe UI" w:hAnsi="Segoe UI"/>
          <w:b w:val="0"/>
          <w:i w:val="0"/>
          <w:sz w:val="21"/>
        </w:rPr>
        <w:t xml:space="preserve"> </w:t>
      </w:r>
      <w:r>
        <w:rPr>
          <w:rFonts w:ascii="Segoe UI" w:hAnsi="Segoe UI"/>
          <w:b w:val="0"/>
          <w:i/>
          <w:sz w:val="21"/>
        </w:rPr>
        <w:t>Do Khet</w:t>
      </w:r>
      <w:r>
        <w:rPr>
          <w:rFonts w:ascii="Segoe UI" w:hAnsi="Segoe UI"/>
          <w:b w:val="0"/>
          <w:i w:val="0"/>
          <w:sz w:val="21"/>
        </w:rPr>
        <w:t xml:space="preserve">: one farmer, one soil, split down the middle, his usual DAP and urea against Sarsabz NP and CAN. </w:t>
      </w:r>
      <w:r>
        <w:rPr>
          <w:rFonts w:ascii="Segoe UI" w:hAnsi="Segoe UI"/>
          <w:b w:val="0"/>
          <w:i/>
          <w:sz w:val="21"/>
        </w:rPr>
        <w:t>Kaanta Din</w:t>
      </w:r>
      <w:r>
        <w:rPr>
          <w:rFonts w:ascii="Segoe UI" w:hAnsi="Segoe UI"/>
          <w:b w:val="0"/>
          <w:i w:val="0"/>
          <w:sz w:val="21"/>
        </w:rPr>
        <w:t xml:space="preserve">: both halves weighed on camera in front of neighbours, with an Agriculture Department or university officer reading the scale. </w:t>
      </w:r>
      <w:r>
        <w:rPr>
          <w:rFonts w:ascii="Segoe UI" w:hAnsi="Segoe UI"/>
          <w:b w:val="0"/>
          <w:i/>
          <w:sz w:val="21"/>
        </w:rPr>
        <w:t>Nuskha</w:t>
      </w:r>
      <w:r>
        <w:rPr>
          <w:rFonts w:ascii="Segoe UI" w:hAnsi="Segoe UI"/>
          <w:b w:val="0"/>
          <w:i w:val="0"/>
          <w:sz w:val="21"/>
        </w:rPr>
        <w:t>: what replaced DAP, how many bags, mixed with what, on which irrigation, printed and filmed with the result.</w:t>
      </w:r>
    </w:p>
    <w:p>
      <w:pPr>
        <w:spacing w:after="120"/>
      </w:pPr>
      <w:r>
        <w:rPr>
          <w:rFonts w:ascii="Segoe UI" w:hAnsi="Segoe UI"/>
          <w:b/>
          <w:i w:val="0"/>
          <w:sz w:val="21"/>
        </w:rPr>
        <w:t>Across the brief's five channels: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Channel</w:t>
            </w:r>
          </w:p>
        </w:tc>
        <w:tc>
          <w:tcPr>
            <w:tcW w:type="dxa" w:w="2880"/>
          </w:tcPr>
          <w:p>
            <w:r/>
            <w:r>
              <w:rPr>
                <w:rFonts w:ascii="Segoe UI" w:hAnsi="Segoe UI"/>
                <w:b/>
                <w:i w:val="0"/>
                <w:sz w:val="18"/>
              </w:rPr>
              <w:t>Execution</w:t>
            </w:r>
          </w:p>
        </w:tc>
        <w:tc>
          <w:tcPr>
            <w:tcW w:type="dxa" w:w="2880"/>
          </w:tcPr>
          <w:p>
            <w:r/>
            <w:r>
              <w:rPr>
                <w:rFonts w:ascii="Segoe UI" w:hAnsi="Segoe UI"/>
                <w:b/>
                <w:i w:val="0"/>
                <w:sz w:val="18"/>
              </w:rPr>
              <w:t>What it answers</w:t>
            </w:r>
          </w:p>
        </w:tc>
      </w:tr>
      <w:tr>
        <w:tc>
          <w:tcPr>
            <w:tcW w:type="dxa" w:w="2880"/>
          </w:tcPr>
          <w:p>
            <w:r/>
            <w:r>
              <w:rPr>
                <w:rFonts w:ascii="Segoe UI" w:hAnsi="Segoe UI"/>
                <w:b w:val="0"/>
                <w:i w:val="0"/>
                <w:sz w:val="18"/>
              </w:rPr>
              <w:t>ATL</w:t>
            </w:r>
          </w:p>
        </w:tc>
        <w:tc>
          <w:tcPr>
            <w:tcW w:type="dxa" w:w="2880"/>
          </w:tcPr>
          <w:p>
            <w:r/>
            <w:r>
              <w:rPr>
                <w:rFonts w:ascii="Segoe UI" w:hAnsi="Segoe UI"/>
                <w:b w:val="0"/>
                <w:i w:val="0"/>
                <w:sz w:val="18"/>
              </w:rPr>
              <w:t>"Do Khet" TV and DVC: the scale and the number. 15s for the result, 60s for the recipe. Radio reads district results at harvest.</w:t>
            </w:r>
          </w:p>
        </w:tc>
        <w:tc>
          <w:tcPr>
            <w:tcW w:type="dxa" w:w="2880"/>
          </w:tcPr>
          <w:p>
            <w:r/>
            <w:r>
              <w:rPr>
                <w:rFonts w:ascii="Segoe UI" w:hAnsi="Segoe UI"/>
                <w:b w:val="0"/>
                <w:i w:val="0"/>
                <w:sz w:val="18"/>
              </w:rPr>
              <w:t>Farmers are exposed to terrestrial TV and radio (brief p7)</w:t>
            </w:r>
          </w:p>
        </w:tc>
      </w:tr>
      <w:tr>
        <w:tc>
          <w:tcPr>
            <w:tcW w:type="dxa" w:w="2880"/>
          </w:tcPr>
          <w:p>
            <w:r/>
            <w:r>
              <w:rPr>
                <w:rFonts w:ascii="Segoe UI" w:hAnsi="Segoe UI"/>
                <w:b w:val="0"/>
                <w:i w:val="0"/>
                <w:sz w:val="18"/>
              </w:rPr>
              <w:t>BTL</w:t>
            </w:r>
          </w:p>
        </w:tc>
        <w:tc>
          <w:tcPr>
            <w:tcW w:type="dxa" w:w="2880"/>
          </w:tcPr>
          <w:p>
            <w:r/>
            <w:r>
              <w:rPr>
                <w:rFonts w:ascii="Segoe UI" w:hAnsi="Segoe UI"/>
                <w:b w:val="0"/>
                <w:i w:val="0"/>
                <w:sz w:val="18"/>
              </w:rPr>
              <w:t>A Nuskha card in every bag. The Nitrophos sticker code moves from the prize draw to proof: SMS it for your district's result.</w:t>
            </w:r>
          </w:p>
        </w:tc>
        <w:tc>
          <w:tcPr>
            <w:tcW w:type="dxa" w:w="2880"/>
          </w:tcPr>
          <w:p>
            <w:r/>
            <w:r>
              <w:rPr>
                <w:rFonts w:ascii="Segoe UI" w:hAnsi="Segoe UI"/>
                <w:b w:val="0"/>
                <w:i w:val="0"/>
                <w:sz w:val="18"/>
              </w:rPr>
              <w:t>220 comments on what mixes with what</w:t>
            </w:r>
          </w:p>
        </w:tc>
      </w:tr>
      <w:tr>
        <w:tc>
          <w:tcPr>
            <w:tcW w:type="dxa" w:w="2880"/>
          </w:tcPr>
          <w:p>
            <w:r/>
            <w:r>
              <w:rPr>
                <w:rFonts w:ascii="Segoe UI" w:hAnsi="Segoe UI"/>
                <w:b w:val="0"/>
                <w:i w:val="0"/>
                <w:sz w:val="18"/>
              </w:rPr>
              <w:t>Digital</w:t>
            </w:r>
          </w:p>
        </w:tc>
        <w:tc>
          <w:tcPr>
            <w:tcW w:type="dxa" w:w="2880"/>
          </w:tcPr>
          <w:p>
            <w:r/>
            <w:r>
              <w:rPr>
                <w:rFonts w:ascii="Segoe UI" w:hAnsi="Segoe UI"/>
                <w:b w:val="0"/>
                <w:i w:val="0"/>
                <w:sz w:val="18"/>
              </w:rPr>
              <w:t>Kaanta Din live on TikTok (1.2M) and YouTube (396K); shorts point to the long recipe film; the app finds the nearest plot and lets farmers log their own.</w:t>
            </w:r>
          </w:p>
        </w:tc>
        <w:tc>
          <w:tcPr>
            <w:tcW w:type="dxa" w:w="2880"/>
          </w:tcPr>
          <w:p>
            <w:r/>
            <w:r>
              <w:rPr>
                <w:rFonts w:ascii="Segoe UI" w:hAnsi="Segoe UI"/>
                <w:b w:val="0"/>
                <w:i w:val="0"/>
                <w:sz w:val="18"/>
              </w:rPr>
              <w:t>Farmers ask strangers, and suspect paid answers</w:t>
            </w:r>
          </w:p>
        </w:tc>
      </w:tr>
      <w:tr>
        <w:tc>
          <w:tcPr>
            <w:tcW w:type="dxa" w:w="2880"/>
          </w:tcPr>
          <w:p>
            <w:r/>
            <w:r>
              <w:rPr>
                <w:rFonts w:ascii="Segoe UI" w:hAnsi="Segoe UI"/>
                <w:b w:val="0"/>
                <w:i w:val="0"/>
                <w:sz w:val="18"/>
              </w:rPr>
              <w:t>Dealer / Trade</w:t>
            </w:r>
          </w:p>
        </w:tc>
        <w:tc>
          <w:tcPr>
            <w:tcW w:type="dxa" w:w="2880"/>
          </w:tcPr>
          <w:p>
            <w:r/>
            <w:r>
              <w:rPr>
                <w:rFonts w:ascii="Segoe UI" w:hAnsi="Segoe UI"/>
                <w:b w:val="0"/>
                <w:i w:val="0"/>
                <w:sz w:val="18"/>
              </w:rPr>
              <w:t>A Khet Gawah Hai board at every dealer and AgriMart: this district's plot, both weights, the recipe.</w:t>
            </w:r>
          </w:p>
        </w:tc>
        <w:tc>
          <w:tcPr>
            <w:tcW w:type="dxa" w:w="2880"/>
          </w:tcPr>
          <w:p>
            <w:r/>
            <w:r>
              <w:rPr>
                <w:rFonts w:ascii="Segoe UI" w:hAnsi="Segoe UI"/>
                <w:b w:val="0"/>
                <w:i w:val="0"/>
                <w:sz w:val="18"/>
              </w:rPr>
              <w:t>Farmers "replicate best practices shared by fellow farmers" (p7)</w:t>
            </w:r>
          </w:p>
        </w:tc>
      </w:tr>
      <w:tr>
        <w:tc>
          <w:tcPr>
            <w:tcW w:type="dxa" w:w="2880"/>
          </w:tcPr>
          <w:p>
            <w:r/>
            <w:r>
              <w:rPr>
                <w:rFonts w:ascii="Segoe UI" w:hAnsi="Segoe UI"/>
                <w:b w:val="0"/>
                <w:i w:val="0"/>
                <w:sz w:val="18"/>
              </w:rPr>
              <w:t>On-ground</w:t>
            </w:r>
          </w:p>
        </w:tc>
        <w:tc>
          <w:tcPr>
            <w:tcW w:type="dxa" w:w="2880"/>
          </w:tcPr>
          <w:p>
            <w:r/>
            <w:r>
              <w:rPr>
                <w:rFonts w:ascii="Segoe UI" w:hAnsi="Segoe UI"/>
                <w:b w:val="0"/>
                <w:i w:val="0"/>
                <w:sz w:val="18"/>
              </w:rPr>
              <w:t>Kaanta Din field days hosted by Ki Jeet winners; the Sarsabz Kissan Convention becomes results day.</w:t>
            </w:r>
          </w:p>
        </w:tc>
        <w:tc>
          <w:tcPr>
            <w:tcW w:type="dxa" w:w="2880"/>
          </w:tcPr>
          <w:p>
            <w:r/>
            <w:r>
              <w:rPr>
                <w:rFonts w:ascii="Segoe UI" w:hAnsi="Segoe UI"/>
                <w:b w:val="0"/>
                <w:i w:val="0"/>
                <w:sz w:val="18"/>
              </w:rPr>
              <w:t>"High believability in word of mouth publicity" (p7)</w:t>
            </w:r>
          </w:p>
        </w:tc>
      </w:tr>
    </w:tbl>
    <w:p>
      <w:pPr>
        <w:spacing w:after="40"/>
      </w:pPr>
    </w:p>
    <w:p>
      <w:pPr>
        <w:spacing w:after="120"/>
      </w:pPr>
      <w:r>
        <w:rPr>
          <w:rFonts w:ascii="Segoe UI" w:hAnsi="Segoe UI"/>
          <w:b/>
          <w:i w:val="0"/>
          <w:sz w:val="21"/>
        </w:rPr>
        <w:t>Across a year: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When</w:t>
            </w:r>
          </w:p>
        </w:tc>
        <w:tc>
          <w:tcPr>
            <w:tcW w:type="dxa" w:w="2880"/>
          </w:tcPr>
          <w:p>
            <w:r/>
            <w:r>
              <w:rPr>
                <w:rFonts w:ascii="Segoe UI" w:hAnsi="Segoe UI"/>
                <w:b/>
                <w:i w:val="0"/>
                <w:sz w:val="18"/>
              </w:rPr>
              <w:t>Stage</w:t>
            </w:r>
          </w:p>
        </w:tc>
        <w:tc>
          <w:tcPr>
            <w:tcW w:type="dxa" w:w="2880"/>
          </w:tcPr>
          <w:p>
            <w:r/>
            <w:r>
              <w:rPr>
                <w:rFonts w:ascii="Segoe UI" w:hAnsi="Segoe UI"/>
                <w:b/>
                <w:i w:val="0"/>
                <w:sz w:val="18"/>
              </w:rPr>
              <w:t>Work</w:t>
            </w:r>
          </w:p>
        </w:tc>
      </w:tr>
      <w:tr>
        <w:tc>
          <w:tcPr>
            <w:tcW w:type="dxa" w:w="2880"/>
          </w:tcPr>
          <w:p>
            <w:r/>
            <w:r>
              <w:rPr>
                <w:rFonts w:ascii="Segoe UI" w:hAnsi="Segoe UI"/>
                <w:b w:val="0"/>
                <w:i w:val="0"/>
                <w:sz w:val="18"/>
              </w:rPr>
              <w:t>Oct – Nov 2026</w:t>
            </w:r>
          </w:p>
        </w:tc>
        <w:tc>
          <w:tcPr>
            <w:tcW w:type="dxa" w:w="2880"/>
          </w:tcPr>
          <w:p>
            <w:r/>
            <w:r>
              <w:rPr>
                <w:rFonts w:ascii="Segoe UI" w:hAnsi="Segoe UI"/>
                <w:b w:val="0"/>
                <w:i w:val="0"/>
                <w:sz w:val="18"/>
              </w:rPr>
              <w:t>Sowing</w:t>
            </w:r>
          </w:p>
        </w:tc>
        <w:tc>
          <w:tcPr>
            <w:tcW w:type="dxa" w:w="2880"/>
          </w:tcPr>
          <w:p>
            <w:r/>
            <w:r>
              <w:rPr>
                <w:rFonts w:ascii="Segoe UI" w:hAnsi="Segoe UI"/>
                <w:b w:val="0"/>
                <w:i w:val="0"/>
                <w:sz w:val="18"/>
              </w:rPr>
              <w:t>Plots planted in Ki Jeet districts; launch "Do Khet" 15s, radio, dealer boards</w:t>
            </w:r>
          </w:p>
        </w:tc>
      </w:tr>
      <w:tr>
        <w:tc>
          <w:tcPr>
            <w:tcW w:type="dxa" w:w="2880"/>
          </w:tcPr>
          <w:p>
            <w:r/>
            <w:r>
              <w:rPr>
                <w:rFonts w:ascii="Segoe UI" w:hAnsi="Segoe UI"/>
                <w:b w:val="0"/>
                <w:i w:val="0"/>
                <w:sz w:val="18"/>
              </w:rPr>
              <w:t>Dec 2026 – Jan 2027</w:t>
            </w:r>
          </w:p>
        </w:tc>
        <w:tc>
          <w:tcPr>
            <w:tcW w:type="dxa" w:w="2880"/>
          </w:tcPr>
          <w:p>
            <w:r/>
            <w:r>
              <w:rPr>
                <w:rFonts w:ascii="Segoe UI" w:hAnsi="Segoe UI"/>
                <w:b w:val="0"/>
                <w:i w:val="0"/>
                <w:sz w:val="18"/>
              </w:rPr>
              <w:t>First irrigations</w:t>
            </w:r>
          </w:p>
        </w:tc>
        <w:tc>
          <w:tcPr>
            <w:tcW w:type="dxa" w:w="2880"/>
          </w:tcPr>
          <w:p>
            <w:r/>
            <w:r>
              <w:rPr>
                <w:rFonts w:ascii="Segoe UI" w:hAnsi="Segoe UI"/>
                <w:b w:val="0"/>
                <w:i w:val="0"/>
                <w:sz w:val="18"/>
              </w:rPr>
              <w:t>Nuskha push when mixing questions peak</w:t>
            </w:r>
          </w:p>
        </w:tc>
      </w:tr>
      <w:tr>
        <w:tc>
          <w:tcPr>
            <w:tcW w:type="dxa" w:w="2880"/>
          </w:tcPr>
          <w:p>
            <w:r/>
            <w:r>
              <w:rPr>
                <w:rFonts w:ascii="Segoe UI" w:hAnsi="Segoe UI"/>
                <w:b w:val="0"/>
                <w:i w:val="0"/>
                <w:sz w:val="18"/>
              </w:rPr>
              <w:t>Feb – Mar 2027</w:t>
            </w:r>
          </w:p>
        </w:tc>
        <w:tc>
          <w:tcPr>
            <w:tcW w:type="dxa" w:w="2880"/>
          </w:tcPr>
          <w:p>
            <w:r/>
            <w:r>
              <w:rPr>
                <w:rFonts w:ascii="Segoe UI" w:hAnsi="Segoe UI"/>
                <w:b w:val="0"/>
                <w:i w:val="0"/>
                <w:sz w:val="18"/>
              </w:rPr>
              <w:t>Growth</w:t>
            </w:r>
          </w:p>
        </w:tc>
        <w:tc>
          <w:tcPr>
            <w:tcW w:type="dxa" w:w="2880"/>
          </w:tcPr>
          <w:p>
            <w:r/>
            <w:r>
              <w:rPr>
                <w:rFonts w:ascii="Segoe UI" w:hAnsi="Segoe UI"/>
                <w:b w:val="0"/>
                <w:i w:val="0"/>
                <w:sz w:val="18"/>
              </w:rPr>
              <w:t>Farmer diaries from the plots, week by week</w:t>
            </w:r>
          </w:p>
        </w:tc>
      </w:tr>
      <w:tr>
        <w:tc>
          <w:tcPr>
            <w:tcW w:type="dxa" w:w="2880"/>
          </w:tcPr>
          <w:p>
            <w:r/>
            <w:r>
              <w:rPr>
                <w:rFonts w:ascii="Segoe UI" w:hAnsi="Segoe UI"/>
                <w:b w:val="0"/>
                <w:i w:val="0"/>
                <w:sz w:val="18"/>
              </w:rPr>
              <w:t>Apr – May 2027</w:t>
            </w:r>
          </w:p>
        </w:tc>
        <w:tc>
          <w:tcPr>
            <w:tcW w:type="dxa" w:w="2880"/>
          </w:tcPr>
          <w:p>
            <w:r/>
            <w:r>
              <w:rPr>
                <w:rFonts w:ascii="Segoe UI" w:hAnsi="Segoe UI"/>
                <w:b w:val="0"/>
                <w:i w:val="0"/>
                <w:sz w:val="18"/>
              </w:rPr>
              <w:t>Harvest</w:t>
            </w:r>
          </w:p>
        </w:tc>
        <w:tc>
          <w:tcPr>
            <w:tcW w:type="dxa" w:w="2880"/>
          </w:tcPr>
          <w:p>
            <w:r/>
            <w:r>
              <w:rPr>
                <w:rFonts w:ascii="Segoe UI" w:hAnsi="Segoe UI"/>
                <w:b w:val="0"/>
                <w:i w:val="0"/>
                <w:sz w:val="18"/>
              </w:rPr>
              <w:t>Kaanta Din live; district results, including any under 10%</w:t>
            </w:r>
          </w:p>
        </w:tc>
      </w:tr>
      <w:tr>
        <w:tc>
          <w:tcPr>
            <w:tcW w:type="dxa" w:w="2880"/>
          </w:tcPr>
          <w:p>
            <w:r/>
            <w:r>
              <w:rPr>
                <w:rFonts w:ascii="Segoe UI" w:hAnsi="Segoe UI"/>
                <w:b w:val="0"/>
                <w:i w:val="0"/>
                <w:sz w:val="18"/>
              </w:rPr>
              <w:t>Jun – Sep 2027</w:t>
            </w:r>
          </w:p>
        </w:tc>
        <w:tc>
          <w:tcPr>
            <w:tcW w:type="dxa" w:w="2880"/>
          </w:tcPr>
          <w:p>
            <w:r/>
            <w:r>
              <w:rPr>
                <w:rFonts w:ascii="Segoe UI" w:hAnsi="Segoe UI"/>
                <w:b w:val="0"/>
                <w:i w:val="0"/>
                <w:sz w:val="18"/>
              </w:rPr>
              <w:t>Kharif</w:t>
            </w:r>
          </w:p>
        </w:tc>
        <w:tc>
          <w:tcPr>
            <w:tcW w:type="dxa" w:w="2880"/>
          </w:tcPr>
          <w:p>
            <w:r/>
            <w:r>
              <w:rPr>
                <w:rFonts w:ascii="Segoe UI" w:hAnsi="Segoe UI"/>
                <w:b w:val="0"/>
                <w:i w:val="0"/>
                <w:sz w:val="18"/>
              </w:rPr>
              <w:t>Rice, cotton and maize plots, including Sindh rice, where Ki Jeet has no proof yet</w:t>
            </w:r>
          </w:p>
        </w:tc>
      </w:tr>
      <w:tr>
        <w:tc>
          <w:tcPr>
            <w:tcW w:type="dxa" w:w="2880"/>
          </w:tcPr>
          <w:p>
            <w:r/>
            <w:r>
              <w:rPr>
                <w:rFonts w:ascii="Segoe UI" w:hAnsi="Segoe UI"/>
                <w:b w:val="0"/>
                <w:i w:val="0"/>
                <w:sz w:val="18"/>
              </w:rPr>
              <w:t>Oct 2027</w:t>
            </w:r>
          </w:p>
        </w:tc>
        <w:tc>
          <w:tcPr>
            <w:tcW w:type="dxa" w:w="2880"/>
          </w:tcPr>
          <w:p>
            <w:r/>
            <w:r>
              <w:rPr>
                <w:rFonts w:ascii="Segoe UI" w:hAnsi="Segoe UI"/>
                <w:b w:val="0"/>
                <w:i w:val="0"/>
                <w:sz w:val="18"/>
              </w:rPr>
              <w:t>Month twelve</w:t>
            </w:r>
          </w:p>
        </w:tc>
        <w:tc>
          <w:tcPr>
            <w:tcW w:type="dxa" w:w="2880"/>
          </w:tcPr>
          <w:p>
            <w:r/>
            <w:r>
              <w:rPr>
                <w:rFonts w:ascii="Segoe UI" w:hAnsi="Segoe UI"/>
                <w:b w:val="0"/>
                <w:i w:val="0"/>
                <w:sz w:val="18"/>
              </w:rPr>
              <w:t>Ki Jeet with published inputs; next Rabi with farmer-logged plots from the app</w:t>
            </w:r>
          </w:p>
        </w:tc>
      </w:tr>
    </w:tbl>
    <w:p>
      <w:pPr>
        <w:spacing w:after="40"/>
      </w:pPr>
    </w:p>
    <w:p>
      <w:pPr>
        <w:spacing w:after="120"/>
      </w:pPr>
      <w:r>
        <w:rPr>
          <w:rFonts w:ascii="Segoe UI" w:hAnsi="Segoe UI"/>
          <w:b/>
          <w:i w:val="0"/>
          <w:sz w:val="21"/>
        </w:rPr>
        <w:t>How we'll know it worked</w:t>
      </w:r>
      <w:r>
        <w:rPr>
          <w:rFonts w:ascii="Segoe UI" w:hAnsi="Segoe UI"/>
          <w:b w:val="0"/>
          <w:i w:val="0"/>
          <w:sz w:val="21"/>
        </w:rPr>
        <w:t xml:space="preserve"> (the brief asks for "a practical and measurable approach", p14):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Kind</w:t>
            </w:r>
          </w:p>
        </w:tc>
        <w:tc>
          <w:tcPr>
            <w:tcW w:type="dxa" w:w="2880"/>
          </w:tcPr>
          <w:p>
            <w:r/>
            <w:r>
              <w:rPr>
                <w:rFonts w:ascii="Segoe UI" w:hAnsi="Segoe UI"/>
                <w:b/>
                <w:i w:val="0"/>
                <w:sz w:val="18"/>
              </w:rPr>
              <w:t>Measure</w:t>
            </w:r>
          </w:p>
        </w:tc>
        <w:tc>
          <w:tcPr>
            <w:tcW w:type="dxa" w:w="2880"/>
          </w:tcPr>
          <w:p>
            <w:r/>
            <w:r>
              <w:rPr>
                <w:rFonts w:ascii="Segoe UI" w:hAnsi="Segoe UI"/>
                <w:b/>
                <w:i w:val="0"/>
                <w:sz w:val="18"/>
              </w:rPr>
              <w:t>Baseline</w:t>
            </w:r>
          </w:p>
        </w:tc>
      </w:tr>
      <w:tr>
        <w:tc>
          <w:tcPr>
            <w:tcW w:type="dxa" w:w="2880"/>
          </w:tcPr>
          <w:p>
            <w:r/>
            <w:r>
              <w:rPr>
                <w:rFonts w:ascii="Segoe UI" w:hAnsi="Segoe UI"/>
                <w:b w:val="0"/>
                <w:i w:val="0"/>
                <w:sz w:val="18"/>
              </w:rPr>
              <w:t>Leading</w:t>
            </w:r>
          </w:p>
        </w:tc>
        <w:tc>
          <w:tcPr>
            <w:tcW w:type="dxa" w:w="2880"/>
          </w:tcPr>
          <w:p>
            <w:r/>
            <w:r>
              <w:rPr>
                <w:rFonts w:ascii="Segoe UI" w:hAnsi="Segoe UI"/>
                <w:b w:val="0"/>
                <w:i w:val="0"/>
                <w:sz w:val="18"/>
              </w:rPr>
              <w:t>Plots planted and published; Kaanta Din attendance; sticker-code look-ups; mixing questions answered</w:t>
            </w:r>
          </w:p>
        </w:tc>
        <w:tc>
          <w:tcPr>
            <w:tcW w:type="dxa" w:w="2880"/>
          </w:tcPr>
          <w:p>
            <w:r/>
            <w:r>
              <w:rPr>
                <w:rFonts w:ascii="Segoe UI" w:hAnsi="Segoe UI"/>
                <w:b w:val="0"/>
                <w:i w:val="0"/>
                <w:sz w:val="18"/>
              </w:rPr>
              <w:t>New, set at launch</w:t>
            </w:r>
          </w:p>
        </w:tc>
      </w:tr>
      <w:tr>
        <w:tc>
          <w:tcPr>
            <w:tcW w:type="dxa" w:w="2880"/>
          </w:tcPr>
          <w:p>
            <w:r/>
            <w:r>
              <w:rPr>
                <w:rFonts w:ascii="Segoe UI" w:hAnsi="Segoe UI"/>
                <w:b w:val="0"/>
                <w:i w:val="0"/>
                <w:sz w:val="18"/>
              </w:rPr>
              <w:t>Lagging</w:t>
            </w:r>
          </w:p>
        </w:tc>
        <w:tc>
          <w:tcPr>
            <w:tcW w:type="dxa" w:w="2880"/>
          </w:tcPr>
          <w:p>
            <w:r/>
            <w:r>
              <w:rPr>
                <w:rFonts w:ascii="Segoe UI" w:hAnsi="Segoe UI"/>
                <w:b w:val="0"/>
                <w:i w:val="0"/>
                <w:sz w:val="18"/>
              </w:rPr>
              <w:t>NP and CAN offtake in plot districts against matched districts without plots</w:t>
            </w:r>
          </w:p>
        </w:tc>
        <w:tc>
          <w:tcPr>
            <w:tcW w:type="dxa" w:w="2880"/>
          </w:tcPr>
          <w:p>
            <w:r/>
            <w:r>
              <w:rPr>
                <w:rFonts w:ascii="Segoe UI" w:hAnsi="Segoe UI"/>
                <w:b w:val="0"/>
                <w:i w:val="0"/>
                <w:sz w:val="18"/>
              </w:rPr>
              <w:t>Client sales data, requested</w:t>
            </w:r>
          </w:p>
        </w:tc>
      </w:tr>
      <w:tr>
        <w:tc>
          <w:tcPr>
            <w:tcW w:type="dxa" w:w="2880"/>
          </w:tcPr>
          <w:p>
            <w:r/>
            <w:r>
              <w:rPr>
                <w:rFonts w:ascii="Segoe UI" w:hAnsi="Segoe UI"/>
                <w:b w:val="0"/>
                <w:i w:val="0"/>
                <w:sz w:val="18"/>
              </w:rPr>
              <w:t>Brand</w:t>
            </w:r>
          </w:p>
        </w:tc>
        <w:tc>
          <w:tcPr>
            <w:tcW w:type="dxa" w:w="2880"/>
          </w:tcPr>
          <w:p>
            <w:r/>
            <w:r>
              <w:rPr>
                <w:rFonts w:ascii="Segoe UI" w:hAnsi="Segoe UI"/>
                <w:b w:val="0"/>
                <w:i w:val="0"/>
                <w:sz w:val="18"/>
              </w:rPr>
              <w:t>Top-of-mind and spontaneous awareness in the next brand health wave; farmers naming Sarsabz, not just "Nitrophos"</w:t>
            </w:r>
          </w:p>
        </w:tc>
        <w:tc>
          <w:tcPr>
            <w:tcW w:type="dxa" w:w="2880"/>
          </w:tcPr>
          <w:p>
            <w:r/>
            <w:r>
              <w:rPr>
                <w:rFonts w:ascii="Segoe UI" w:hAnsi="Segoe UI"/>
                <w:b w:val="0"/>
                <w:i w:val="0"/>
                <w:sz w:val="18"/>
              </w:rPr>
              <w:t>TOM 22% (p29); Sarsabz named in 15 of 1,433 comments</w:t>
            </w:r>
          </w:p>
        </w:tc>
      </w:tr>
    </w:tbl>
    <w:p>
      <w:pPr>
        <w:spacing w:after="40"/>
      </w:pPr>
    </w:p>
    <w:p>
      <w:pPr>
        <w:pStyle w:val="Heading1"/>
      </w:pPr>
      <w:r>
        <w:rPr>
          <w:rFonts w:ascii="Segoe UI" w:hAnsi="Segoe UI"/>
          <w:b/>
          <w:i w:val="0"/>
          <w:color w:val="2E2B6F"/>
          <w:sz w:val="32"/>
        </w:rPr>
        <w:t>6. What it asks of Fatima</w:t>
      </w:r>
    </w:p>
    <w:p>
      <w:pPr>
        <w:pStyle w:val="ListNumber"/>
        <w:spacing w:after="60"/>
      </w:pPr>
      <w:r>
        <w:rPr>
          <w:rFonts w:ascii="Segoe UI" w:hAnsi="Segoe UI"/>
          <w:b/>
          <w:i w:val="0"/>
          <w:sz w:val="21"/>
        </w:rPr>
        <w:t>Publish every plot result, including those under 10%.</w:t>
      </w:r>
      <w:r>
        <w:rPr>
          <w:rFonts w:ascii="Segoe UI" w:hAnsi="Segoe UI"/>
          <w:b w:val="0"/>
          <w:i w:val="0"/>
          <w:sz w:val="21"/>
        </w:rPr>
        <w:t xml:space="preserve"> A campaign called "the field is the witness" can't hide a field.</w:t>
      </w:r>
    </w:p>
    <w:p>
      <w:pPr>
        <w:pStyle w:val="ListNumber"/>
        <w:spacing w:after="60"/>
      </w:pPr>
      <w:r>
        <w:rPr>
          <w:rFonts w:ascii="Segoe UI" w:hAnsi="Segoe UI"/>
          <w:b/>
          <w:i w:val="0"/>
          <w:sz w:val="21"/>
        </w:rPr>
        <w:t>Clear the 10% claim for advertising</w:t>
      </w:r>
      <w:r>
        <w:rPr>
          <w:rFonts w:ascii="Segoe UI" w:hAnsi="Segoe UI"/>
          <w:b w:val="0"/>
          <w:i w:val="0"/>
          <w:sz w:val="21"/>
        </w:rPr>
        <w:t xml:space="preserve"> with the plot data behind it.</w:t>
      </w:r>
    </w:p>
    <w:p>
      <w:pPr>
        <w:pStyle w:val="ListNumber"/>
        <w:spacing w:after="60"/>
      </w:pPr>
      <w:r>
        <w:rPr>
          <w:rFonts w:ascii="Segoe UI" w:hAnsi="Segoe UI"/>
          <w:b/>
          <w:i w:val="0"/>
          <w:sz w:val="21"/>
        </w:rPr>
        <w:t>Have Fatima agronomy sign the Nuskha</w:t>
      </w:r>
      <w:r>
        <w:rPr>
          <w:rFonts w:ascii="Segoe UI" w:hAnsi="Segoe UI"/>
          <w:b w:val="0"/>
          <w:i w:val="0"/>
          <w:sz w:val="21"/>
        </w:rPr>
        <w:t>, so field staff, dealers and creators give one answer on mixing.</w:t>
      </w:r>
    </w:p>
    <w:p>
      <w:pPr>
        <w:pStyle w:val="ListNumber"/>
        <w:spacing w:after="60"/>
      </w:pPr>
      <w:r>
        <w:rPr>
          <w:rFonts w:ascii="Segoe UI" w:hAnsi="Segoe UI"/>
          <w:b/>
          <w:i w:val="0"/>
          <w:sz w:val="21"/>
        </w:rPr>
        <w:t>Move the Nitrophos sticker code</w:t>
      </w:r>
      <w:r>
        <w:rPr>
          <w:rFonts w:ascii="Segoe UI" w:hAnsi="Segoe UI"/>
          <w:b w:val="0"/>
          <w:i w:val="0"/>
          <w:sz w:val="21"/>
        </w:rPr>
        <w:t xml:space="preserve"> from the prize draw to verification.</w:t>
      </w:r>
    </w:p>
    <w:p>
      <w:pPr>
        <w:pStyle w:val="ListNumber"/>
        <w:spacing w:after="60"/>
      </w:pPr>
      <w:r>
        <w:rPr>
          <w:rFonts w:ascii="Segoe UI" w:hAnsi="Segoe UI"/>
          <w:b/>
          <w:i w:val="0"/>
          <w:sz w:val="21"/>
        </w:rPr>
        <w:t>Agree an independent adjudicator</w:t>
      </w:r>
      <w:r>
        <w:rPr>
          <w:rFonts w:ascii="Segoe UI" w:hAnsi="Segoe UI"/>
          <w:b w:val="0"/>
          <w:i w:val="0"/>
          <w:sz w:val="21"/>
        </w:rPr>
        <w:t xml:space="preserve"> for the weigh-ins.</w:t>
      </w:r>
    </w:p>
    <w:p>
      <w:pPr>
        <w:spacing w:after="120"/>
      </w:pPr>
      <w:r>
        <w:rPr>
          <w:rFonts w:ascii="Segoe UI" w:hAnsi="Segoe UI"/>
          <w:b w:val="0"/>
          <w:i w:val="0"/>
          <w:sz w:val="21"/>
        </w:rPr>
        <w:t>If Fatima won't publish results that fall short, don't run "Khet Gawah Hai". Run the corrected Ki Jeet winner stories under "Dus Feesad Aur" alone, and say plainly that it's a promise, not proof.</w:t>
      </w:r>
    </w:p>
    <w:p>
      <w:pPr>
        <w:pStyle w:val="Heading1"/>
      </w:pPr>
      <w:r>
        <w:rPr>
          <w:rFonts w:ascii="Segoe UI" w:hAnsi="Segoe UI"/>
          <w:b/>
          <w:i w:val="0"/>
          <w:color w:val="2E2B6F"/>
          <w:sz w:val="32"/>
        </w:rPr>
        <w:t>The six tests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Segoe UI" w:hAnsi="Segoe UI"/>
                <w:b/>
                <w:i w:val="0"/>
                <w:sz w:val="18"/>
              </w:rPr>
              <w:t>Test</w:t>
            </w:r>
          </w:p>
        </w:tc>
        <w:tc>
          <w:tcPr>
            <w:tcW w:type="dxa" w:w="4320"/>
          </w:tcPr>
          <w:p>
            <w:r/>
            <w:r>
              <w:rPr>
                <w:rFonts w:ascii="Segoe UI" w:hAnsi="Segoe UI"/>
                <w:b/>
                <w:i w:val="0"/>
                <w:sz w:val="18"/>
              </w:rPr>
              <w:t>Result</w:t>
            </w:r>
          </w:p>
        </w:tc>
      </w:tr>
      <w:tr>
        <w:tc>
          <w:tcPr>
            <w:tcW w:type="dxa" w:w="4320"/>
          </w:tcPr>
          <w:p>
            <w:r/>
            <w:r>
              <w:rPr>
                <w:rFonts w:ascii="Segoe UI" w:hAnsi="Segoe UI"/>
                <w:b w:val="0"/>
                <w:i w:val="0"/>
                <w:sz w:val="18"/>
              </w:rPr>
              <w:t>Swap</w:t>
            </w:r>
          </w:p>
        </w:tc>
        <w:tc>
          <w:tcPr>
            <w:tcW w:type="dxa" w:w="4320"/>
          </w:tcPr>
          <w:p>
            <w:r/>
            <w:r>
              <w:rPr>
                <w:rFonts w:ascii="Segoe UI" w:hAnsi="Segoe UI"/>
                <w:b w:val="0"/>
                <w:i w:val="0"/>
                <w:sz w:val="18"/>
              </w:rPr>
              <w:t>Engro's field would show urea and DAP. The line is false in any other brand's mouth.</w:t>
            </w:r>
          </w:p>
        </w:tc>
      </w:tr>
      <w:tr>
        <w:tc>
          <w:tcPr>
            <w:tcW w:type="dxa" w:w="4320"/>
          </w:tcPr>
          <w:p>
            <w:r/>
            <w:r>
              <w:rPr>
                <w:rFonts w:ascii="Segoe UI" w:hAnsi="Segoe UI"/>
                <w:b w:val="0"/>
                <w:i w:val="0"/>
                <w:sz w:val="18"/>
              </w:rPr>
              <w:t>Asset</w:t>
            </w:r>
          </w:p>
        </w:tc>
        <w:tc>
          <w:tcPr>
            <w:tcW w:type="dxa" w:w="4320"/>
          </w:tcPr>
          <w:p>
            <w:r/>
            <w:r>
              <w:rPr>
                <w:rFonts w:ascii="Segoe UI" w:hAnsi="Segoe UI"/>
                <w:b w:val="0"/>
                <w:i w:val="0"/>
                <w:sz w:val="18"/>
              </w:rPr>
              <w:t>The only CAN, 93% of NP, 500+ plots: structural, not tone.</w:t>
            </w:r>
          </w:p>
        </w:tc>
      </w:tr>
      <w:tr>
        <w:tc>
          <w:tcPr>
            <w:tcW w:type="dxa" w:w="4320"/>
          </w:tcPr>
          <w:p>
            <w:r/>
            <w:r>
              <w:rPr>
                <w:rFonts w:ascii="Segoe UI" w:hAnsi="Segoe UI"/>
                <w:b w:val="0"/>
                <w:i w:val="0"/>
                <w:sz w:val="18"/>
              </w:rPr>
              <w:t>Deletion</w:t>
            </w:r>
          </w:p>
        </w:tc>
        <w:tc>
          <w:tcPr>
            <w:tcW w:type="dxa" w:w="4320"/>
          </w:tcPr>
          <w:p>
            <w:r/>
            <w:r>
              <w:rPr>
                <w:rFonts w:ascii="Segoe UI" w:hAnsi="Segoe UI"/>
                <w:b w:val="0"/>
                <w:i w:val="0"/>
                <w:sz w:val="18"/>
              </w:rPr>
              <w:t>Remove the audit and there's no reason to choose proof over advice. They're one argument.</w:t>
            </w:r>
          </w:p>
        </w:tc>
      </w:tr>
      <w:tr>
        <w:tc>
          <w:tcPr>
            <w:tcW w:type="dxa" w:w="4320"/>
          </w:tcPr>
          <w:p>
            <w:r/>
            <w:r>
              <w:rPr>
                <w:rFonts w:ascii="Segoe UI" w:hAnsi="Segoe UI"/>
                <w:b w:val="0"/>
                <w:i w:val="0"/>
                <w:sz w:val="18"/>
              </w:rPr>
              <w:t>Department</w:t>
            </w:r>
          </w:p>
        </w:tc>
        <w:tc>
          <w:tcPr>
            <w:tcW w:type="dxa" w:w="4320"/>
          </w:tcPr>
          <w:p>
            <w:r/>
            <w:r>
              <w:rPr>
                <w:rFonts w:ascii="Segoe UI" w:hAnsi="Segoe UI"/>
                <w:b w:val="0"/>
                <w:i w:val="0"/>
                <w:sz w:val="18"/>
              </w:rPr>
              <w:t>Agronomy, legal, sales and the app team must act. It asks Fatima to do something, not only say it.</w:t>
            </w:r>
          </w:p>
        </w:tc>
      </w:tr>
      <w:tr>
        <w:tc>
          <w:tcPr>
            <w:tcW w:type="dxa" w:w="4320"/>
          </w:tcPr>
          <w:p>
            <w:r/>
            <w:r>
              <w:rPr>
                <w:rFonts w:ascii="Segoe UI" w:hAnsi="Segoe UI"/>
                <w:b w:val="0"/>
                <w:i w:val="0"/>
                <w:sz w:val="18"/>
              </w:rPr>
              <w:t>Month twelve</w:t>
            </w:r>
          </w:p>
        </w:tc>
        <w:tc>
          <w:tcPr>
            <w:tcW w:type="dxa" w:w="4320"/>
          </w:tcPr>
          <w:p>
            <w:r/>
            <w:r>
              <w:rPr>
                <w:rFonts w:ascii="Segoe UI" w:hAnsi="Segoe UI"/>
                <w:b w:val="0"/>
                <w:i w:val="0"/>
                <w:sz w:val="18"/>
              </w:rPr>
              <w:t>New crops, districts and farmer-logged plots every season. A platform, not a launch.</w:t>
            </w:r>
          </w:p>
        </w:tc>
      </w:tr>
      <w:tr>
        <w:tc>
          <w:tcPr>
            <w:tcW w:type="dxa" w:w="4320"/>
          </w:tcPr>
          <w:p>
            <w:r/>
            <w:r>
              <w:rPr>
                <w:rFonts w:ascii="Segoe UI" w:hAnsi="Segoe UI"/>
                <w:b w:val="0"/>
                <w:i w:val="0"/>
                <w:sz w:val="18"/>
              </w:rPr>
              <w:t>Room</w:t>
            </w:r>
          </w:p>
        </w:tc>
        <w:tc>
          <w:tcPr>
            <w:tcW w:type="dxa" w:w="4320"/>
          </w:tcPr>
          <w:p>
            <w:r/>
            <w:r>
              <w:rPr>
                <w:rFonts w:ascii="Segoe UI" w:hAnsi="Segoe UI"/>
                <w:b w:val="0"/>
                <w:i w:val="0"/>
                <w:sz w:val="18"/>
              </w:rPr>
              <w:t>"Ten percent more, the field is the witness." A farmer can repeat 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