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i w:val="0"/>
          <w:color w:val="2E2B6F"/>
          <w:sz w:val="52"/>
        </w:rPr>
        <w:t>Sarsabz — brand audit (Case 2), working draft v0</w:t>
      </w:r>
    </w:p>
    <w:p>
      <w:pPr>
        <w:spacing w:after="120"/>
      </w:pPr>
      <w:r>
        <w:rPr>
          <w:rFonts w:ascii="Segoe UI" w:hAnsi="Segoe UI"/>
          <w:b w:val="0"/>
          <w:i w:val="0"/>
          <w:sz w:val="21"/>
        </w:rPr>
        <w:t xml:space="preserve">Compiled 15 September 2026. Evidence stream 1 of 4 complete (owned YouTube, 24 months, coded); category structure and Sarsabz Ki Jeet verified from primary and independent sources. Competitor creative, Facebook / TikTok presence and farmer comments are </w:t>
      </w:r>
      <w:r>
        <w:rPr>
          <w:rFonts w:ascii="Segoe UI" w:hAnsi="Segoe UI"/>
          <w:b/>
          <w:i w:val="0"/>
          <w:sz w:val="21"/>
        </w:rPr>
        <w:t>not yet collected</w:t>
      </w:r>
      <w:r>
        <w:rPr>
          <w:rFonts w:ascii="Segoe UI" w:hAnsi="Segoe UI"/>
          <w:b w:val="0"/>
          <w:i w:val="0"/>
          <w:sz w:val="21"/>
        </w:rPr>
        <w:t xml:space="preserve"> — findings that depend on them are marked </w:t>
      </w:r>
      <w:r>
        <w:rPr>
          <w:rFonts w:ascii="Segoe UI" w:hAnsi="Segoe UI"/>
          <w:b w:val="0"/>
          <w:i/>
          <w:sz w:val="21"/>
        </w:rPr>
        <w:t>provisional</w:t>
      </w:r>
      <w:r>
        <w:rPr>
          <w:rFonts w:ascii="Segoe UI" w:hAnsi="Segoe UI"/>
          <w:b w:val="0"/>
          <w:i w:val="0"/>
          <w:sz w:val="21"/>
        </w:rPr>
        <w:t>. Every figure carries its source; register at the end.</w:t>
      </w:r>
    </w:p>
    <w:p>
      <w:pPr>
        <w:pStyle w:val="Heading1"/>
      </w:pPr>
      <w:r>
        <w:rPr>
          <w:rFonts w:ascii="Segoe UI" w:hAnsi="Segoe UI"/>
          <w:b/>
          <w:i w:val="0"/>
          <w:color w:val="2E2B6F"/>
          <w:sz w:val="32"/>
        </w:rPr>
        <w:t>How to read this</w:t>
      </w:r>
    </w:p>
    <w:p>
      <w:pPr>
        <w:pStyle w:val="ListBullet"/>
        <w:spacing w:after="60"/>
      </w:pPr>
      <w:r>
        <w:rPr>
          <w:rFonts w:ascii="Segoe UI" w:hAnsi="Segoe UI"/>
          <w:b/>
          <w:i w:val="0"/>
          <w:sz w:val="21"/>
        </w:rPr>
        <w:t>Retrieved</w:t>
      </w:r>
      <w:r>
        <w:rPr>
          <w:rFonts w:ascii="Segoe UI" w:hAnsi="Segoe UI"/>
          <w:b w:val="0"/>
          <w:i w:val="0"/>
          <w:sz w:val="21"/>
        </w:rPr>
        <w:t xml:space="preserve"> = read by us from the document itself. </w:t>
      </w:r>
      <w:r>
        <w:rPr>
          <w:rFonts w:ascii="Segoe UI" w:hAnsi="Segoe UI"/>
          <w:b/>
          <w:i w:val="0"/>
          <w:sz w:val="21"/>
        </w:rPr>
        <w:t>Reported</w:t>
      </w:r>
      <w:r>
        <w:rPr>
          <w:rFonts w:ascii="Segoe UI" w:hAnsi="Segoe UI"/>
          <w:b w:val="0"/>
          <w:i w:val="0"/>
          <w:sz w:val="21"/>
        </w:rPr>
        <w:t xml:space="preserve"> = from a secondary summary. Marked where it matters.</w:t>
      </w:r>
    </w:p>
    <w:p>
      <w:pPr>
        <w:pStyle w:val="ListBullet"/>
        <w:spacing w:after="60"/>
      </w:pPr>
      <w:r>
        <w:rPr>
          <w:rFonts w:ascii="Segoe UI" w:hAnsi="Segoe UI"/>
          <w:b w:val="0"/>
          <w:i w:val="0"/>
          <w:sz w:val="21"/>
        </w:rPr>
        <w:t xml:space="preserve">YouTube views on a brand channel are mostly </w:t>
      </w:r>
      <w:r>
        <w:rPr>
          <w:rFonts w:ascii="Segoe UI" w:hAnsi="Segoe UI"/>
          <w:b/>
          <w:i w:val="0"/>
          <w:sz w:val="21"/>
        </w:rPr>
        <w:t>bought</w:t>
      </w:r>
      <w:r>
        <w:rPr>
          <w:rFonts w:ascii="Segoe UI" w:hAnsi="Segoe UI"/>
          <w:b w:val="0"/>
          <w:i w:val="0"/>
          <w:sz w:val="21"/>
        </w:rPr>
        <w:t xml:space="preserve">. They are used here as evidence of </w:t>
      </w:r>
      <w:r>
        <w:rPr>
          <w:rFonts w:ascii="Segoe UI" w:hAnsi="Segoe UI"/>
          <w:b w:val="0"/>
          <w:i/>
          <w:sz w:val="21"/>
        </w:rPr>
        <w:t>where Sarsabz puts media weight</w:t>
      </w:r>
      <w:r>
        <w:rPr>
          <w:rFonts w:ascii="Segoe UI" w:hAnsi="Segoe UI"/>
          <w:b w:val="0"/>
          <w:i w:val="0"/>
          <w:sz w:val="21"/>
        </w:rPr>
        <w:t>, never as organic interest and never as share of voice.</w:t>
      </w:r>
    </w:p>
    <w:p>
      <w:pPr>
        <w:pStyle w:val="ListBullet"/>
        <w:spacing w:after="60"/>
      </w:pPr>
      <w:r>
        <w:rPr>
          <w:rFonts w:ascii="Segoe UI" w:hAnsi="Segoe UI"/>
          <w:b w:val="0"/>
          <w:i w:val="0"/>
          <w:sz w:val="21"/>
        </w:rPr>
        <w:t xml:space="preserve">Owned content was coded from thumbnail, title and description on the </w:t>
      </w:r>
      <w:r>
        <w:rPr>
          <w:rFonts w:ascii="Segoe UI" w:hAnsi="Segoe UI"/>
          <w:b w:val="0"/>
          <w:i w:val="0"/>
          <w:sz w:val="21"/>
        </w:rPr>
        <w:t>category-creative-scan</w:t>
      </w:r>
      <w:r>
        <w:rPr>
          <w:rFonts w:ascii="Segoe UI" w:hAnsi="Segoe UI"/>
          <w:b w:val="0"/>
          <w:i w:val="0"/>
          <w:sz w:val="21"/>
        </w:rPr>
        <w:t xml:space="preserve"> schema (</w:t>
      </w:r>
      <w:r>
        <w:rPr>
          <w:rFonts w:ascii="Segoe UI" w:hAnsi="Segoe UI"/>
          <w:b w:val="0"/>
          <w:i w:val="0"/>
          <w:sz w:val="21"/>
        </w:rPr>
        <w:t>owned/codes_window.csv</w:t>
      </w:r>
      <w:r>
        <w:rPr>
          <w:rFonts w:ascii="Segoe UI" w:hAnsi="Segoe UI"/>
          <w:b w:val="0"/>
          <w:i w:val="0"/>
          <w:sz w:val="21"/>
        </w:rPr>
        <w:t>). Videos were not watched end to end.</w:t>
      </w:r>
    </w:p>
    <w:p>
      <w:pPr>
        <w:pStyle w:val="ListBullet"/>
        <w:spacing w:after="60"/>
      </w:pPr>
      <w:r>
        <w:rPr>
          <w:rFonts w:ascii="Segoe UI" w:hAnsi="Segoe UI"/>
          <w:b w:val="0"/>
          <w:i w:val="0"/>
          <w:sz w:val="21"/>
        </w:rPr>
        <w:t>This is a supply-side read of what the brand says. What farmers believe is not yet evidenced.</w:t>
      </w:r>
    </w:p>
    <w:p>
      <w:r>
        <w:br w:type="page"/>
      </w:r>
    </w:p>
    <w:p>
      <w:pPr>
        <w:pStyle w:val="Heading1"/>
      </w:pPr>
      <w:r>
        <w:rPr>
          <w:rFonts w:ascii="Segoe UI" w:hAnsi="Segoe UI"/>
          <w:b/>
          <w:i w:val="0"/>
          <w:color w:val="2E2B6F"/>
          <w:sz w:val="32"/>
        </w:rPr>
        <w:t>1. The finding in one sentence</w:t>
      </w:r>
    </w:p>
    <w:p>
      <w:pPr>
        <w:spacing w:after="120"/>
      </w:pPr>
      <w:r>
        <w:rPr>
          <w:rFonts w:ascii="Segoe UI" w:hAnsi="Segoe UI"/>
          <w:b/>
          <w:i w:val="0"/>
          <w:sz w:val="21"/>
        </w:rPr>
        <w:t>Sarsabz spends most heavily on its yield promise, but proves it almost nowhere, and the promise is aimed at the wrong rival: the 10% sells NP + CAN, categories Fatima already owns, so the real competitor is the farmer's DAP + urea habit, not Sona or Heera.</w:t>
      </w:r>
    </w:p>
    <w:p>
      <w:pPr>
        <w:pStyle w:val="Heading1"/>
      </w:pPr>
      <w:r>
        <w:rPr>
          <w:rFonts w:ascii="Segoe UI" w:hAnsi="Segoe UI"/>
          <w:b/>
          <w:i w:val="0"/>
          <w:color w:val="2E2B6F"/>
          <w:sz w:val="32"/>
        </w:rPr>
        <w:t>2. The mechanism: the promise sits on products Fatima owns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r>
              <w:rPr>
                <w:rFonts w:ascii="Segoe UI" w:hAnsi="Segoe UI"/>
                <w:b/>
                <w:i w:val="0"/>
                <w:sz w:val="18"/>
              </w:rPr>
              <w:t>Fatima Group share</w:t>
            </w:r>
          </w:p>
        </w:tc>
        <w:tc>
          <w:tcPr>
            <w:tcW w:type="dxa" w:w="1728"/>
          </w:tcPr>
          <w:p>
            <w:r/>
            <w:r>
              <w:rPr>
                <w:rFonts w:ascii="Segoe UI" w:hAnsi="Segoe UI"/>
                <w:b/>
                <w:i w:val="0"/>
                <w:sz w:val="18"/>
              </w:rPr>
              <w:t>Substitutes it competes with</w:t>
            </w:r>
          </w:p>
        </w:tc>
        <w:tc>
          <w:tcPr>
            <w:tcW w:type="dxa" w:w="1728"/>
          </w:tcPr>
          <w:p>
            <w:r/>
            <w:r>
              <w:rPr>
                <w:rFonts w:ascii="Segoe UI" w:hAnsi="Segoe UI"/>
                <w:b/>
                <w:i w:val="0"/>
                <w:sz w:val="18"/>
              </w:rPr>
              <w:t>Price gap</w:t>
            </w:r>
          </w:p>
        </w:tc>
        <w:tc>
          <w:tcPr>
            <w:tcW w:type="dxa" w:w="1728"/>
          </w:tcPr>
          <w:p>
            <w:r/>
            <w:r>
              <w:rPr>
                <w:rFonts w:ascii="Segoe UI" w:hAnsi="Segoe UI"/>
                <w:b/>
                <w:i w:val="0"/>
                <w:sz w:val="18"/>
              </w:rPr>
              <w:t>Source</w:t>
            </w:r>
          </w:p>
        </w:tc>
      </w:tr>
      <w:tr>
        <w:tc>
          <w:tcPr>
            <w:tcW w:type="dxa" w:w="1728"/>
          </w:tcPr>
          <w:p>
            <w:r/>
            <w:r>
              <w:rPr>
                <w:rFonts w:ascii="Segoe UI" w:hAnsi="Segoe UI"/>
                <w:b/>
                <w:i w:val="0"/>
                <w:sz w:val="18"/>
              </w:rPr>
              <w:t>NP</w:t>
            </w:r>
            <w:r>
              <w:rPr>
                <w:rFonts w:ascii="Segoe UI" w:hAnsi="Segoe UI"/>
                <w:b w:val="0"/>
                <w:i w:val="0"/>
                <w:sz w:val="18"/>
              </w:rPr>
              <w:t xml:space="preserve"> (Nitrophos)</w:t>
            </w:r>
          </w:p>
        </w:tc>
        <w:tc>
          <w:tcPr>
            <w:tcW w:type="dxa" w:w="1728"/>
          </w:tcPr>
          <w:p>
            <w:r/>
            <w:r>
              <w:rPr>
                <w:rFonts w:ascii="Segoe UI" w:hAnsi="Segoe UI"/>
                <w:b w:val="0"/>
                <w:i w:val="0"/>
                <w:sz w:val="18"/>
              </w:rPr>
              <w:t>93% (Fatima Fertilizer 51% + Pak Arab 42%), 2022-23; "&gt;90%" 2025</w:t>
            </w:r>
          </w:p>
        </w:tc>
        <w:tc>
          <w:tcPr>
            <w:tcW w:type="dxa" w:w="1728"/>
          </w:tcPr>
          <w:p>
            <w:r/>
            <w:r>
              <w:rPr>
                <w:rFonts w:ascii="Segoe UI" w:hAnsi="Segoe UI"/>
                <w:b w:val="0"/>
                <w:i w:val="0"/>
                <w:sz w:val="18"/>
              </w:rPr>
              <w:t>DAP (FFC 61%, Engro 21%)</w:t>
            </w:r>
          </w:p>
        </w:tc>
        <w:tc>
          <w:tcPr>
            <w:tcW w:type="dxa" w:w="1728"/>
          </w:tcPr>
          <w:p>
            <w:r/>
            <w:r>
              <w:rPr>
                <w:rFonts w:ascii="Segoe UI" w:hAnsi="Segoe UI"/>
                <w:b w:val="0"/>
                <w:i w:val="0"/>
                <w:sz w:val="18"/>
              </w:rPr>
              <w:t>NP ~PKR 4,000/bag below DAP (3-yr, widened from ~2,200)</w:t>
            </w:r>
          </w:p>
        </w:tc>
        <w:tc>
          <w:tcPr>
            <w:tcW w:type="dxa" w:w="1728"/>
          </w:tcPr>
          <w:p>
            <w:r/>
            <w:r>
              <w:rPr>
                <w:rFonts w:ascii="Segoe UI" w:hAnsi="Segoe UI"/>
                <w:b w:val="0"/>
                <w:i w:val="0"/>
                <w:sz w:val="18"/>
              </w:rPr>
              <w:t>CCP Table 11 (retrieved); BMA Jan 2026 (reported, broker)</w:t>
            </w:r>
          </w:p>
        </w:tc>
      </w:tr>
      <w:tr>
        <w:tc>
          <w:tcPr>
            <w:tcW w:type="dxa" w:w="1728"/>
          </w:tcPr>
          <w:p>
            <w:r/>
            <w:r>
              <w:rPr>
                <w:rFonts w:ascii="Segoe UI" w:hAnsi="Segoe UI"/>
                <w:b/>
                <w:i w:val="0"/>
                <w:sz w:val="18"/>
              </w:rPr>
              <w:t>CAN</w:t>
            </w:r>
          </w:p>
        </w:tc>
        <w:tc>
          <w:tcPr>
            <w:tcW w:type="dxa" w:w="1728"/>
          </w:tcPr>
          <w:p>
            <w:r/>
            <w:r>
              <w:rPr>
                <w:rFonts w:ascii="Segoe UI" w:hAnsi="Segoe UI"/>
                <w:b w:val="0"/>
                <w:i w:val="0"/>
                <w:sz w:val="18"/>
              </w:rPr>
              <w:t>Pak Arab 38% + Fatima Fertilizer (cell blank in source; implied 62%) = sole producer</w:t>
            </w:r>
          </w:p>
        </w:tc>
        <w:tc>
          <w:tcPr>
            <w:tcW w:type="dxa" w:w="1728"/>
          </w:tcPr>
          <w:p>
            <w:r/>
            <w:r>
              <w:rPr>
                <w:rFonts w:ascii="Segoe UI" w:hAnsi="Segoe UI"/>
                <w:b w:val="0"/>
                <w:i w:val="0"/>
                <w:sz w:val="18"/>
              </w:rPr>
              <w:t>Urea (FFC 44%, Engro 29%, Fatima 13%)</w:t>
            </w:r>
          </w:p>
        </w:tc>
        <w:tc>
          <w:tcPr>
            <w:tcW w:type="dxa" w:w="1728"/>
          </w:tcPr>
          <w:p>
            <w:r/>
            <w:r>
              <w:rPr>
                <w:rFonts w:ascii="Segoe UI" w:hAnsi="Segoe UI"/>
                <w:b w:val="0"/>
                <w:i w:val="0"/>
                <w:sz w:val="18"/>
              </w:rPr>
              <w:t>CAN PKR 250-300/bag below urea (10-yr)</w:t>
            </w:r>
          </w:p>
        </w:tc>
        <w:tc>
          <w:tcPr>
            <w:tcW w:type="dxa" w:w="1728"/>
          </w:tcPr>
          <w:p>
            <w:r/>
            <w:r>
              <w:rPr>
                <w:rFonts w:ascii="Segoe UI" w:hAnsi="Segoe UI"/>
                <w:b w:val="0"/>
                <w:i w:val="0"/>
                <w:sz w:val="18"/>
              </w:rPr>
              <w:t>CCP Table 11 (retrieved); BMA (reported)</w:t>
            </w:r>
          </w:p>
        </w:tc>
      </w:tr>
      <w:tr>
        <w:tc>
          <w:tcPr>
            <w:tcW w:type="dxa" w:w="1728"/>
          </w:tcPr>
          <w:p>
            <w:r/>
            <w:r>
              <w:rPr>
                <w:rFonts w:ascii="Segoe UI" w:hAnsi="Segoe UI"/>
                <w:b/>
                <w:i w:val="0"/>
                <w:sz w:val="18"/>
              </w:rPr>
              <w:t>Urea</w:t>
            </w:r>
          </w:p>
        </w:tc>
        <w:tc>
          <w:tcPr>
            <w:tcW w:type="dxa" w:w="1728"/>
          </w:tcPr>
          <w:p>
            <w:r/>
            <w:r>
              <w:rPr>
                <w:rFonts w:ascii="Segoe UI" w:hAnsi="Segoe UI"/>
                <w:b w:val="0"/>
                <w:i w:val="0"/>
                <w:sz w:val="18"/>
              </w:rPr>
              <w:t>13% (2022-23) → ~17% (CY25)</w:t>
            </w:r>
          </w:p>
        </w:tc>
        <w:tc>
          <w:tcPr>
            <w:tcW w:type="dxa" w:w="1728"/>
          </w:tcPr>
          <w:p>
            <w:r/>
            <w:r>
              <w:rPr>
                <w:rFonts w:ascii="Segoe UI" w:hAnsi="Segoe UI"/>
                <w:b w:val="0"/>
                <w:i w:val="0"/>
                <w:sz w:val="18"/>
              </w:rPr>
              <w:t>—</w:t>
            </w:r>
          </w:p>
        </w:tc>
        <w:tc>
          <w:tcPr>
            <w:tcW w:type="dxa" w:w="1728"/>
          </w:tcPr>
          <w:p>
            <w:r/>
            <w:r>
              <w:rPr>
                <w:rFonts w:ascii="Segoe UI" w:hAnsi="Segoe UI"/>
                <w:b w:val="0"/>
                <w:i w:val="0"/>
                <w:sz w:val="18"/>
              </w:rPr>
              <w:t>—</w:t>
            </w:r>
          </w:p>
        </w:tc>
        <w:tc>
          <w:tcPr>
            <w:tcW w:type="dxa" w:w="1728"/>
          </w:tcPr>
          <w:p>
            <w:r/>
            <w:r>
              <w:rPr>
                <w:rFonts w:ascii="Segoe UI" w:hAnsi="Segoe UI"/>
                <w:b w:val="0"/>
                <w:i w:val="0"/>
                <w:sz w:val="18"/>
              </w:rPr>
              <w:t>CCP; BMA (reported)</w:t>
            </w:r>
          </w:p>
        </w:tc>
      </w:tr>
    </w:tbl>
    <w:p>
      <w:pPr>
        <w:spacing w:after="40"/>
      </w:pPr>
    </w:p>
    <w:p>
      <w:pPr>
        <w:spacing w:after="120"/>
      </w:pPr>
      <w:r>
        <w:rPr>
          <w:rFonts w:ascii="Segoe UI" w:hAnsi="Segoe UI"/>
          <w:b w:val="0"/>
          <w:i w:val="0"/>
          <w:sz w:val="21"/>
        </w:rPr>
        <w:t>Three consequences for the audit:</w:t>
      </w:r>
    </w:p>
    <w:p>
      <w:pPr>
        <w:pStyle w:val="ListNumber"/>
        <w:spacing w:after="60"/>
      </w:pPr>
      <w:r>
        <w:rPr>
          <w:rFonts w:ascii="Segoe UI" w:hAnsi="Segoe UI"/>
          <w:b/>
          <w:i w:val="0"/>
          <w:sz w:val="21"/>
        </w:rPr>
        <w:t>The tactical campaign is not a brand-share fight. It is a product-system switch.</w:t>
      </w:r>
      <w:r>
        <w:rPr>
          <w:rFonts w:ascii="Segoe UI" w:hAnsi="Segoe UI"/>
          <w:b w:val="0"/>
          <w:i w:val="0"/>
          <w:sz w:val="21"/>
        </w:rPr>
        <w:t xml:space="preserve"> A farmer persuaded by "10% se bhi ziyada" has no other NP or CAN brand to buy. Whatever Sona or Heera advertise about urea and DAP, the argument Sarsabz has to win is </w:t>
      </w:r>
      <w:r>
        <w:rPr>
          <w:rFonts w:ascii="Segoe UI" w:hAnsi="Segoe UI"/>
          <w:b w:val="0"/>
          <w:i/>
          <w:sz w:val="21"/>
        </w:rPr>
        <w:t>"NP + CAN instead of DAP + urea."</w:t>
      </w:r>
      <w:r>
        <w:rPr>
          <w:rFonts w:ascii="Segoe UI" w:hAnsi="Segoe UI"/>
          <w:b w:val="0"/>
          <w:i w:val="0"/>
          <w:sz w:val="21"/>
        </w:rPr>
        <w:t xml:space="preserve"> The brand guidelines' competitive frame (Sona = reliability, Heera = transformation, p.23 of the brief) is the right frame for Sarsabz Urea and DAP and for Bubber Sher. It is the wrong frame for this campaign.</w:t>
      </w:r>
    </w:p>
    <w:p>
      <w:pPr>
        <w:pStyle w:val="ListNumber"/>
        <w:spacing w:after="60"/>
      </w:pPr>
      <w:r>
        <w:rPr>
          <w:rFonts w:ascii="Segoe UI" w:hAnsi="Segoe UI"/>
          <w:b/>
          <w:i w:val="0"/>
          <w:sz w:val="21"/>
        </w:rPr>
        <w:t>Price and yield point the same way, and the communication uses only one.</w:t>
      </w:r>
      <w:r>
        <w:rPr>
          <w:rFonts w:ascii="Segoe UI" w:hAnsi="Segoe UI"/>
          <w:b w:val="0"/>
          <w:i w:val="0"/>
          <w:sz w:val="21"/>
        </w:rPr>
        <w:t xml:space="preserve"> NP is materially cheaper than DAP and CAN cheaper than urea. None of the 16 functional uploads in 24 months mentions price, cost or saving in its title or description (text search; voiceovers not checked). "More yield </w:t>
      </w:r>
      <w:r>
        <w:rPr>
          <w:rFonts w:ascii="Segoe UI" w:hAnsi="Segoe UI"/>
          <w:b w:val="0"/>
          <w:i/>
          <w:sz w:val="21"/>
        </w:rPr>
        <w:t>and</w:t>
      </w:r>
      <w:r>
        <w:rPr>
          <w:rFonts w:ascii="Segoe UI" w:hAnsi="Segoe UI"/>
          <w:b w:val="0"/>
          <w:i w:val="0"/>
          <w:sz w:val="21"/>
        </w:rPr>
        <w:t xml:space="preserve"> a cheaper bag" is the complete switching argument; the brand is making half of it.</w:t>
      </w:r>
    </w:p>
    <w:p>
      <w:pPr>
        <w:pStyle w:val="ListNumber"/>
        <w:spacing w:after="60"/>
      </w:pPr>
      <w:r>
        <w:rPr>
          <w:rFonts w:ascii="Segoe UI" w:hAnsi="Segoe UI"/>
          <w:b/>
          <w:i w:val="0"/>
          <w:sz w:val="21"/>
        </w:rPr>
        <w:t>The business challenge is volume stability, not share.</w:t>
      </w:r>
      <w:r>
        <w:rPr>
          <w:rFonts w:ascii="Segoe UI" w:hAnsi="Segoe UI"/>
          <w:b w:val="0"/>
          <w:i w:val="0"/>
          <w:sz w:val="21"/>
        </w:rPr>
        <w:t xml:space="preserve"> NP offtake fell from 902k to 792k tonnes (CY22→CY23) before recovering to 931k in CY24; CAN 826k → 820k → 888k (NFDC via VIS, retrieved). Specialty volumes swing with the farmer's cash position and the DAP price. A switching argument that holds when DAP is cheap is the job.</w:t>
      </w:r>
    </w:p>
    <w:p>
      <w:pPr>
        <w:spacing w:after="120"/>
      </w:pPr>
      <w:r>
        <w:rPr>
          <w:rFonts w:ascii="Segoe UI" w:hAnsi="Segoe UI"/>
          <w:b w:val="0"/>
          <w:i/>
          <w:sz w:val="21"/>
        </w:rPr>
        <w:t>Caveat on the CCP study:</w:t>
      </w:r>
      <w:r>
        <w:rPr>
          <w:rFonts w:ascii="Segoe UI" w:hAnsi="Segoe UI"/>
          <w:b w:val="0"/>
          <w:i w:val="0"/>
          <w:sz w:val="21"/>
        </w:rPr>
        <w:t xml:space="preserve"> it is watermarked </w:t>
      </w:r>
      <w:r>
        <w:rPr>
          <w:rFonts w:ascii="Segoe UI" w:hAnsi="Segoe UI"/>
          <w:b/>
          <w:i w:val="0"/>
          <w:sz w:val="21"/>
        </w:rPr>
        <w:t>DRAFT</w:t>
      </w:r>
      <w:r>
        <w:rPr>
          <w:rFonts w:ascii="Segoe UI" w:hAnsi="Segoe UI"/>
          <w:b w:val="0"/>
          <w:i w:val="0"/>
          <w:sz w:val="21"/>
        </w:rPr>
        <w:t xml:space="preserve"> (July 2025) and uses NFDC 2022-23 data. NFDC's own 2023-24 review could not be downloaded (link returns HTML). Ask the client for current product-level share.</w:t>
      </w:r>
    </w:p>
    <w:p>
      <w:pPr>
        <w:pStyle w:val="Heading1"/>
      </w:pPr>
      <w:r>
        <w:rPr>
          <w:rFonts w:ascii="Segoe UI" w:hAnsi="Segoe UI"/>
          <w:b/>
          <w:i w:val="0"/>
          <w:color w:val="2E2B6F"/>
          <w:sz w:val="32"/>
        </w:rPr>
        <w:t>3. What Sarsabz is actually saying: 24 months of owned YouTube</w:t>
      </w:r>
    </w:p>
    <w:p>
      <w:pPr>
        <w:spacing w:after="120"/>
      </w:pPr>
      <w:r>
        <w:rPr>
          <w:rFonts w:ascii="Segoe UI" w:hAnsi="Segoe UI"/>
          <w:b w:val="0"/>
          <w:i w:val="0"/>
          <w:sz w:val="21"/>
        </w:rPr>
        <w:t xml:space="preserve">90 uploads, 14 Oct 2024 – 14 Sep 2026, 164.1M views. Full tables: </w:t>
      </w:r>
      <w:r>
        <w:rPr>
          <w:rFonts w:ascii="Segoe UI" w:hAnsi="Segoe UI"/>
          <w:b w:val="0"/>
          <w:i w:val="0"/>
          <w:sz w:val="21"/>
        </w:rPr>
        <w:t>owned/owned_findings.md</w:t>
      </w:r>
      <w:r>
        <w:rPr>
          <w:rFonts w:ascii="Segoe UI" w:hAnsi="Segoe UI"/>
          <w:b w:val="0"/>
          <w:i w:val="0"/>
          <w:sz w:val="21"/>
        </w:rPr>
        <w:t>.</w:t>
      </w:r>
    </w:p>
    <w:p>
      <w:pPr>
        <w:pStyle w:val="Heading2"/>
      </w:pPr>
      <w:r>
        <w:rPr>
          <w:rFonts w:ascii="Segoe UI" w:hAnsi="Segoe UI"/>
          <w:b/>
          <w:i w:val="0"/>
          <w:color w:val="1B7A3A"/>
          <w:sz w:val="26"/>
        </w:rPr>
        <w:t>3.1 The yield promise gets the money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p>
        </w:tc>
        <w:tc>
          <w:tcPr>
            <w:tcW w:type="dxa" w:w="2160"/>
          </w:tcPr>
          <w:p>
            <w:r/>
            <w:r>
              <w:rPr>
                <w:rFonts w:ascii="Segoe UI" w:hAnsi="Segoe UI"/>
                <w:b/>
                <w:i w:val="0"/>
                <w:sz w:val="18"/>
              </w:rPr>
              <w:t>uploads</w:t>
            </w:r>
          </w:p>
        </w:tc>
        <w:tc>
          <w:tcPr>
            <w:tcW w:type="dxa" w:w="2160"/>
          </w:tcPr>
          <w:p>
            <w:r/>
            <w:r>
              <w:rPr>
                <w:rFonts w:ascii="Segoe UI" w:hAnsi="Segoe UI"/>
                <w:b/>
                <w:i w:val="0"/>
                <w:sz w:val="18"/>
              </w:rPr>
              <w:t>views</w:t>
            </w:r>
          </w:p>
        </w:tc>
        <w:tc>
          <w:tcPr>
            <w:tcW w:type="dxa" w:w="2160"/>
          </w:tcPr>
          <w:p>
            <w:r/>
            <w:r>
              <w:rPr>
                <w:rFonts w:ascii="Segoe UI" w:hAnsi="Segoe UI"/>
                <w:b/>
                <w:i w:val="0"/>
                <w:sz w:val="18"/>
              </w:rPr>
              <w:t>share of views</w:t>
            </w:r>
          </w:p>
        </w:tc>
      </w:tr>
      <w:tr>
        <w:tc>
          <w:tcPr>
            <w:tcW w:type="dxa" w:w="2160"/>
          </w:tcPr>
          <w:p>
            <w:r/>
            <w:r>
              <w:rPr>
                <w:rFonts w:ascii="Segoe UI" w:hAnsi="Segoe UI"/>
                <w:b w:val="0"/>
                <w:i w:val="0"/>
                <w:sz w:val="18"/>
              </w:rPr>
              <w:t>Yield / product-quality claim</w:t>
            </w:r>
          </w:p>
        </w:tc>
        <w:tc>
          <w:tcPr>
            <w:tcW w:type="dxa" w:w="2160"/>
          </w:tcPr>
          <w:p>
            <w:r/>
            <w:r>
              <w:rPr>
                <w:rFonts w:ascii="Segoe UI" w:hAnsi="Segoe UI"/>
                <w:b w:val="0"/>
                <w:i w:val="0"/>
                <w:sz w:val="18"/>
              </w:rPr>
              <w:t>16 (18%)</w:t>
            </w:r>
          </w:p>
        </w:tc>
        <w:tc>
          <w:tcPr>
            <w:tcW w:type="dxa" w:w="2160"/>
          </w:tcPr>
          <w:p>
            <w:r/>
            <w:r>
              <w:rPr>
                <w:rFonts w:ascii="Segoe UI" w:hAnsi="Segoe UI"/>
                <w:b w:val="0"/>
                <w:i w:val="0"/>
                <w:sz w:val="18"/>
              </w:rPr>
              <w:t>71.6M</w:t>
            </w:r>
          </w:p>
        </w:tc>
        <w:tc>
          <w:tcPr>
            <w:tcW w:type="dxa" w:w="2160"/>
          </w:tcPr>
          <w:p>
            <w:r/>
            <w:r>
              <w:rPr>
                <w:rFonts w:ascii="Segoe UI" w:hAnsi="Segoe UI"/>
                <w:b/>
                <w:i w:val="0"/>
                <w:sz w:val="18"/>
              </w:rPr>
              <w:t>44%</w:t>
            </w:r>
          </w:p>
        </w:tc>
      </w:tr>
      <w:tr>
        <w:tc>
          <w:tcPr>
            <w:tcW w:type="dxa" w:w="2160"/>
          </w:tcPr>
          <w:p>
            <w:r/>
            <w:r>
              <w:rPr>
                <w:rFonts w:ascii="Segoe UI" w:hAnsi="Segoe UI"/>
                <w:b w:val="0"/>
                <w:i w:val="0"/>
                <w:sz w:val="18"/>
              </w:rPr>
              <w:t>Brand goodwill (Ramzan, UNDP, Sultans)</w:t>
            </w:r>
          </w:p>
        </w:tc>
        <w:tc>
          <w:tcPr>
            <w:tcW w:type="dxa" w:w="2160"/>
          </w:tcPr>
          <w:p>
            <w:r/>
            <w:r>
              <w:rPr>
                <w:rFonts w:ascii="Segoe UI" w:hAnsi="Segoe UI"/>
                <w:b w:val="0"/>
                <w:i w:val="0"/>
                <w:sz w:val="18"/>
              </w:rPr>
              <w:t>25 (28%)</w:t>
            </w:r>
          </w:p>
        </w:tc>
        <w:tc>
          <w:tcPr>
            <w:tcW w:type="dxa" w:w="2160"/>
          </w:tcPr>
          <w:p>
            <w:r/>
            <w:r>
              <w:rPr>
                <w:rFonts w:ascii="Segoe UI" w:hAnsi="Segoe UI"/>
                <w:b w:val="0"/>
                <w:i w:val="0"/>
                <w:sz w:val="18"/>
              </w:rPr>
              <w:t>47.9M</w:t>
            </w:r>
          </w:p>
        </w:tc>
        <w:tc>
          <w:tcPr>
            <w:tcW w:type="dxa" w:w="2160"/>
          </w:tcPr>
          <w:p>
            <w:r/>
            <w:r>
              <w:rPr>
                <w:rFonts w:ascii="Segoe UI" w:hAnsi="Segoe UI"/>
                <w:b w:val="0"/>
                <w:i w:val="0"/>
                <w:sz w:val="18"/>
              </w:rPr>
              <w:t>29%</w:t>
            </w:r>
          </w:p>
        </w:tc>
      </w:tr>
      <w:tr>
        <w:tc>
          <w:tcPr>
            <w:tcW w:type="dxa" w:w="2160"/>
          </w:tcPr>
          <w:p>
            <w:r/>
            <w:r>
              <w:rPr>
                <w:rFonts w:ascii="Segoe UI" w:hAnsi="Segoe UI"/>
                <w:b w:val="0"/>
                <w:i w:val="0"/>
                <w:sz w:val="18"/>
              </w:rPr>
              <w:t>Farmer recognition (Salam Kissan)</w:t>
            </w:r>
          </w:p>
        </w:tc>
        <w:tc>
          <w:tcPr>
            <w:tcW w:type="dxa" w:w="2160"/>
          </w:tcPr>
          <w:p>
            <w:r/>
            <w:r>
              <w:rPr>
                <w:rFonts w:ascii="Segoe UI" w:hAnsi="Segoe UI"/>
                <w:b w:val="0"/>
                <w:i w:val="0"/>
                <w:sz w:val="18"/>
              </w:rPr>
              <w:t>12 (13%)</w:t>
            </w:r>
          </w:p>
        </w:tc>
        <w:tc>
          <w:tcPr>
            <w:tcW w:type="dxa" w:w="2160"/>
          </w:tcPr>
          <w:p>
            <w:r/>
            <w:r>
              <w:rPr>
                <w:rFonts w:ascii="Segoe UI" w:hAnsi="Segoe UI"/>
                <w:b w:val="0"/>
                <w:i w:val="0"/>
                <w:sz w:val="18"/>
              </w:rPr>
              <w:t>15.7M</w:t>
            </w:r>
          </w:p>
        </w:tc>
        <w:tc>
          <w:tcPr>
            <w:tcW w:type="dxa" w:w="2160"/>
          </w:tcPr>
          <w:p>
            <w:r/>
            <w:r>
              <w:rPr>
                <w:rFonts w:ascii="Segoe UI" w:hAnsi="Segoe UI"/>
                <w:b w:val="0"/>
                <w:i w:val="0"/>
                <w:sz w:val="18"/>
              </w:rPr>
              <w:t>10%</w:t>
            </w:r>
          </w:p>
        </w:tc>
      </w:tr>
      <w:tr>
        <w:tc>
          <w:tcPr>
            <w:tcW w:type="dxa" w:w="2160"/>
          </w:tcPr>
          <w:p>
            <w:r/>
            <w:r>
              <w:rPr>
                <w:rFonts w:ascii="Segoe UI" w:hAnsi="Segoe UI"/>
                <w:b w:val="0"/>
                <w:i w:val="0"/>
                <w:sz w:val="18"/>
              </w:rPr>
              <w:t>Prizes / lucky draw</w:t>
            </w:r>
          </w:p>
        </w:tc>
        <w:tc>
          <w:tcPr>
            <w:tcW w:type="dxa" w:w="2160"/>
          </w:tcPr>
          <w:p>
            <w:r/>
            <w:r>
              <w:rPr>
                <w:rFonts w:ascii="Segoe UI" w:hAnsi="Segoe UI"/>
                <w:b w:val="0"/>
                <w:i w:val="0"/>
                <w:sz w:val="18"/>
              </w:rPr>
              <w:t>4</w:t>
            </w:r>
          </w:p>
        </w:tc>
        <w:tc>
          <w:tcPr>
            <w:tcW w:type="dxa" w:w="2160"/>
          </w:tcPr>
          <w:p>
            <w:r/>
            <w:r>
              <w:rPr>
                <w:rFonts w:ascii="Segoe UI" w:hAnsi="Segoe UI"/>
                <w:b w:val="0"/>
                <w:i w:val="0"/>
                <w:sz w:val="18"/>
              </w:rPr>
              <w:t>12.4M</w:t>
            </w:r>
          </w:p>
        </w:tc>
        <w:tc>
          <w:tcPr>
            <w:tcW w:type="dxa" w:w="2160"/>
          </w:tcPr>
          <w:p>
            <w:r/>
            <w:r>
              <w:rPr>
                <w:rFonts w:ascii="Segoe UI" w:hAnsi="Segoe UI"/>
                <w:b w:val="0"/>
                <w:i w:val="0"/>
                <w:sz w:val="18"/>
              </w:rPr>
              <w:t>8%</w:t>
            </w:r>
          </w:p>
        </w:tc>
      </w:tr>
      <w:tr>
        <w:tc>
          <w:tcPr>
            <w:tcW w:type="dxa" w:w="2160"/>
          </w:tcPr>
          <w:p>
            <w:r/>
            <w:r>
              <w:rPr>
                <w:rFonts w:ascii="Segoe UI" w:hAnsi="Segoe UI"/>
                <w:b w:val="0"/>
                <w:i w:val="0"/>
                <w:sz w:val="18"/>
              </w:rPr>
              <w:t>Women farmers (Tabeer, Women's Day)</w:t>
            </w:r>
          </w:p>
        </w:tc>
        <w:tc>
          <w:tcPr>
            <w:tcW w:type="dxa" w:w="2160"/>
          </w:tcPr>
          <w:p>
            <w:r/>
            <w:r>
              <w:rPr>
                <w:rFonts w:ascii="Segoe UI" w:hAnsi="Segoe UI"/>
                <w:b w:val="0"/>
                <w:i w:val="0"/>
                <w:sz w:val="18"/>
              </w:rPr>
              <w:t>8</w:t>
            </w:r>
          </w:p>
        </w:tc>
        <w:tc>
          <w:tcPr>
            <w:tcW w:type="dxa" w:w="2160"/>
          </w:tcPr>
          <w:p>
            <w:r/>
            <w:r>
              <w:rPr>
                <w:rFonts w:ascii="Segoe UI" w:hAnsi="Segoe UI"/>
                <w:b w:val="0"/>
                <w:i w:val="0"/>
                <w:sz w:val="18"/>
              </w:rPr>
              <w:t>9.4M</w:t>
            </w:r>
          </w:p>
        </w:tc>
        <w:tc>
          <w:tcPr>
            <w:tcW w:type="dxa" w:w="2160"/>
          </w:tcPr>
          <w:p>
            <w:r/>
            <w:r>
              <w:rPr>
                <w:rFonts w:ascii="Segoe UI" w:hAnsi="Segoe UI"/>
                <w:b w:val="0"/>
                <w:i w:val="0"/>
                <w:sz w:val="18"/>
              </w:rPr>
              <w:t>6%</w:t>
            </w:r>
          </w:p>
        </w:tc>
      </w:tr>
      <w:tr>
        <w:tc>
          <w:tcPr>
            <w:tcW w:type="dxa" w:w="2160"/>
          </w:tcPr>
          <w:p>
            <w:r/>
            <w:r>
              <w:rPr>
                <w:rFonts w:ascii="Segoe UI" w:hAnsi="Segoe UI"/>
                <w:b w:val="0"/>
                <w:i w:val="0"/>
                <w:sz w:val="18"/>
              </w:rPr>
              <w:t>National identity (Dil Se Dekho / Dil Se Sarsabz)</w:t>
            </w:r>
          </w:p>
        </w:tc>
        <w:tc>
          <w:tcPr>
            <w:tcW w:type="dxa" w:w="2160"/>
          </w:tcPr>
          <w:p>
            <w:r/>
            <w:r>
              <w:rPr>
                <w:rFonts w:ascii="Segoe UI" w:hAnsi="Segoe UI"/>
                <w:b w:val="0"/>
                <w:i w:val="0"/>
                <w:sz w:val="18"/>
              </w:rPr>
              <w:t>22 (24%)</w:t>
            </w:r>
          </w:p>
        </w:tc>
        <w:tc>
          <w:tcPr>
            <w:tcW w:type="dxa" w:w="2160"/>
          </w:tcPr>
          <w:p>
            <w:r/>
            <w:r>
              <w:rPr>
                <w:rFonts w:ascii="Segoe UI" w:hAnsi="Segoe UI"/>
                <w:b w:val="0"/>
                <w:i w:val="0"/>
                <w:sz w:val="18"/>
              </w:rPr>
              <w:t>7.1M</w:t>
            </w:r>
          </w:p>
        </w:tc>
        <w:tc>
          <w:tcPr>
            <w:tcW w:type="dxa" w:w="2160"/>
          </w:tcPr>
          <w:p>
            <w:r/>
            <w:r>
              <w:rPr>
                <w:rFonts w:ascii="Segoe UI" w:hAnsi="Segoe UI"/>
                <w:b w:val="0"/>
                <w:i w:val="0"/>
                <w:sz w:val="18"/>
              </w:rPr>
              <w:t>4%</w:t>
            </w:r>
          </w:p>
        </w:tc>
      </w:tr>
    </w:tbl>
    <w:p>
      <w:pPr>
        <w:spacing w:after="40"/>
      </w:pPr>
    </w:p>
    <w:p>
      <w:pPr>
        <w:spacing w:after="120"/>
      </w:pPr>
      <w:r>
        <w:rPr>
          <w:rFonts w:ascii="Segoe UI" w:hAnsi="Segoe UI"/>
          <w:b w:val="0"/>
          <w:i w:val="0"/>
          <w:sz w:val="21"/>
        </w:rPr>
        <w:t xml:space="preserve">The brief asks for "the ability to balance emotional storytelling with product superiority" (p.14). By media weight the balance is already there. </w:t>
      </w:r>
      <w:r>
        <w:rPr>
          <w:rFonts w:ascii="Segoe UI" w:hAnsi="Segoe UI"/>
          <w:b/>
          <w:i w:val="0"/>
          <w:sz w:val="21"/>
        </w:rPr>
        <w:t>What's missing is proof, not emphasis.</w:t>
      </w:r>
    </w:p>
    <w:p>
      <w:pPr>
        <w:pStyle w:val="Heading2"/>
      </w:pPr>
      <w:r>
        <w:rPr>
          <w:rFonts w:ascii="Segoe UI" w:hAnsi="Segoe UI"/>
          <w:b/>
          <w:i w:val="0"/>
          <w:color w:val="1B7A3A"/>
          <w:sz w:val="26"/>
        </w:rPr>
        <w:t>3.2 Almost none of that weight carries proof</w:t>
      </w:r>
    </w:p>
    <w:p>
      <w:pPr>
        <w:pStyle w:val="ListBullet"/>
        <w:spacing w:after="60"/>
      </w:pPr>
      <w:r>
        <w:rPr>
          <w:rFonts w:ascii="Segoe UI" w:hAnsi="Segoe UI"/>
          <w:b/>
          <w:i w:val="0"/>
          <w:sz w:val="21"/>
        </w:rPr>
        <w:t>10 of the 11 "10% se bhi ziyada" films offer nothing but the badge.</w:t>
      </w:r>
      <w:r>
        <w:rPr>
          <w:rFonts w:ascii="Segoe UI" w:hAnsi="Segoe UI"/>
          <w:b w:val="0"/>
          <w:i w:val="0"/>
          <w:sz w:val="21"/>
        </w:rPr>
        <w:t xml:space="preserve"> The same execution (a young farmer walking a field, a "10 feesad" roundel, three bags) is re-cut for wheat, maize, sugarcane, cotton and rice. The claim is asserted for five crops; the brief says it rests on 500+ demo plots (p.5), and no film shows one.</w:t>
      </w:r>
    </w:p>
    <w:p>
      <w:pPr>
        <w:pStyle w:val="ListBullet"/>
        <w:spacing w:after="60"/>
      </w:pPr>
      <w:r>
        <w:rPr>
          <w:rFonts w:ascii="Segoe UI" w:hAnsi="Segoe UI"/>
          <w:b/>
          <w:i w:val="0"/>
          <w:sz w:val="21"/>
        </w:rPr>
        <w:t>Only 5 of 90 uploads answer the switching objection with a real farmer's result.</w:t>
      </w:r>
      <w:r>
        <w:rPr>
          <w:rFonts w:ascii="Segoe UI" w:hAnsi="Segoe UI"/>
          <w:b w:val="0"/>
          <w:i w:val="0"/>
          <w:sz w:val="21"/>
        </w:rPr>
        <w:t xml:space="preserve"> Four are Sarsabz Ki Jeet (wheat), one is Rameez Akbar (rice, 63 maunds/acre, Shikarpur). The rice documentary behind that teaser exists; its teaser drew 1.65M views.</w:t>
      </w:r>
    </w:p>
    <w:p>
      <w:pPr>
        <w:pStyle w:val="ListBullet"/>
        <w:spacing w:after="60"/>
      </w:pPr>
      <w:r>
        <w:rPr>
          <w:rFonts w:ascii="Segoe UI" w:hAnsi="Segoe UI"/>
          <w:b/>
          <w:i w:val="0"/>
          <w:sz w:val="21"/>
        </w:rPr>
        <w:t>Proof devices across all 90:</w:t>
      </w:r>
      <w:r>
        <w:rPr>
          <w:rFonts w:ascii="Segoe UI" w:hAnsi="Segoe UI"/>
          <w:b w:val="0"/>
          <w:i w:val="0"/>
          <w:sz w:val="21"/>
        </w:rPr>
        <w:t xml:space="preserve"> none 60%, celebrity 27%, awards/competition 6%, expert/partner 3%, farmer testimonial </w:t>
      </w:r>
      <w:r>
        <w:rPr>
          <w:rFonts w:ascii="Segoe UI" w:hAnsi="Segoe UI"/>
          <w:b/>
          <w:i w:val="0"/>
          <w:sz w:val="21"/>
        </w:rPr>
        <w:t>3%</w:t>
      </w:r>
      <w:r>
        <w:rPr>
          <w:rFonts w:ascii="Segoe UI" w:hAnsi="Segoe UI"/>
          <w:b w:val="0"/>
          <w:i w:val="0"/>
          <w:sz w:val="21"/>
        </w:rPr>
        <w:t>.</w:t>
      </w:r>
    </w:p>
    <w:p>
      <w:pPr>
        <w:pStyle w:val="Heading2"/>
      </w:pPr>
      <w:r>
        <w:rPr>
          <w:rFonts w:ascii="Segoe UI" w:hAnsi="Segoe UI"/>
          <w:b/>
          <w:i w:val="0"/>
          <w:color w:val="1B7A3A"/>
          <w:sz w:val="26"/>
        </w:rPr>
        <w:t>3.3 The long cut, where proof would fit, is not being funded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crop</w:t>
            </w:r>
          </w:p>
        </w:tc>
        <w:tc>
          <w:tcPr>
            <w:tcW w:type="dxa" w:w="2160"/>
          </w:tcPr>
          <w:p>
            <w:r/>
            <w:r>
              <w:rPr>
                <w:rFonts w:ascii="Segoe UI" w:hAnsi="Segoe UI"/>
                <w:b/>
                <w:i w:val="0"/>
                <w:sz w:val="18"/>
              </w:rPr>
              <w:t>15-second cut</w:t>
            </w:r>
          </w:p>
        </w:tc>
        <w:tc>
          <w:tcPr>
            <w:tcW w:type="dxa" w:w="2160"/>
          </w:tcPr>
          <w:p>
            <w:r/>
            <w:r>
              <w:rPr>
                <w:rFonts w:ascii="Segoe UI" w:hAnsi="Segoe UI"/>
                <w:b/>
                <w:i w:val="0"/>
                <w:sz w:val="18"/>
              </w:rPr>
              <w:t>56-60-second cut, same message</w:t>
            </w:r>
          </w:p>
        </w:tc>
        <w:tc>
          <w:tcPr>
            <w:tcW w:type="dxa" w:w="2160"/>
          </w:tcPr>
          <w:p>
            <w:r/>
            <w:r>
              <w:rPr>
                <w:rFonts w:ascii="Segoe UI" w:hAnsi="Segoe UI"/>
                <w:b/>
                <w:i w:val="0"/>
                <w:sz w:val="18"/>
              </w:rPr>
              <w:t>ratio</w:t>
            </w:r>
          </w:p>
        </w:tc>
      </w:tr>
      <w:tr>
        <w:tc>
          <w:tcPr>
            <w:tcW w:type="dxa" w:w="2160"/>
          </w:tcPr>
          <w:p>
            <w:r/>
            <w:r>
              <w:rPr>
                <w:rFonts w:ascii="Segoe UI" w:hAnsi="Segoe UI"/>
                <w:b w:val="0"/>
                <w:i w:val="0"/>
                <w:sz w:val="18"/>
              </w:rPr>
              <w:t>sugarcane</w:t>
            </w:r>
          </w:p>
        </w:tc>
        <w:tc>
          <w:tcPr>
            <w:tcW w:type="dxa" w:w="2160"/>
          </w:tcPr>
          <w:p>
            <w:r/>
            <w:r>
              <w:rPr>
                <w:rFonts w:ascii="Segoe UI" w:hAnsi="Segoe UI"/>
                <w:b w:val="0"/>
                <w:i w:val="0"/>
                <w:sz w:val="18"/>
              </w:rPr>
              <w:t>5,094,386</w:t>
            </w:r>
          </w:p>
        </w:tc>
        <w:tc>
          <w:tcPr>
            <w:tcW w:type="dxa" w:w="2160"/>
          </w:tcPr>
          <w:p>
            <w:r/>
            <w:r>
              <w:rPr>
                <w:rFonts w:ascii="Segoe UI" w:hAnsi="Segoe UI"/>
                <w:b w:val="0"/>
                <w:i w:val="0"/>
                <w:sz w:val="18"/>
              </w:rPr>
              <w:t>1,829</w:t>
            </w:r>
          </w:p>
        </w:tc>
        <w:tc>
          <w:tcPr>
            <w:tcW w:type="dxa" w:w="2160"/>
          </w:tcPr>
          <w:p>
            <w:r/>
            <w:r>
              <w:rPr>
                <w:rFonts w:ascii="Segoe UI" w:hAnsi="Segoe UI"/>
                <w:b w:val="0"/>
                <w:i w:val="0"/>
                <w:sz w:val="18"/>
              </w:rPr>
              <w:t>2,785×</w:t>
            </w:r>
          </w:p>
        </w:tc>
      </w:tr>
      <w:tr>
        <w:tc>
          <w:tcPr>
            <w:tcW w:type="dxa" w:w="2160"/>
          </w:tcPr>
          <w:p>
            <w:r/>
            <w:r>
              <w:rPr>
                <w:rFonts w:ascii="Segoe UI" w:hAnsi="Segoe UI"/>
                <w:b w:val="0"/>
                <w:i w:val="0"/>
                <w:sz w:val="18"/>
              </w:rPr>
              <w:t>maize</w:t>
            </w:r>
          </w:p>
        </w:tc>
        <w:tc>
          <w:tcPr>
            <w:tcW w:type="dxa" w:w="2160"/>
          </w:tcPr>
          <w:p>
            <w:r/>
            <w:r>
              <w:rPr>
                <w:rFonts w:ascii="Segoe UI" w:hAnsi="Segoe UI"/>
                <w:b w:val="0"/>
                <w:i w:val="0"/>
                <w:sz w:val="18"/>
              </w:rPr>
              <w:t>4,211,198</w:t>
            </w:r>
          </w:p>
        </w:tc>
        <w:tc>
          <w:tcPr>
            <w:tcW w:type="dxa" w:w="2160"/>
          </w:tcPr>
          <w:p>
            <w:r/>
            <w:r>
              <w:rPr>
                <w:rFonts w:ascii="Segoe UI" w:hAnsi="Segoe UI"/>
                <w:b w:val="0"/>
                <w:i w:val="0"/>
                <w:sz w:val="18"/>
              </w:rPr>
              <w:t>2,680</w:t>
            </w:r>
          </w:p>
        </w:tc>
        <w:tc>
          <w:tcPr>
            <w:tcW w:type="dxa" w:w="2160"/>
          </w:tcPr>
          <w:p>
            <w:r/>
            <w:r>
              <w:rPr>
                <w:rFonts w:ascii="Segoe UI" w:hAnsi="Segoe UI"/>
                <w:b w:val="0"/>
                <w:i w:val="0"/>
                <w:sz w:val="18"/>
              </w:rPr>
              <w:t>1,571×</w:t>
            </w:r>
          </w:p>
        </w:tc>
      </w:tr>
      <w:tr>
        <w:tc>
          <w:tcPr>
            <w:tcW w:type="dxa" w:w="2160"/>
          </w:tcPr>
          <w:p>
            <w:r/>
            <w:r>
              <w:rPr>
                <w:rFonts w:ascii="Segoe UI" w:hAnsi="Segoe UI"/>
                <w:b w:val="0"/>
                <w:i w:val="0"/>
                <w:sz w:val="18"/>
              </w:rPr>
              <w:t>cotton</w:t>
            </w:r>
          </w:p>
        </w:tc>
        <w:tc>
          <w:tcPr>
            <w:tcW w:type="dxa" w:w="2160"/>
          </w:tcPr>
          <w:p>
            <w:r/>
            <w:r>
              <w:rPr>
                <w:rFonts w:ascii="Segoe UI" w:hAnsi="Segoe UI"/>
                <w:b w:val="0"/>
                <w:i w:val="0"/>
                <w:sz w:val="18"/>
              </w:rPr>
              <w:t>8,856,043</w:t>
            </w:r>
          </w:p>
        </w:tc>
        <w:tc>
          <w:tcPr>
            <w:tcW w:type="dxa" w:w="2160"/>
          </w:tcPr>
          <w:p>
            <w:r/>
            <w:r>
              <w:rPr>
                <w:rFonts w:ascii="Segoe UI" w:hAnsi="Segoe UI"/>
                <w:b w:val="0"/>
                <w:i w:val="0"/>
                <w:sz w:val="18"/>
              </w:rPr>
              <w:t>9,851</w:t>
            </w:r>
          </w:p>
        </w:tc>
        <w:tc>
          <w:tcPr>
            <w:tcW w:type="dxa" w:w="2160"/>
          </w:tcPr>
          <w:p>
            <w:r/>
            <w:r>
              <w:rPr>
                <w:rFonts w:ascii="Segoe UI" w:hAnsi="Segoe UI"/>
                <w:b w:val="0"/>
                <w:i w:val="0"/>
                <w:sz w:val="18"/>
              </w:rPr>
              <w:t>899×</w:t>
            </w:r>
          </w:p>
        </w:tc>
      </w:tr>
      <w:tr>
        <w:tc>
          <w:tcPr>
            <w:tcW w:type="dxa" w:w="2160"/>
          </w:tcPr>
          <w:p>
            <w:r/>
            <w:r>
              <w:rPr>
                <w:rFonts w:ascii="Segoe UI" w:hAnsi="Segoe UI"/>
                <w:b w:val="0"/>
                <w:i w:val="0"/>
                <w:sz w:val="18"/>
              </w:rPr>
              <w:t>rice</w:t>
            </w:r>
          </w:p>
        </w:tc>
        <w:tc>
          <w:tcPr>
            <w:tcW w:type="dxa" w:w="2160"/>
          </w:tcPr>
          <w:p>
            <w:r/>
            <w:r>
              <w:rPr>
                <w:rFonts w:ascii="Segoe UI" w:hAnsi="Segoe UI"/>
                <w:b w:val="0"/>
                <w:i w:val="0"/>
                <w:sz w:val="18"/>
              </w:rPr>
              <w:t>10,186,761</w:t>
            </w:r>
          </w:p>
        </w:tc>
        <w:tc>
          <w:tcPr>
            <w:tcW w:type="dxa" w:w="2160"/>
          </w:tcPr>
          <w:p>
            <w:r/>
            <w:r>
              <w:rPr>
                <w:rFonts w:ascii="Segoe UI" w:hAnsi="Segoe UI"/>
                <w:b w:val="0"/>
                <w:i w:val="0"/>
                <w:sz w:val="18"/>
              </w:rPr>
              <w:t>15,966</w:t>
            </w:r>
          </w:p>
        </w:tc>
        <w:tc>
          <w:tcPr>
            <w:tcW w:type="dxa" w:w="2160"/>
          </w:tcPr>
          <w:p>
            <w:r/>
            <w:r>
              <w:rPr>
                <w:rFonts w:ascii="Segoe UI" w:hAnsi="Segoe UI"/>
                <w:b w:val="0"/>
                <w:i w:val="0"/>
                <w:sz w:val="18"/>
              </w:rPr>
              <w:t>638×</w:t>
            </w:r>
          </w:p>
        </w:tc>
      </w:tr>
    </w:tbl>
    <w:p>
      <w:pPr>
        <w:spacing w:after="40"/>
      </w:pPr>
    </w:p>
    <w:p>
      <w:pPr>
        <w:spacing w:after="120"/>
      </w:pPr>
      <w:r>
        <w:rPr>
          <w:rFonts w:ascii="Segoe UI" w:hAnsi="Segoe UI"/>
          <w:b w:val="0"/>
          <w:i w:val="0"/>
          <w:sz w:val="21"/>
        </w:rPr>
        <w:t xml:space="preserve">The 15-second cut is bought; the long cut is left to find its own audience and doesn't. That's a rational media choice for reminder advertising. It also means </w:t>
      </w:r>
      <w:r>
        <w:rPr>
          <w:rFonts w:ascii="Segoe UI" w:hAnsi="Segoe UI"/>
          <w:b/>
          <w:i w:val="0"/>
          <w:sz w:val="21"/>
        </w:rPr>
        <w:t>the only format with room for a field comparison, a farmer and a number has effectively no audience.</w:t>
      </w:r>
      <w:r>
        <w:rPr>
          <w:rFonts w:ascii="Segoe UI" w:hAnsi="Segoe UI"/>
          <w:b w:val="0"/>
          <w:i w:val="0"/>
          <w:sz w:val="21"/>
        </w:rPr>
        <w:t xml:space="preserve"> The tactical campaign has to make proof fit short formats, or buy the long ones.</w:t>
      </w:r>
    </w:p>
    <w:p>
      <w:pPr>
        <w:pStyle w:val="Heading2"/>
      </w:pPr>
      <w:r>
        <w:rPr>
          <w:rFonts w:ascii="Segoe UI" w:hAnsi="Segoe UI"/>
          <w:b/>
          <w:i w:val="0"/>
          <w:color w:val="1B7A3A"/>
          <w:sz w:val="26"/>
        </w:rPr>
        <w:t>3.4 "Jeet" means three different things</w:t>
      </w:r>
    </w:p>
    <w:p>
      <w:pPr>
        <w:spacing w:after="120"/>
      </w:pPr>
      <w:r>
        <w:rPr>
          <w:rFonts w:ascii="Segoe UI" w:hAnsi="Segoe UI"/>
          <w:b w:val="0"/>
          <w:i w:val="0"/>
          <w:sz w:val="21"/>
        </w:rPr>
        <w:t>The brand's most repeated word is split across three unrelated ideas in the same 24 months:</w:t>
      </w:r>
    </w:p>
    <w:p>
      <w:pPr>
        <w:pStyle w:val="ListBullet"/>
        <w:spacing w:after="60"/>
      </w:pPr>
      <w:r>
        <w:rPr>
          <w:rFonts w:ascii="Segoe UI" w:hAnsi="Segoe UI"/>
          <w:b/>
          <w:i w:val="0"/>
          <w:sz w:val="21"/>
        </w:rPr>
        <w:t>"Sarsabz Ki Jeet"</w:t>
      </w:r>
      <w:r>
        <w:rPr>
          <w:rFonts w:ascii="Segoe UI" w:hAnsi="Segoe UI"/>
          <w:b w:val="0"/>
          <w:i w:val="0"/>
          <w:sz w:val="21"/>
        </w:rPr>
        <w:t>: a farmer's yield win in a government competition (26.1M views)</w:t>
      </w:r>
    </w:p>
    <w:p>
      <w:pPr>
        <w:pStyle w:val="ListBullet"/>
        <w:spacing w:after="60"/>
      </w:pPr>
      <w:r>
        <w:rPr>
          <w:rFonts w:ascii="Segoe UI" w:hAnsi="Segoe UI"/>
          <w:b/>
          <w:i w:val="0"/>
          <w:sz w:val="21"/>
        </w:rPr>
        <w:t>"Nitrophos ko laga aur jeeta ja"</w:t>
      </w:r>
      <w:r>
        <w:rPr>
          <w:rFonts w:ascii="Segoe UI" w:hAnsi="Segoe UI"/>
          <w:b w:val="0"/>
          <w:i w:val="0"/>
          <w:sz w:val="21"/>
        </w:rPr>
        <w:t>: a scratch-code lucky draw for an Umrah ticket, motorcycle and phone (11.4M)</w:t>
      </w:r>
    </w:p>
    <w:p>
      <w:pPr>
        <w:pStyle w:val="ListBullet"/>
        <w:spacing w:after="60"/>
      </w:pPr>
      <w:r>
        <w:rPr>
          <w:rFonts w:ascii="Segoe UI" w:hAnsi="Segoe UI"/>
          <w:b/>
          <w:i w:val="0"/>
          <w:sz w:val="21"/>
        </w:rPr>
        <w:t>"Jeet ka naam, Sarsabz Ke Sultan"</w:t>
      </w:r>
      <w:r>
        <w:rPr>
          <w:rFonts w:ascii="Segoe UI" w:hAnsi="Segoe UI"/>
          <w:b w:val="0"/>
          <w:i w:val="0"/>
          <w:sz w:val="21"/>
        </w:rPr>
        <w:t>: a cricket team (22 uploads, 10.1M)</w:t>
      </w:r>
    </w:p>
    <w:p>
      <w:pPr>
        <w:spacing w:after="120"/>
      </w:pPr>
      <w:r>
        <w:rPr>
          <w:rFonts w:ascii="Segoe UI" w:hAnsi="Segoe UI"/>
          <w:b w:val="0"/>
          <w:i w:val="0"/>
          <w:sz w:val="21"/>
        </w:rPr>
        <w:t xml:space="preserve">A farmer watching all three learns that with Sarsabz you win a competition, a raffle or a cricket match. Only the first is evidence for the product. </w:t>
      </w:r>
      <w:r>
        <w:rPr>
          <w:rFonts w:ascii="Segoe UI" w:hAnsi="Segoe UI"/>
          <w:b/>
          <w:i w:val="0"/>
          <w:sz w:val="21"/>
        </w:rPr>
        <w:t>This is the clearest brand-consistency finding in the audit</w:t>
      </w:r>
      <w:r>
        <w:rPr>
          <w:rFonts w:ascii="Segoe UI" w:hAnsi="Segoe UI"/>
          <w:b w:val="0"/>
          <w:i w:val="0"/>
          <w:sz w:val="21"/>
        </w:rPr>
        <w:t xml:space="preserve"> and a direct answer to the brief's consistency question (p.13).</w:t>
      </w:r>
    </w:p>
    <w:p>
      <w:pPr>
        <w:pStyle w:val="Heading2"/>
      </w:pPr>
      <w:r>
        <w:rPr>
          <w:rFonts w:ascii="Segoe UI" w:hAnsi="Segoe UI"/>
          <w:b/>
          <w:i w:val="0"/>
          <w:color w:val="1B7A3A"/>
          <w:sz w:val="26"/>
        </w:rPr>
        <w:t>3.5 Who the brand talks to, by volume and by weight</w:t>
      </w:r>
    </w:p>
    <w:p>
      <w:pPr>
        <w:pStyle w:val="ListBullet"/>
        <w:spacing w:after="60"/>
      </w:pPr>
      <w:r>
        <w:rPr>
          <w:rFonts w:ascii="Segoe UI" w:hAnsi="Segoe UI"/>
          <w:b/>
          <w:i w:val="0"/>
          <w:sz w:val="21"/>
        </w:rPr>
        <w:t>46% of uploads are cast young (Gen Z, inferred from casting): Multan Sultans and the Dil Se Dekho UGC contest. They carry 10% of views.</w:t>
      </w:r>
      <w:r>
        <w:rPr>
          <w:rFonts w:ascii="Segoe UI" w:hAnsi="Segoe UI"/>
          <w:b w:val="0"/>
          <w:i w:val="0"/>
          <w:sz w:val="21"/>
        </w:rPr>
        <w:t xml:space="preserve"> Most of the channel's output by count is low-cost, youth-facing template and contest content.</w:t>
      </w:r>
    </w:p>
    <w:p>
      <w:pPr>
        <w:pStyle w:val="ListBullet"/>
        <w:spacing w:after="60"/>
      </w:pPr>
      <w:r>
        <w:rPr>
          <w:rFonts w:ascii="Segoe UI" w:hAnsi="Segoe UI"/>
          <w:b w:val="0"/>
          <w:i w:val="0"/>
          <w:sz w:val="21"/>
        </w:rPr>
        <w:t>The weight goes to farmer-aged casting: the yield films and Ki Jeet. The core target in the guidelines is male farmers 25-55 with 12-150+ acres (p.23).</w:t>
      </w:r>
    </w:p>
    <w:p>
      <w:pPr>
        <w:pStyle w:val="ListBullet"/>
        <w:spacing w:after="60"/>
      </w:pPr>
      <w:r>
        <w:rPr>
          <w:rFonts w:ascii="Segoe UI" w:hAnsi="Segoe UI"/>
          <w:b/>
          <w:i w:val="0"/>
          <w:sz w:val="21"/>
        </w:rPr>
        <w:t>Salam Kissan 2025 has already turned urban:</w:t>
      </w:r>
      <w:r>
        <w:rPr>
          <w:rFonts w:ascii="Segoe UI" w:hAnsi="Segoe UI"/>
          <w:b w:val="0"/>
          <w:i w:val="0"/>
          <w:sz w:val="21"/>
        </w:rPr>
        <w:t xml:space="preserve"> a food blogger (Ali Rehman, 4.0M) and an urban woman at a dining table ("behind every meal", 5.4M). That's relevant to Case 1's "rural and urban" ask and worth crediting.</w:t>
      </w:r>
    </w:p>
    <w:p>
      <w:pPr>
        <w:pStyle w:val="ListBullet"/>
        <w:spacing w:after="60"/>
      </w:pPr>
      <w:r>
        <w:rPr>
          <w:rFonts w:ascii="Segoe UI" w:hAnsi="Segoe UI"/>
          <w:b/>
          <w:i w:val="0"/>
          <w:sz w:val="21"/>
        </w:rPr>
        <w:t>The engagement assets are invisible.</w:t>
      </w:r>
      <w:r>
        <w:rPr>
          <w:rFonts w:ascii="Segoe UI" w:hAnsi="Segoe UI"/>
          <w:b w:val="0"/>
          <w:i w:val="0"/>
          <w:sz w:val="21"/>
        </w:rPr>
        <w:t xml:space="preserve"> The Sarsabz Pakistan App (800K+ downloads, p.7) and Sarsabz AgriMart appear in 3 uploads with under 2,000 views combined.</w:t>
      </w:r>
    </w:p>
    <w:p>
      <w:pPr>
        <w:pStyle w:val="Heading2"/>
      </w:pPr>
      <w:r>
        <w:rPr>
          <w:rFonts w:ascii="Segoe UI" w:hAnsi="Segoe UI"/>
          <w:b/>
          <w:i w:val="0"/>
          <w:color w:val="1B7A3A"/>
          <w:sz w:val="26"/>
        </w:rPr>
        <w:t xml:space="preserve">3.6 Identity drift across signatures </w:t>
      </w:r>
      <w:r>
        <w:rPr>
          <w:rFonts w:ascii="Segoe UI" w:hAnsi="Segoe UI"/>
          <w:b/>
          <w:i/>
          <w:color w:val="1B7A3A"/>
          <w:sz w:val="26"/>
        </w:rPr>
        <w:t>(provisional: needs the Facebook/TikTok read)</w:t>
      </w:r>
    </w:p>
    <w:p>
      <w:pPr>
        <w:spacing w:after="120"/>
      </w:pPr>
      <w:r>
        <w:rPr>
          <w:rFonts w:ascii="Segoe UI" w:hAnsi="Segoe UI"/>
          <w:b w:val="0"/>
          <w:i w:val="0"/>
          <w:sz w:val="21"/>
        </w:rPr>
        <w:t xml:space="preserve">On thumbnails alone the brand signs as </w:t>
      </w:r>
      <w:r>
        <w:rPr>
          <w:rFonts w:ascii="Segoe UI" w:hAnsi="Segoe UI"/>
          <w:b/>
          <w:i w:val="0"/>
          <w:sz w:val="21"/>
        </w:rPr>
        <w:t>Fatima</w:t>
      </w:r>
      <w:r>
        <w:rPr>
          <w:rFonts w:ascii="Segoe UI" w:hAnsi="Segoe UI"/>
          <w:b w:val="0"/>
          <w:i w:val="0"/>
          <w:sz w:val="21"/>
        </w:rPr>
        <w:t xml:space="preserve">, </w:t>
      </w:r>
      <w:r>
        <w:rPr>
          <w:rFonts w:ascii="Segoe UI" w:hAnsi="Segoe UI"/>
          <w:b/>
          <w:i w:val="0"/>
          <w:sz w:val="21"/>
        </w:rPr>
        <w:t>Fatima Fertilizer</w:t>
      </w:r>
      <w:r>
        <w:rPr>
          <w:rFonts w:ascii="Segoe UI" w:hAnsi="Segoe UI"/>
          <w:b w:val="0"/>
          <w:i w:val="0"/>
          <w:sz w:val="21"/>
        </w:rPr>
        <w:t xml:space="preserve">, </w:t>
      </w:r>
      <w:r>
        <w:rPr>
          <w:rFonts w:ascii="Segoe UI" w:hAnsi="Segoe UI"/>
          <w:b/>
          <w:i w:val="0"/>
          <w:sz w:val="21"/>
        </w:rPr>
        <w:t>Sarsabz</w:t>
      </w:r>
      <w:r>
        <w:rPr>
          <w:rFonts w:ascii="Segoe UI" w:hAnsi="Segoe UI"/>
          <w:b w:val="0"/>
          <w:i w:val="0"/>
          <w:sz w:val="21"/>
        </w:rPr>
        <w:t xml:space="preserve">, </w:t>
      </w:r>
      <w:r>
        <w:rPr>
          <w:rFonts w:ascii="Segoe UI" w:hAnsi="Segoe UI"/>
          <w:b/>
          <w:i w:val="0"/>
          <w:sz w:val="21"/>
        </w:rPr>
        <w:t>Sarsabz Pakistan</w:t>
      </w:r>
      <w:r>
        <w:rPr>
          <w:rFonts w:ascii="Segoe UI" w:hAnsi="Segoe UI"/>
          <w:b w:val="0"/>
          <w:i w:val="0"/>
          <w:sz w:val="21"/>
        </w:rPr>
        <w:t xml:space="preserve"> and </w:t>
      </w:r>
      <w:r>
        <w:rPr>
          <w:rFonts w:ascii="Segoe UI" w:hAnsi="Segoe UI"/>
          <w:b/>
          <w:i w:val="0"/>
          <w:sz w:val="21"/>
        </w:rPr>
        <w:t>Sarsabz Fertilizers</w:t>
      </w:r>
      <w:r>
        <w:rPr>
          <w:rFonts w:ascii="Segoe UI" w:hAnsi="Segoe UI"/>
          <w:b w:val="0"/>
          <w:i w:val="0"/>
          <w:sz w:val="21"/>
        </w:rPr>
        <w:t>. It also carries separate marks for Salam Kissan, Sarsabz Tabeer and Multan Sultans. Women's Day 2025 is signed Fatima Fertilizer; Women's Day 2026 is signed Sarsabz Tabeer. Two lines are in use: "Zameen ki Jaan, Fasal ki Shaan" (11 of 90 descriptions, mostly the product films) and the guideline essence "Feeding the Soil, Fueling the Future" (in no title or description across all 401 uploads).</w:t>
      </w:r>
    </w:p>
    <w:p>
      <w:pPr>
        <w:pStyle w:val="Heading1"/>
      </w:pPr>
      <w:r>
        <w:rPr>
          <w:rFonts w:ascii="Segoe UI" w:hAnsi="Segoe UI"/>
          <w:b/>
          <w:i w:val="0"/>
          <w:color w:val="2E2B6F"/>
          <w:sz w:val="32"/>
        </w:rPr>
        <w:t>4. Sarsabz Ki Jeet: can the wins be authentic proof for the yield promise?</w:t>
      </w:r>
    </w:p>
    <w:p>
      <w:pPr>
        <w:spacing w:after="120"/>
      </w:pPr>
      <w:r>
        <w:rPr>
          <w:rFonts w:ascii="Segoe UI" w:hAnsi="Segoe UI"/>
          <w:b/>
          <w:i w:val="0"/>
          <w:sz w:val="21"/>
        </w:rPr>
        <w:t>Yes, but only if the claim is cut back to what the competition actually shows. Right now it overclaims in a way a rival or regulator could challenge.</w:t>
      </w:r>
    </w:p>
    <w:p>
      <w:pPr>
        <w:spacing w:after="120"/>
      </w:pPr>
      <w:r>
        <w:rPr>
          <w:rFonts w:ascii="Segoe UI" w:hAnsi="Segoe UI"/>
          <w:b w:val="0"/>
          <w:i w:val="0"/>
          <w:sz w:val="21"/>
        </w:rPr>
        <w:t>What the competition shows, and it's strong:</w:t>
      </w:r>
    </w:p>
    <w:p>
      <w:pPr>
        <w:pStyle w:val="ListBullet"/>
        <w:spacing w:after="60"/>
      </w:pPr>
      <w:r>
        <w:rPr>
          <w:rFonts w:ascii="Segoe UI" w:hAnsi="Segoe UI"/>
          <w:b/>
          <w:i w:val="0"/>
          <w:sz w:val="21"/>
        </w:rPr>
        <w:t>Yields far above normal.</w:t>
      </w:r>
      <w:r>
        <w:rPr>
          <w:rFonts w:ascii="Segoe UI" w:hAnsi="Segoe UI"/>
          <w:b w:val="0"/>
          <w:i w:val="0"/>
          <w:sz w:val="21"/>
        </w:rPr>
        <w:t xml:space="preserve"> The provincial winners in the films report 69 maunds 38 kg, 69 maunds 35 kg and 69 maunds 29 kg per acre (Jhang, Kasur, DG Khan; video descriptions). Pakistan's national wheat yield in 2023-24 was 3,264 kg/ha, about </w:t>
      </w:r>
      <w:r>
        <w:rPr>
          <w:rFonts w:ascii="Segoe UI" w:hAnsi="Segoe UI"/>
          <w:b/>
          <w:i w:val="0"/>
          <w:sz w:val="21"/>
        </w:rPr>
        <w:t>33 maunds/acre</w:t>
      </w:r>
      <w:r>
        <w:rPr>
          <w:rFonts w:ascii="Segoe UI" w:hAnsi="Segoe UI"/>
          <w:b w:val="0"/>
          <w:i w:val="0"/>
          <w:sz w:val="21"/>
        </w:rPr>
        <w:t xml:space="preserve"> (Economic Survey 2023-24, Table 2.5, provisional). </w:t>
      </w:r>
      <w:r>
        <w:rPr>
          <w:rFonts w:ascii="Segoe UI" w:hAnsi="Segoe UI"/>
          <w:b/>
          <w:i w:val="0"/>
          <w:sz w:val="21"/>
        </w:rPr>
        <w:t>The winners grew roughly 2.1× the national average.</w:t>
      </w:r>
    </w:p>
    <w:p>
      <w:pPr>
        <w:pStyle w:val="ListBullet"/>
        <w:spacing w:after="60"/>
      </w:pPr>
      <w:r>
        <w:rPr>
          <w:rFonts w:ascii="Segoe UI" w:hAnsi="Segoe UI"/>
          <w:b/>
          <w:i w:val="0"/>
          <w:sz w:val="21"/>
        </w:rPr>
        <w:t>Breadth.</w:t>
      </w:r>
      <w:r>
        <w:rPr>
          <w:rFonts w:ascii="Segoe UI" w:hAnsi="Segoe UI"/>
          <w:b w:val="0"/>
          <w:i w:val="0"/>
          <w:sz w:val="21"/>
        </w:rPr>
        <w:t xml:space="preserve"> "40 mein se 34 azlaa mein hui Sarsabz kissanon ki jeet": wins in 34 of 40 districts (video descriptions).</w:t>
      </w:r>
    </w:p>
    <w:p>
      <w:pPr>
        <w:pStyle w:val="ListBullet"/>
        <w:spacing w:after="60"/>
      </w:pPr>
      <w:r>
        <w:rPr>
          <w:rFonts w:ascii="Segoe UI" w:hAnsi="Segoe UI"/>
          <w:b/>
          <w:i w:val="0"/>
          <w:sz w:val="21"/>
        </w:rPr>
        <w:t>Third-party adjudication.</w:t>
      </w:r>
      <w:r>
        <w:rPr>
          <w:rFonts w:ascii="Segoe UI" w:hAnsi="Segoe UI"/>
          <w:b w:val="0"/>
          <w:i w:val="0"/>
          <w:sz w:val="21"/>
        </w:rPr>
        <w:t xml:space="preserve"> It's a Punjab Agriculture Department competition, and the Department's Secretary co-presented the prizes (Dawn advertorial, 11 Nov 2025).</w:t>
      </w:r>
    </w:p>
    <w:p>
      <w:pPr>
        <w:spacing w:after="120"/>
      </w:pPr>
      <w:r>
        <w:rPr>
          <w:rFonts w:ascii="Segoe UI" w:hAnsi="Segoe UI"/>
          <w:b w:val="0"/>
          <w:i w:val="0"/>
          <w:sz w:val="21"/>
        </w:rPr>
        <w:t>Where it overreaches:</w:t>
      </w:r>
    </w:p>
    <w:p>
      <w:pPr>
        <w:pStyle w:val="ListNumber"/>
        <w:spacing w:after="60"/>
      </w:pPr>
      <w:r>
        <w:rPr>
          <w:rFonts w:ascii="Segoe UI" w:hAnsi="Segoe UI"/>
          <w:b/>
          <w:i w:val="0"/>
          <w:sz w:val="21"/>
        </w:rPr>
        <w:t>"Sabit kar diya ke... 10% se bhi ziyada paidawaar"</w:t>
      </w:r>
      <w:r>
        <w:rPr>
          <w:rFonts w:ascii="Segoe UI" w:hAnsi="Segoe UI"/>
          <w:b w:val="0"/>
          <w:i w:val="0"/>
          <w:sz w:val="21"/>
        </w:rPr>
        <w:t xml:space="preserve"> (#41, 7.5M views). A competition win shows a very high yield, not a 10% difference against a comparison. The 10% comes from paired demo plots. The film joins two different pieces of evidence and presents one as proof of the other. </w:t>
      </w:r>
      <w:r>
        <w:rPr>
          <w:rFonts w:ascii="Segoe UI" w:hAnsi="Segoe UI"/>
          <w:b/>
          <w:i w:val="0"/>
          <w:sz w:val="21"/>
        </w:rPr>
        <w:t>Oddly, it undersells:</w:t>
      </w:r>
      <w:r>
        <w:rPr>
          <w:rFonts w:ascii="Segoe UI" w:hAnsi="Segoe UI"/>
          <w:b w:val="0"/>
          <w:i w:val="0"/>
          <w:sz w:val="21"/>
        </w:rPr>
        <w:t xml:space="preserve"> "double the national average" is a bigger and more defensible statement than "10%".</w:t>
      </w:r>
    </w:p>
    <w:p>
      <w:pPr>
        <w:pStyle w:val="ListNumber"/>
        <w:spacing w:after="60"/>
      </w:pPr>
      <w:r>
        <w:rPr>
          <w:rFonts w:ascii="Segoe UI" w:hAnsi="Segoe UI"/>
          <w:b/>
          <w:i w:val="0"/>
          <w:sz w:val="21"/>
        </w:rPr>
        <w:t>"All achieved through the use of Sarsabz Nitrophos and Sarsabz CAN"</w:t>
      </w:r>
      <w:r>
        <w:rPr>
          <w:rFonts w:ascii="Segoe UI" w:hAnsi="Segoe UI"/>
          <w:b w:val="0"/>
          <w:i w:val="0"/>
          <w:sz w:val="21"/>
        </w:rPr>
        <w:t xml:space="preserve"> (Dawn </w:t>
      </w:r>
      <w:r>
        <w:rPr>
          <w:rFonts w:ascii="Segoe UI" w:hAnsi="Segoe UI"/>
          <w:b w:val="0"/>
          <w:i/>
          <w:sz w:val="21"/>
        </w:rPr>
        <w:t>advertorial</w:t>
      </w:r>
      <w:r>
        <w:rPr>
          <w:rFonts w:ascii="Segoe UI" w:hAnsi="Segoe UI"/>
          <w:b w:val="0"/>
          <w:i w:val="0"/>
          <w:sz w:val="21"/>
        </w:rPr>
        <w:t xml:space="preserve">, paid, 11 Nov 2025: provincial top three plus "97 top three district-level positions"). Dawn's </w:t>
      </w:r>
      <w:r>
        <w:rPr>
          <w:rFonts w:ascii="Segoe UI" w:hAnsi="Segoe UI"/>
          <w:b/>
          <w:i w:val="0"/>
          <w:sz w:val="21"/>
        </w:rPr>
        <w:t>independent</w:t>
      </w:r>
      <w:r>
        <w:rPr>
          <w:rFonts w:ascii="Segoe UI" w:hAnsi="Segoe UI"/>
          <w:b w:val="0"/>
          <w:i w:val="0"/>
          <w:sz w:val="21"/>
        </w:rPr>
        <w:t xml:space="preserve"> report of 3 Aug 2025 quotes the Chakwal district first-place winner describing his inputs as </w:t>
      </w:r>
      <w:r>
        <w:rPr>
          <w:rFonts w:ascii="Segoe UI" w:hAnsi="Segoe UI"/>
          <w:b/>
          <w:i w:val="0"/>
          <w:sz w:val="21"/>
        </w:rPr>
        <w:t>urea and DAP</w:t>
      </w:r>
      <w:r>
        <w:rPr>
          <w:rFonts w:ascii="Segoe UI" w:hAnsi="Segoe UI"/>
          <w:b w:val="0"/>
          <w:i w:val="0"/>
          <w:sz w:val="21"/>
        </w:rPr>
        <w:t xml:space="preserve">. That doesn't contradict "34 of 40 districts". It does mean any version saying </w:t>
      </w:r>
      <w:r>
        <w:rPr>
          <w:rFonts w:ascii="Segoe UI" w:hAnsi="Segoe UI"/>
          <w:b w:val="0"/>
          <w:i/>
          <w:sz w:val="21"/>
        </w:rPr>
        <w:t>all</w:t>
      </w:r>
      <w:r>
        <w:rPr>
          <w:rFonts w:ascii="Segoe UI" w:hAnsi="Segoe UI"/>
          <w:b w:val="0"/>
          <w:i w:val="0"/>
          <w:sz w:val="21"/>
        </w:rPr>
        <w:t xml:space="preserve"> winners, or naming a district without checking, is exposed.</w:t>
      </w:r>
    </w:p>
    <w:p>
      <w:pPr>
        <w:pStyle w:val="ListNumber"/>
        <w:spacing w:after="60"/>
      </w:pPr>
      <w:r>
        <w:rPr>
          <w:rFonts w:ascii="Segoe UI" w:hAnsi="Segoe UI"/>
          <w:b/>
          <w:i w:val="0"/>
          <w:sz w:val="21"/>
        </w:rPr>
        <w:t>Inconsistent numbers across channels:</w:t>
      </w:r>
      <w:r>
        <w:rPr>
          <w:rFonts w:ascii="Segoe UI" w:hAnsi="Segoe UI"/>
          <w:b w:val="0"/>
          <w:i w:val="0"/>
          <w:sz w:val="21"/>
        </w:rPr>
        <w:t xml:space="preserve"> "97 district positions" (press) vs "34 of 40 districts" (films). Pick one, keep the source list, and use it everywhere.</w:t>
      </w:r>
    </w:p>
    <w:p>
      <w:pPr>
        <w:pStyle w:val="ListNumber"/>
        <w:spacing w:after="60"/>
      </w:pPr>
      <w:r>
        <w:rPr>
          <w:rFonts w:ascii="Segoe UI" w:hAnsi="Segoe UI"/>
          <w:b/>
          <w:i w:val="0"/>
          <w:sz w:val="21"/>
        </w:rPr>
        <w:t>It proves wheat in Punjab only.</w:t>
      </w:r>
      <w:r>
        <w:rPr>
          <w:rFonts w:ascii="Segoe UI" w:hAnsi="Segoe UI"/>
          <w:b w:val="0"/>
          <w:i w:val="0"/>
          <w:sz w:val="21"/>
        </w:rPr>
        <w:t xml:space="preserve"> The same 10% is asserted for rice, cotton, maize and sugarcane with no equivalent proof, and Sindh (half the core target, p.23) has no Ki Jeet equivalent.</w:t>
      </w:r>
    </w:p>
    <w:p>
      <w:pPr>
        <w:pStyle w:val="ListNumber"/>
        <w:spacing w:after="60"/>
      </w:pPr>
      <w:r>
        <w:rPr>
          <w:rFonts w:ascii="Segoe UI" w:hAnsi="Segoe UI"/>
          <w:b/>
          <w:i w:val="0"/>
          <w:sz w:val="21"/>
        </w:rPr>
        <w:t>Verification.</w:t>
      </w:r>
      <w:r>
        <w:rPr>
          <w:rFonts w:ascii="Segoe UI" w:hAnsi="Segoe UI"/>
          <w:b w:val="0"/>
          <w:i w:val="0"/>
          <w:sz w:val="21"/>
        </w:rPr>
        <w:t xml:space="preserve"> The official results page (agripunjab.gov.pk/wheat-yield-competition-result) couldn't be reached from here. The client should hold the input records for every winner cited.</w:t>
      </w:r>
    </w:p>
    <w:p>
      <w:pPr>
        <w:spacing w:after="120"/>
      </w:pPr>
      <w:r>
        <w:rPr>
          <w:rFonts w:ascii="Segoe UI" w:hAnsi="Segoe UI"/>
          <w:b/>
          <w:i w:val="0"/>
          <w:sz w:val="21"/>
        </w:rPr>
        <w:t>Recommendation for the tactical campaign:</w:t>
      </w:r>
      <w:r>
        <w:rPr>
          <w:rFonts w:ascii="Segoe UI" w:hAnsi="Segoe UI"/>
          <w:b w:val="0"/>
          <w:i w:val="0"/>
          <w:sz w:val="21"/>
        </w:rPr>
        <w:t xml:space="preserve"> use Ki Jeet as </w:t>
      </w:r>
      <w:r>
        <w:rPr>
          <w:rFonts w:ascii="Segoe UI" w:hAnsi="Segoe UI"/>
          <w:b w:val="0"/>
          <w:i/>
          <w:sz w:val="21"/>
        </w:rPr>
        <w:t>aspiration proof</w:t>
      </w:r>
      <w:r>
        <w:rPr>
          <w:rFonts w:ascii="Segoe UI" w:hAnsi="Segoe UI"/>
          <w:b w:val="0"/>
          <w:i w:val="0"/>
          <w:sz w:val="21"/>
        </w:rPr>
        <w:t xml:space="preserve"> (named farmers, their district, their maunds per acre, against the national average). Carry the 10% on </w:t>
      </w:r>
      <w:r>
        <w:rPr>
          <w:rFonts w:ascii="Segoe UI" w:hAnsi="Segoe UI"/>
          <w:b w:val="0"/>
          <w:i/>
          <w:sz w:val="21"/>
        </w:rPr>
        <w:t>comparison proof</w:t>
      </w:r>
      <w:r>
        <w:rPr>
          <w:rFonts w:ascii="Segoe UI" w:hAnsi="Segoe UI"/>
          <w:b w:val="0"/>
          <w:i w:val="0"/>
          <w:sz w:val="21"/>
        </w:rPr>
        <w:t xml:space="preserve"> (the demo plots, shown as plots). Never let one stand in for the other.</w:t>
      </w:r>
    </w:p>
    <w:p>
      <w:pPr>
        <w:pStyle w:val="Heading1"/>
      </w:pPr>
      <w:r>
        <w:rPr>
          <w:rFonts w:ascii="Segoe UI" w:hAnsi="Segoe UI"/>
          <w:b/>
          <w:i w:val="0"/>
          <w:color w:val="2E2B6F"/>
          <w:sz w:val="32"/>
        </w:rPr>
        <w:t>5. Answers to the nine things the brief asks for (p.13)</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Brief asks</w:t>
            </w:r>
          </w:p>
        </w:tc>
        <w:tc>
          <w:tcPr>
            <w:tcW w:type="dxa" w:w="2880"/>
          </w:tcPr>
          <w:p>
            <w:r/>
            <w:r>
              <w:rPr>
                <w:rFonts w:ascii="Segoe UI" w:hAnsi="Segoe UI"/>
                <w:b/>
                <w:i w:val="0"/>
                <w:sz w:val="18"/>
              </w:rPr>
              <w:t>Position now</w:t>
            </w:r>
          </w:p>
        </w:tc>
        <w:tc>
          <w:tcPr>
            <w:tcW w:type="dxa" w:w="2880"/>
          </w:tcPr>
          <w:p>
            <w:r/>
            <w:r>
              <w:rPr>
                <w:rFonts w:ascii="Segoe UI" w:hAnsi="Segoe UI"/>
                <w:b/>
                <w:i w:val="0"/>
                <w:sz w:val="18"/>
              </w:rPr>
              <w:t>Confidence</w:t>
            </w:r>
          </w:p>
        </w:tc>
      </w:tr>
      <w:tr>
        <w:tc>
          <w:tcPr>
            <w:tcW w:type="dxa" w:w="2880"/>
          </w:tcPr>
          <w:p>
            <w:r/>
            <w:r>
              <w:rPr>
                <w:rFonts w:ascii="Segoe UI" w:hAnsi="Segoe UI"/>
                <w:b w:val="0"/>
                <w:i w:val="0"/>
                <w:sz w:val="18"/>
              </w:rPr>
              <w:t>Opportunities to strengthen positioning</w:t>
            </w:r>
          </w:p>
        </w:tc>
        <w:tc>
          <w:tcPr>
            <w:tcW w:type="dxa" w:w="2880"/>
          </w:tcPr>
          <w:p>
            <w:r/>
            <w:r>
              <w:rPr>
                <w:rFonts w:ascii="Segoe UI" w:hAnsi="Segoe UI"/>
                <w:b w:val="0"/>
                <w:i w:val="0"/>
                <w:sz w:val="18"/>
              </w:rPr>
              <w:t>Move "Experts" from a pillar to a demonstrated behaviour: show the evidence, not the badge</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Areas of improvement in communication</w:t>
            </w:r>
          </w:p>
        </w:tc>
        <w:tc>
          <w:tcPr>
            <w:tcW w:type="dxa" w:w="2880"/>
          </w:tcPr>
          <w:p>
            <w:r/>
            <w:r>
              <w:rPr>
                <w:rFonts w:ascii="Segoe UI" w:hAnsi="Segoe UI"/>
                <w:b w:val="0"/>
                <w:i w:val="0"/>
                <w:sz w:val="18"/>
              </w:rPr>
              <w:t>Proof is missing from 10 of 11 yield films; long cuts unfunded; price argument absent</w:t>
            </w:r>
          </w:p>
        </w:tc>
        <w:tc>
          <w:tcPr>
            <w:tcW w:type="dxa" w:w="2880"/>
          </w:tcPr>
          <w:p>
            <w:r/>
            <w:r>
              <w:rPr>
                <w:rFonts w:ascii="Segoe UI" w:hAnsi="Segoe UI"/>
                <w:b/>
                <w:i w:val="0"/>
                <w:sz w:val="18"/>
              </w:rPr>
              <w:t>high</w:t>
            </w:r>
            <w:r>
              <w:rPr>
                <w:rFonts w:ascii="Segoe UI" w:hAnsi="Segoe UI"/>
                <w:b w:val="0"/>
                <w:i w:val="0"/>
                <w:sz w:val="18"/>
              </w:rPr>
              <w:t xml:space="preserve"> (coded)</w:t>
            </w:r>
          </w:p>
        </w:tc>
      </w:tr>
      <w:tr>
        <w:tc>
          <w:tcPr>
            <w:tcW w:type="dxa" w:w="2880"/>
          </w:tcPr>
          <w:p>
            <w:r/>
            <w:r>
              <w:rPr>
                <w:rFonts w:ascii="Segoe UI" w:hAnsi="Segoe UI"/>
                <w:b w:val="0"/>
                <w:i w:val="0"/>
                <w:sz w:val="18"/>
              </w:rPr>
              <w:t>New creative territories</w:t>
            </w:r>
          </w:p>
        </w:tc>
        <w:tc>
          <w:tcPr>
            <w:tcW w:type="dxa" w:w="2880"/>
          </w:tcPr>
          <w:p>
            <w:r/>
            <w:r>
              <w:rPr>
                <w:rFonts w:ascii="Segoe UI" w:hAnsi="Segoe UI"/>
                <w:b w:val="0"/>
                <w:i/>
                <w:sz w:val="18"/>
              </w:rPr>
              <w:t>Pending the competitor scan.</w:t>
            </w:r>
            <w:r>
              <w:rPr>
                <w:rFonts w:ascii="Segoe UI" w:hAnsi="Segoe UI"/>
                <w:b w:val="0"/>
                <w:i w:val="0"/>
                <w:sz w:val="18"/>
              </w:rPr>
              <w:t xml:space="preserve"> Candidates: the cost-per-maund argument; the farmer's own field as the proof site</w:t>
            </w:r>
          </w:p>
        </w:tc>
        <w:tc>
          <w:tcPr>
            <w:tcW w:type="dxa" w:w="2880"/>
          </w:tcPr>
          <w:p>
            <w:r/>
            <w:r>
              <w:rPr>
                <w:rFonts w:ascii="Segoe UI" w:hAnsi="Segoe UI"/>
                <w:b w:val="0"/>
                <w:i w:val="0"/>
                <w:sz w:val="18"/>
              </w:rPr>
              <w:t>low</w:t>
            </w:r>
          </w:p>
        </w:tc>
      </w:tr>
      <w:tr>
        <w:tc>
          <w:tcPr>
            <w:tcW w:type="dxa" w:w="2880"/>
          </w:tcPr>
          <w:p>
            <w:r/>
            <w:r>
              <w:rPr>
                <w:rFonts w:ascii="Segoe UI" w:hAnsi="Segoe UI"/>
                <w:b w:val="0"/>
                <w:i w:val="0"/>
                <w:sz w:val="18"/>
              </w:rPr>
              <w:t>Emotional + functional connection</w:t>
            </w:r>
          </w:p>
        </w:tc>
        <w:tc>
          <w:tcPr>
            <w:tcW w:type="dxa" w:w="2880"/>
          </w:tcPr>
          <w:p>
            <w:r/>
            <w:r>
              <w:rPr>
                <w:rFonts w:ascii="Segoe UI" w:hAnsi="Segoe UI"/>
                <w:b w:val="0"/>
                <w:i w:val="0"/>
                <w:sz w:val="18"/>
              </w:rPr>
              <w:t>Ki Jeet already fuses them (pride + result); extend beyond wheat and Punjab</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Brand consistency across touchpoints</w:t>
            </w:r>
          </w:p>
        </w:tc>
        <w:tc>
          <w:tcPr>
            <w:tcW w:type="dxa" w:w="2880"/>
          </w:tcPr>
          <w:p>
            <w:r/>
            <w:r>
              <w:rPr>
                <w:rFonts w:ascii="Segoe UI" w:hAnsi="Segoe UI"/>
                <w:b w:val="0"/>
                <w:i w:val="0"/>
                <w:sz w:val="18"/>
              </w:rPr>
              <w:t>Reclaim "Jeet" for yield only; one signature; one line</w:t>
            </w:r>
          </w:p>
        </w:tc>
        <w:tc>
          <w:tcPr>
            <w:tcW w:type="dxa" w:w="2880"/>
          </w:tcPr>
          <w:p>
            <w:r/>
            <w:r>
              <w:rPr>
                <w:rFonts w:ascii="Segoe UI" w:hAnsi="Segoe UI"/>
                <w:b/>
                <w:i w:val="0"/>
                <w:sz w:val="18"/>
              </w:rPr>
              <w:t>high</w:t>
            </w:r>
            <w:r>
              <w:rPr>
                <w:rFonts w:ascii="Segoe UI" w:hAnsi="Segoe UI"/>
                <w:b w:val="0"/>
                <w:i w:val="0"/>
                <w:sz w:val="18"/>
              </w:rPr>
              <w:t xml:space="preserve"> (coded)</w:t>
            </w:r>
          </w:p>
        </w:tc>
      </w:tr>
      <w:tr>
        <w:tc>
          <w:tcPr>
            <w:tcW w:type="dxa" w:w="2880"/>
          </w:tcPr>
          <w:p>
            <w:r/>
            <w:r>
              <w:rPr>
                <w:rFonts w:ascii="Segoe UI" w:hAnsi="Segoe UI"/>
                <w:b w:val="0"/>
                <w:i w:val="0"/>
                <w:sz w:val="18"/>
              </w:rPr>
              <w:t>Can Ki Jeet be authentic proof</w:t>
            </w:r>
          </w:p>
        </w:tc>
        <w:tc>
          <w:tcPr>
            <w:tcW w:type="dxa" w:w="2880"/>
          </w:tcPr>
          <w:p>
            <w:r/>
            <w:r>
              <w:rPr>
                <w:rFonts w:ascii="Segoe UI" w:hAnsi="Segoe UI"/>
                <w:b w:val="0"/>
                <w:i w:val="0"/>
                <w:sz w:val="18"/>
              </w:rPr>
              <w:t>Yes, as aspiration proof with the claim corrected (§4)</w:t>
            </w:r>
          </w:p>
        </w:tc>
        <w:tc>
          <w:tcPr>
            <w:tcW w:type="dxa" w:w="2880"/>
          </w:tcPr>
          <w:p>
            <w:r/>
            <w:r>
              <w:rPr>
                <w:rFonts w:ascii="Segoe UI" w:hAnsi="Segoe UI"/>
                <w:b/>
                <w:i w:val="0"/>
                <w:sz w:val="18"/>
              </w:rPr>
              <w:t>high</w:t>
            </w:r>
            <w:r>
              <w:rPr>
                <w:rFonts w:ascii="Segoe UI" w:hAnsi="Segoe UI"/>
                <w:b w:val="0"/>
                <w:i w:val="0"/>
                <w:sz w:val="18"/>
              </w:rPr>
              <w:t xml:space="preserve"> (sourced)</w:t>
            </w:r>
          </w:p>
        </w:tc>
      </w:tr>
      <w:tr>
        <w:tc>
          <w:tcPr>
            <w:tcW w:type="dxa" w:w="2880"/>
          </w:tcPr>
          <w:p>
            <w:r/>
            <w:r>
              <w:rPr>
                <w:rFonts w:ascii="Segoe UI" w:hAnsi="Segoe UI"/>
                <w:b w:val="0"/>
                <w:i w:val="0"/>
                <w:sz w:val="18"/>
              </w:rPr>
              <w:t>An identified brand or business challenge</w:t>
            </w:r>
          </w:p>
        </w:tc>
        <w:tc>
          <w:tcPr>
            <w:tcW w:type="dxa" w:w="2880"/>
          </w:tcPr>
          <w:p>
            <w:r/>
            <w:r>
              <w:rPr>
                <w:rFonts w:ascii="Segoe UI" w:hAnsi="Segoe UI"/>
                <w:b w:val="0"/>
                <w:i w:val="0"/>
                <w:sz w:val="18"/>
              </w:rPr>
              <w:t>Specialty volumes swing with DAP price; plus TOM 22% vs Competitor 1 at 62% (p.29)</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Strengthen leadership</w:t>
            </w:r>
          </w:p>
        </w:tc>
        <w:tc>
          <w:tcPr>
            <w:tcW w:type="dxa" w:w="2880"/>
          </w:tcPr>
          <w:p>
            <w:r/>
            <w:r>
              <w:rPr>
                <w:rFonts w:ascii="Segoe UI" w:hAnsi="Segoe UI"/>
                <w:b w:val="0"/>
                <w:i w:val="0"/>
                <w:sz w:val="18"/>
              </w:rPr>
              <w:t xml:space="preserve">Lead the </w:t>
            </w:r>
            <w:r>
              <w:rPr>
                <w:rFonts w:ascii="Segoe UI" w:hAnsi="Segoe UI"/>
                <w:b w:val="0"/>
                <w:i/>
                <w:sz w:val="18"/>
              </w:rPr>
              <w:t>category</w:t>
            </w:r>
            <w:r>
              <w:rPr>
                <w:rFonts w:ascii="Segoe UI" w:hAnsi="Segoe UI"/>
                <w:b w:val="0"/>
                <w:i w:val="0"/>
                <w:sz w:val="18"/>
              </w:rPr>
              <w:t xml:space="preserve"> (balanced nutrition, NP + CAN) since Fatima owns it; don't fight on urea terms</w:t>
            </w:r>
          </w:p>
        </w:tc>
        <w:tc>
          <w:tcPr>
            <w:tcW w:type="dxa" w:w="2880"/>
          </w:tcPr>
          <w:p>
            <w:r/>
            <w:r>
              <w:rPr>
                <w:rFonts w:ascii="Segoe UI" w:hAnsi="Segoe UI"/>
                <w:b w:val="0"/>
                <w:i w:val="0"/>
                <w:sz w:val="18"/>
              </w:rPr>
              <w:t>medium</w:t>
            </w:r>
          </w:p>
        </w:tc>
      </w:tr>
      <w:tr>
        <w:tc>
          <w:tcPr>
            <w:tcW w:type="dxa" w:w="2880"/>
          </w:tcPr>
          <w:p>
            <w:r/>
            <w:r>
              <w:rPr>
                <w:rFonts w:ascii="Segoe UI" w:hAnsi="Segoe UI"/>
                <w:b w:val="0"/>
                <w:i w:val="0"/>
                <w:sz w:val="18"/>
              </w:rPr>
              <w:t>Engagement with farmers and stakeholders</w:t>
            </w:r>
          </w:p>
        </w:tc>
        <w:tc>
          <w:tcPr>
            <w:tcW w:type="dxa" w:w="2880"/>
          </w:tcPr>
          <w:p>
            <w:r/>
            <w:r>
              <w:rPr>
                <w:rFonts w:ascii="Segoe UI" w:hAnsi="Segoe UI"/>
                <w:b w:val="0"/>
                <w:i w:val="0"/>
                <w:sz w:val="18"/>
              </w:rPr>
              <w:t>App (800K) and AgriMart are unused as proof engines: farmer-logged yields at scale</w:t>
            </w:r>
          </w:p>
        </w:tc>
        <w:tc>
          <w:tcPr>
            <w:tcW w:type="dxa" w:w="2880"/>
          </w:tcPr>
          <w:p>
            <w:r/>
            <w:r>
              <w:rPr>
                <w:rFonts w:ascii="Segoe UI" w:hAnsi="Segoe UI"/>
                <w:b w:val="0"/>
                <w:i w:val="0"/>
                <w:sz w:val="18"/>
              </w:rPr>
              <w:t xml:space="preserve">low, </w:t>
            </w:r>
            <w:r>
              <w:rPr>
                <w:rFonts w:ascii="Segoe UI" w:hAnsi="Segoe UI"/>
                <w:b w:val="0"/>
                <w:i/>
                <w:sz w:val="18"/>
              </w:rPr>
              <w:t>needs client data</w:t>
            </w:r>
          </w:p>
        </w:tc>
      </w:tr>
    </w:tbl>
    <w:p>
      <w:pPr>
        <w:spacing w:after="40"/>
      </w:pPr>
    </w:p>
    <w:p>
      <w:pPr>
        <w:pStyle w:val="Heading1"/>
      </w:pPr>
      <w:r>
        <w:rPr>
          <w:rFonts w:ascii="Segoe UI" w:hAnsi="Segoe UI"/>
          <w:b/>
          <w:i w:val="0"/>
          <w:color w:val="2E2B6F"/>
          <w:sz w:val="32"/>
        </w:rPr>
        <w:t>6. What is still to collect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rFonts w:ascii="Segoe UI" w:hAnsi="Segoe UI"/>
                <w:b/>
                <w:i w:val="0"/>
                <w:sz w:val="18"/>
              </w:rPr>
              <w:t>Stream</w:t>
            </w:r>
          </w:p>
        </w:tc>
        <w:tc>
          <w:tcPr>
            <w:tcW w:type="dxa" w:w="2880"/>
          </w:tcPr>
          <w:p>
            <w:r/>
            <w:r>
              <w:rPr>
                <w:rFonts w:ascii="Segoe UI" w:hAnsi="Segoe UI"/>
                <w:b/>
                <w:i w:val="0"/>
                <w:sz w:val="18"/>
              </w:rPr>
              <w:t>Method (skill)</w:t>
            </w:r>
          </w:p>
        </w:tc>
        <w:tc>
          <w:tcPr>
            <w:tcW w:type="dxa" w:w="2880"/>
          </w:tcPr>
          <w:p>
            <w:r/>
            <w:r>
              <w:rPr>
                <w:rFonts w:ascii="Segoe UI" w:hAnsi="Segoe UI"/>
                <w:b/>
                <w:i w:val="0"/>
                <w:sz w:val="18"/>
              </w:rPr>
              <w:t>Why it matters</w:t>
            </w:r>
          </w:p>
        </w:tc>
      </w:tr>
      <w:tr>
        <w:tc>
          <w:tcPr>
            <w:tcW w:type="dxa" w:w="2880"/>
          </w:tcPr>
          <w:p>
            <w:r/>
            <w:r>
              <w:rPr>
                <w:rFonts w:ascii="Segoe UI" w:hAnsi="Segoe UI"/>
                <w:b w:val="0"/>
                <w:i w:val="0"/>
                <w:sz w:val="18"/>
              </w:rPr>
              <w:t>Competitor creative: FFC Sona, Engro (Heera, Zarkhez), Agritech Tara, Bubber Sher</w:t>
            </w:r>
          </w:p>
        </w:tc>
        <w:tc>
          <w:tcPr>
            <w:tcW w:type="dxa" w:w="2880"/>
          </w:tcPr>
          <w:p>
            <w:r/>
            <w:r>
              <w:rPr>
                <w:rFonts w:ascii="Segoe UI" w:hAnsi="Segoe UI"/>
                <w:b w:val="0"/>
                <w:i w:val="0"/>
                <w:sz w:val="18"/>
              </w:rPr>
              <w:t>category-creative-scan</w:t>
            </w:r>
            <w:r>
              <w:rPr>
                <w:rFonts w:ascii="Segoe UI" w:hAnsi="Segoe UI"/>
                <w:b w:val="0"/>
                <w:i w:val="0"/>
                <w:sz w:val="18"/>
              </w:rPr>
              <w:t>: presence sweep first (farmers are likely Facebook/TikTok, not Instagram)</w:t>
            </w:r>
          </w:p>
        </w:tc>
        <w:tc>
          <w:tcPr>
            <w:tcW w:type="dxa" w:w="2880"/>
          </w:tcPr>
          <w:p>
            <w:r/>
            <w:r>
              <w:rPr>
                <w:rFonts w:ascii="Segoe UI" w:hAnsi="Segoe UI"/>
                <w:b w:val="0"/>
                <w:i w:val="0"/>
                <w:sz w:val="18"/>
              </w:rPr>
              <w:t>Confirms whether anyone else claims yield proof; tests "new territories"</w:t>
            </w:r>
          </w:p>
        </w:tc>
      </w:tr>
      <w:tr>
        <w:tc>
          <w:tcPr>
            <w:tcW w:type="dxa" w:w="2880"/>
          </w:tcPr>
          <w:p>
            <w:r/>
            <w:r>
              <w:rPr>
                <w:rFonts w:ascii="Segoe UI" w:hAnsi="Segoe UI"/>
                <w:b w:val="0"/>
                <w:i w:val="0"/>
                <w:sz w:val="18"/>
              </w:rPr>
              <w:t>Sarsabz Facebook + TikTok</w:t>
            </w:r>
          </w:p>
        </w:tc>
        <w:tc>
          <w:tcPr>
            <w:tcW w:type="dxa" w:w="2880"/>
          </w:tcPr>
          <w:p>
            <w:r/>
            <w:r>
              <w:rPr>
                <w:rFonts w:ascii="Segoe UI" w:hAnsi="Segoe UI"/>
                <w:b w:val="0"/>
                <w:i w:val="0"/>
                <w:sz w:val="18"/>
              </w:rPr>
              <w:t>presence sweep + coded read</w:t>
            </w:r>
          </w:p>
        </w:tc>
        <w:tc>
          <w:tcPr>
            <w:tcW w:type="dxa" w:w="2880"/>
          </w:tcPr>
          <w:p>
            <w:r/>
            <w:r>
              <w:rPr>
                <w:rFonts w:ascii="Segoe UI" w:hAnsi="Segoe UI"/>
                <w:b w:val="0"/>
                <w:i w:val="0"/>
                <w:sz w:val="18"/>
              </w:rPr>
              <w:t>YouTube is one channel; brief lists 6</w:t>
            </w:r>
          </w:p>
        </w:tc>
      </w:tr>
      <w:tr>
        <w:tc>
          <w:tcPr>
            <w:tcW w:type="dxa" w:w="2880"/>
          </w:tcPr>
          <w:p>
            <w:r/>
            <w:r>
              <w:rPr>
                <w:rFonts w:ascii="Segoe UI" w:hAnsi="Segoe UI"/>
                <w:b w:val="0"/>
                <w:i w:val="0"/>
                <w:sz w:val="18"/>
              </w:rPr>
              <w:t>Farmer comments on the 10% and Ki Jeet films</w:t>
            </w:r>
          </w:p>
        </w:tc>
        <w:tc>
          <w:tcPr>
            <w:tcW w:type="dxa" w:w="2880"/>
          </w:tcPr>
          <w:p>
            <w:r/>
            <w:r>
              <w:rPr>
                <w:rFonts w:ascii="Segoe UI" w:hAnsi="Segoe UI"/>
                <w:b w:val="0"/>
                <w:i w:val="0"/>
                <w:sz w:val="18"/>
              </w:rPr>
              <w:t>comment-analysis</w:t>
            </w:r>
          </w:p>
        </w:tc>
        <w:tc>
          <w:tcPr>
            <w:tcW w:type="dxa" w:w="2880"/>
          </w:tcPr>
          <w:p>
            <w:r/>
            <w:r>
              <w:rPr>
                <w:rFonts w:ascii="Segoe UI" w:hAnsi="Segoe UI"/>
                <w:b w:val="0"/>
                <w:i w:val="0"/>
                <w:sz w:val="18"/>
              </w:rPr>
              <w:t>Do farmers believe the 10%? YouTube bot-walled this session after ~420 requests: needs a logged-in session or a later retry</w:t>
            </w:r>
          </w:p>
        </w:tc>
      </w:tr>
      <w:tr>
        <w:tc>
          <w:tcPr>
            <w:tcW w:type="dxa" w:w="2880"/>
          </w:tcPr>
          <w:p>
            <w:r/>
            <w:r>
              <w:rPr>
                <w:rFonts w:ascii="Segoe UI" w:hAnsi="Segoe UI"/>
                <w:b w:val="0"/>
                <w:i w:val="0"/>
                <w:sz w:val="18"/>
              </w:rPr>
              <w:t>Fatima annual report 2025</w:t>
            </w:r>
          </w:p>
        </w:tc>
        <w:tc>
          <w:tcPr>
            <w:tcW w:type="dxa" w:w="2880"/>
          </w:tcPr>
          <w:p>
            <w:r/>
            <w:r>
              <w:rPr>
                <w:rFonts w:ascii="Segoe UI" w:hAnsi="Segoe UI"/>
                <w:b w:val="0"/>
                <w:i w:val="0"/>
                <w:sz w:val="18"/>
              </w:rPr>
              <w:t>consumer-brand-review</w:t>
            </w:r>
            <w:r>
              <w:rPr>
                <w:rFonts w:ascii="Segoe UI" w:hAnsi="Segoe UI"/>
                <w:b w:val="0"/>
                <w:i w:val="0"/>
                <w:sz w:val="18"/>
              </w:rPr>
              <w:t xml:space="preserve"> phase 1</w:t>
            </w:r>
          </w:p>
        </w:tc>
        <w:tc>
          <w:tcPr>
            <w:tcW w:type="dxa" w:w="2880"/>
          </w:tcPr>
          <w:p>
            <w:r/>
            <w:r>
              <w:rPr>
                <w:rFonts w:ascii="Segoe UI" w:hAnsi="Segoe UI"/>
                <w:b w:val="0"/>
                <w:i w:val="0"/>
                <w:sz w:val="18"/>
              </w:rPr>
              <w:t>Marketing spend, product volumes, management's stated threat</w:t>
            </w:r>
          </w:p>
        </w:tc>
      </w:tr>
      <w:tr>
        <w:tc>
          <w:tcPr>
            <w:tcW w:type="dxa" w:w="2880"/>
          </w:tcPr>
          <w:p>
            <w:r/>
            <w:r>
              <w:rPr>
                <w:rFonts w:ascii="Segoe UI" w:hAnsi="Segoe UI"/>
                <w:b w:val="0"/>
                <w:i w:val="0"/>
                <w:sz w:val="18"/>
              </w:rPr>
              <w:t>NFDC Fertilizer Review 2024-25</w:t>
            </w:r>
          </w:p>
        </w:tc>
        <w:tc>
          <w:tcPr>
            <w:tcW w:type="dxa" w:w="2880"/>
          </w:tcPr>
          <w:p>
            <w:r/>
            <w:r>
              <w:rPr>
                <w:rFonts w:ascii="Segoe UI" w:hAnsi="Segoe UI"/>
                <w:b w:val="0"/>
                <w:i w:val="0"/>
                <w:sz w:val="18"/>
              </w:rPr>
              <w:t>primary download</w:t>
            </w:r>
          </w:p>
        </w:tc>
        <w:tc>
          <w:tcPr>
            <w:tcW w:type="dxa" w:w="2880"/>
          </w:tcPr>
          <w:p>
            <w:r/>
            <w:r>
              <w:rPr>
                <w:rFonts w:ascii="Segoe UI" w:hAnsi="Segoe UI"/>
                <w:b w:val="0"/>
                <w:i w:val="0"/>
                <w:sz w:val="18"/>
              </w:rPr>
              <w:t>Current NP/CAN/DAP shares; the CCP table is 2022-23 and draft</w:t>
            </w:r>
          </w:p>
        </w:tc>
      </w:tr>
    </w:tbl>
    <w:p>
      <w:pPr>
        <w:spacing w:after="40"/>
      </w:pPr>
    </w:p>
    <w:p>
      <w:pPr>
        <w:pStyle w:val="Heading1"/>
      </w:pPr>
      <w:r>
        <w:rPr>
          <w:rFonts w:ascii="Segoe UI" w:hAnsi="Segoe UI"/>
          <w:b/>
          <w:i w:val="0"/>
          <w:color w:val="2E2B6F"/>
          <w:sz w:val="32"/>
        </w:rPr>
        <w:t>7. Questions for the client</w:t>
      </w:r>
    </w:p>
    <w:p>
      <w:pPr>
        <w:pStyle w:val="ListBullet"/>
        <w:spacing w:after="60"/>
      </w:pPr>
      <w:r>
        <w:rPr>
          <w:rFonts w:ascii="Segoe UI" w:hAnsi="Segoe UI"/>
          <w:b w:val="0"/>
          <w:i w:val="0"/>
          <w:sz w:val="21"/>
        </w:rPr>
        <w:t>Competitor 1–4 in the brand-health study: who they are, sample, method, fieldwork dates. Is the "6% ahead" TOM claim against Competitor 2 only?</w:t>
      </w:r>
    </w:p>
    <w:p>
      <w:pPr>
        <w:pStyle w:val="ListBullet"/>
        <w:spacing w:after="60"/>
      </w:pPr>
      <w:r>
        <w:rPr>
          <w:rFonts w:ascii="Segoe UI" w:hAnsi="Segoe UI"/>
          <w:b w:val="0"/>
          <w:i w:val="0"/>
          <w:sz w:val="21"/>
        </w:rPr>
        <w:t>The demo-plot dataset behind 10%: crops, seasons, provinces, the spread, and whether it has been cleared for advertising substantiation.</w:t>
      </w:r>
    </w:p>
    <w:p>
      <w:pPr>
        <w:pStyle w:val="ListBullet"/>
        <w:spacing w:after="60"/>
      </w:pPr>
      <w:r>
        <w:rPr>
          <w:rFonts w:ascii="Segoe UI" w:hAnsi="Segoe UI"/>
          <w:b w:val="0"/>
          <w:i w:val="0"/>
          <w:sz w:val="21"/>
        </w:rPr>
        <w:t>The Ki Jeet winners list with input records; permission terms for using the Punjab Agriculture Department name.</w:t>
      </w:r>
    </w:p>
    <w:p>
      <w:pPr>
        <w:pStyle w:val="ListBullet"/>
        <w:spacing w:after="60"/>
      </w:pPr>
      <w:r>
        <w:rPr>
          <w:rFonts w:ascii="Segoe UI" w:hAnsi="Segoe UI"/>
          <w:b w:val="0"/>
          <w:i w:val="0"/>
          <w:sz w:val="21"/>
        </w:rPr>
        <w:t>Product-level share and volume for NP and CAN, 2024-26.</w:t>
      </w:r>
    </w:p>
    <w:p>
      <w:pPr>
        <w:pStyle w:val="ListBullet"/>
        <w:spacing w:after="60"/>
      </w:pPr>
      <w:r>
        <w:rPr>
          <w:rFonts w:ascii="Segoe UI" w:hAnsi="Segoe UI"/>
          <w:b w:val="0"/>
          <w:i w:val="0"/>
          <w:sz w:val="21"/>
        </w:rPr>
        <w:t>App data: active users, whether farmers log inputs or yields.</w:t>
      </w:r>
    </w:p>
    <w:p>
      <w:pPr>
        <w:pStyle w:val="ListBullet"/>
        <w:spacing w:after="60"/>
      </w:pPr>
      <w:r>
        <w:rPr>
          <w:rFonts w:ascii="Segoe UI" w:hAnsi="Segoe UI"/>
          <w:b w:val="0"/>
          <w:i w:val="0"/>
          <w:sz w:val="21"/>
        </w:rPr>
        <w:t>Pitch date and budget (neither is in the brief).</w:t>
      </w:r>
    </w:p>
    <w:p>
      <w:r>
        <w:br w:type="page"/>
      </w:r>
    </w:p>
    <w:p>
      <w:pPr>
        <w:pStyle w:val="Heading1"/>
      </w:pPr>
      <w:r>
        <w:rPr>
          <w:rFonts w:ascii="Segoe UI" w:hAnsi="Segoe UI"/>
          <w:b/>
          <w:i w:val="0"/>
          <w:color w:val="2E2B6F"/>
          <w:sz w:val="32"/>
        </w:rPr>
        <w:t>Source register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rFonts w:ascii="Segoe UI" w:hAnsi="Segoe UI"/>
                <w:b/>
                <w:i w:val="0"/>
                <w:sz w:val="18"/>
              </w:rPr>
              <w:t>#</w:t>
            </w:r>
          </w:p>
        </w:tc>
        <w:tc>
          <w:tcPr>
            <w:tcW w:type="dxa" w:w="2160"/>
          </w:tcPr>
          <w:p>
            <w:r/>
            <w:r>
              <w:rPr>
                <w:rFonts w:ascii="Segoe UI" w:hAnsi="Segoe UI"/>
                <w:b/>
                <w:i w:val="0"/>
                <w:sz w:val="18"/>
              </w:rPr>
              <w:t>Source</w:t>
            </w:r>
          </w:p>
        </w:tc>
        <w:tc>
          <w:tcPr>
            <w:tcW w:type="dxa" w:w="2160"/>
          </w:tcPr>
          <w:p>
            <w:r/>
            <w:r>
              <w:rPr>
                <w:rFonts w:ascii="Segoe UI" w:hAnsi="Segoe UI"/>
                <w:b/>
                <w:i w:val="0"/>
                <w:sz w:val="18"/>
              </w:rPr>
              <w:t>Grade</w:t>
            </w:r>
          </w:p>
        </w:tc>
        <w:tc>
          <w:tcPr>
            <w:tcW w:type="dxa" w:w="2160"/>
          </w:tcPr>
          <w:p>
            <w:r/>
            <w:r>
              <w:rPr>
                <w:rFonts w:ascii="Segoe UI" w:hAnsi="Segoe UI"/>
                <w:b/>
                <w:i w:val="0"/>
                <w:sz w:val="18"/>
              </w:rPr>
              <w:t>Used for</w:t>
            </w:r>
          </w:p>
        </w:tc>
      </w:tr>
      <w:tr>
        <w:tc>
          <w:tcPr>
            <w:tcW w:type="dxa" w:w="2160"/>
          </w:tcPr>
          <w:p>
            <w:r/>
            <w:r>
              <w:rPr>
                <w:rFonts w:ascii="Segoe UI" w:hAnsi="Segoe UI"/>
                <w:b w:val="0"/>
                <w:i w:val="0"/>
                <w:sz w:val="18"/>
              </w:rPr>
              <w:t>S1</w:t>
            </w:r>
          </w:p>
        </w:tc>
        <w:tc>
          <w:tcPr>
            <w:tcW w:type="dxa" w:w="2160"/>
          </w:tcPr>
          <w:p>
            <w:r/>
            <w:r>
              <w:rPr>
                <w:rFonts w:ascii="Segoe UI" w:hAnsi="Segoe UI"/>
                <w:b w:val="0"/>
                <w:i w:val="0"/>
                <w:sz w:val="18"/>
              </w:rPr>
              <w:t xml:space="preserve">Fatima Fertilizer, </w:t>
            </w:r>
            <w:r>
              <w:rPr>
                <w:rFonts w:ascii="Segoe UI" w:hAnsi="Segoe UI"/>
                <w:b w:val="0"/>
                <w:i/>
                <w:sz w:val="18"/>
              </w:rPr>
              <w:t>Creative Marketing Brief 2026</w:t>
            </w:r>
            <w:r>
              <w:rPr>
                <w:rFonts w:ascii="Segoe UI" w:hAnsi="Segoe UI"/>
                <w:b w:val="0"/>
                <w:i w:val="0"/>
                <w:sz w:val="18"/>
              </w:rPr>
              <w:t xml:space="preserve"> (data/Creative Pitch Deck (1).pdf)</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brief asks, brand facts, awareness</w:t>
            </w:r>
          </w:p>
        </w:tc>
      </w:tr>
      <w:tr>
        <w:tc>
          <w:tcPr>
            <w:tcW w:type="dxa" w:w="2160"/>
          </w:tcPr>
          <w:p>
            <w:r/>
            <w:r>
              <w:rPr>
                <w:rFonts w:ascii="Segoe UI" w:hAnsi="Segoe UI"/>
                <w:b w:val="0"/>
                <w:i w:val="0"/>
                <w:sz w:val="18"/>
              </w:rPr>
              <w:t>S2</w:t>
            </w:r>
          </w:p>
        </w:tc>
        <w:tc>
          <w:tcPr>
            <w:tcW w:type="dxa" w:w="2160"/>
          </w:tcPr>
          <w:p>
            <w:r/>
            <w:r>
              <w:rPr>
                <w:rFonts w:ascii="Segoe UI" w:hAnsi="Segoe UI"/>
                <w:b w:val="0"/>
                <w:i w:val="0"/>
                <w:sz w:val="18"/>
              </w:rPr>
              <w:t xml:space="preserve">Competition Commission of Pakistan, </w:t>
            </w:r>
            <w:r>
              <w:rPr>
                <w:rFonts w:ascii="Segoe UI" w:hAnsi="Segoe UI"/>
                <w:b w:val="0"/>
                <w:i/>
                <w:sz w:val="18"/>
              </w:rPr>
              <w:t>Competition Assessment of the Fertilizer Industry</w:t>
            </w:r>
            <w:r>
              <w:rPr>
                <w:rFonts w:ascii="Segoe UI" w:hAnsi="Segoe UI"/>
                <w:b w:val="0"/>
                <w:i w:val="0"/>
                <w:sz w:val="18"/>
              </w:rPr>
              <w:t>, DRAFT, 29 Jul 2025, Table 11 p.39 (NFDC 2022-23)</w:t>
            </w:r>
          </w:p>
        </w:tc>
        <w:tc>
          <w:tcPr>
            <w:tcW w:type="dxa" w:w="2160"/>
          </w:tcPr>
          <w:p>
            <w:r/>
            <w:r>
              <w:rPr>
                <w:rFonts w:ascii="Segoe UI" w:hAnsi="Segoe UI"/>
                <w:b w:val="0"/>
                <w:i w:val="0"/>
                <w:sz w:val="18"/>
              </w:rPr>
              <w:t>retrieved (page image checked)</w:t>
            </w:r>
          </w:p>
        </w:tc>
        <w:tc>
          <w:tcPr>
            <w:tcW w:type="dxa" w:w="2160"/>
          </w:tcPr>
          <w:p>
            <w:r/>
            <w:r>
              <w:rPr>
                <w:rFonts w:ascii="Segoe UI" w:hAnsi="Segoe UI"/>
                <w:b w:val="0"/>
                <w:i w:val="0"/>
                <w:sz w:val="18"/>
              </w:rPr>
              <w:t>NP/CAN/urea/DAP shares</w:t>
            </w:r>
          </w:p>
        </w:tc>
      </w:tr>
      <w:tr>
        <w:tc>
          <w:tcPr>
            <w:tcW w:type="dxa" w:w="2160"/>
          </w:tcPr>
          <w:p>
            <w:r/>
            <w:r>
              <w:rPr>
                <w:rFonts w:ascii="Segoe UI" w:hAnsi="Segoe UI"/>
                <w:b w:val="0"/>
                <w:i w:val="0"/>
                <w:sz w:val="18"/>
              </w:rPr>
              <w:t>S3</w:t>
            </w:r>
          </w:p>
        </w:tc>
        <w:tc>
          <w:tcPr>
            <w:tcW w:type="dxa" w:w="2160"/>
          </w:tcPr>
          <w:p>
            <w:r/>
            <w:r>
              <w:rPr>
                <w:rFonts w:ascii="Segoe UI" w:hAnsi="Segoe UI"/>
                <w:b w:val="0"/>
                <w:i w:val="0"/>
                <w:sz w:val="18"/>
              </w:rPr>
              <w:t xml:space="preserve">BMA Capital, </w:t>
            </w:r>
            <w:r>
              <w:rPr>
                <w:rFonts w:ascii="Segoe UI" w:hAnsi="Segoe UI"/>
                <w:b w:val="0"/>
                <w:i/>
                <w:sz w:val="18"/>
              </w:rPr>
              <w:t>Fatima Fertilizer: An emerging conglomerate</w:t>
            </w:r>
            <w:r>
              <w:rPr>
                <w:rFonts w:ascii="Segoe UI" w:hAnsi="Segoe UI"/>
                <w:b w:val="0"/>
                <w:i w:val="0"/>
                <w:sz w:val="18"/>
              </w:rPr>
              <w:t>, 19 Jan 2026</w:t>
            </w:r>
          </w:p>
        </w:tc>
        <w:tc>
          <w:tcPr>
            <w:tcW w:type="dxa" w:w="2160"/>
          </w:tcPr>
          <w:p>
            <w:r/>
            <w:r>
              <w:rPr>
                <w:rFonts w:ascii="Segoe UI" w:hAnsi="Segoe UI"/>
                <w:b w:val="0"/>
                <w:i w:val="0"/>
                <w:sz w:val="18"/>
              </w:rPr>
              <w:t>reported (broker research)</w:t>
            </w:r>
          </w:p>
        </w:tc>
        <w:tc>
          <w:tcPr>
            <w:tcW w:type="dxa" w:w="2160"/>
          </w:tcPr>
          <w:p>
            <w:r/>
            <w:r>
              <w:rPr>
                <w:rFonts w:ascii="Segoe UI" w:hAnsi="Segoe UI"/>
                <w:b w:val="0"/>
                <w:i w:val="0"/>
                <w:sz w:val="18"/>
              </w:rPr>
              <w:t>CAN 100%, NP &gt;90%, price gaps, CY25 urea 17%</w:t>
            </w:r>
          </w:p>
        </w:tc>
      </w:tr>
      <w:tr>
        <w:tc>
          <w:tcPr>
            <w:tcW w:type="dxa" w:w="2160"/>
          </w:tcPr>
          <w:p>
            <w:r/>
            <w:r>
              <w:rPr>
                <w:rFonts w:ascii="Segoe UI" w:hAnsi="Segoe UI"/>
                <w:b w:val="0"/>
                <w:i w:val="0"/>
                <w:sz w:val="18"/>
              </w:rPr>
              <w:t>S4</w:t>
            </w:r>
          </w:p>
        </w:tc>
        <w:tc>
          <w:tcPr>
            <w:tcW w:type="dxa" w:w="2160"/>
          </w:tcPr>
          <w:p>
            <w:r/>
            <w:r>
              <w:rPr>
                <w:rFonts w:ascii="Segoe UI" w:hAnsi="Segoe UI"/>
                <w:b w:val="0"/>
                <w:i w:val="0"/>
                <w:sz w:val="18"/>
              </w:rPr>
              <w:t>VIS Credit Rating, Fatima Fertilizer rating report,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NFDC offtake CY22-1HCY25, sales mix</w:t>
            </w:r>
          </w:p>
        </w:tc>
      </w:tr>
      <w:tr>
        <w:tc>
          <w:tcPr>
            <w:tcW w:type="dxa" w:w="2160"/>
          </w:tcPr>
          <w:p>
            <w:r/>
            <w:r>
              <w:rPr>
                <w:rFonts w:ascii="Segoe UI" w:hAnsi="Segoe UI"/>
                <w:b w:val="0"/>
                <w:i w:val="0"/>
                <w:sz w:val="18"/>
              </w:rPr>
              <w:t>S5</w:t>
            </w:r>
          </w:p>
        </w:tc>
        <w:tc>
          <w:tcPr>
            <w:tcW w:type="dxa" w:w="2160"/>
          </w:tcPr>
          <w:p>
            <w:r/>
            <w:r>
              <w:rPr>
                <w:rFonts w:ascii="Segoe UI" w:hAnsi="Segoe UI"/>
                <w:b w:val="0"/>
                <w:i w:val="0"/>
                <w:sz w:val="18"/>
              </w:rPr>
              <w:t xml:space="preserve">PACRA, </w:t>
            </w:r>
            <w:r>
              <w:rPr>
                <w:rFonts w:ascii="Segoe UI" w:hAnsi="Segoe UI"/>
                <w:b w:val="0"/>
                <w:i/>
                <w:sz w:val="18"/>
              </w:rPr>
              <w:t>Fertilizers Sector Study</w:t>
            </w:r>
            <w:r>
              <w:rPr>
                <w:rFonts w:ascii="Segoe UI" w:hAnsi="Segoe UI"/>
                <w:b w:val="0"/>
                <w:i w:val="0"/>
                <w:sz w:val="18"/>
              </w:rPr>
              <w:t>, Feb 2025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industry offtake context</w:t>
            </w:r>
          </w:p>
        </w:tc>
      </w:tr>
      <w:tr>
        <w:tc>
          <w:tcPr>
            <w:tcW w:type="dxa" w:w="2160"/>
          </w:tcPr>
          <w:p>
            <w:r/>
            <w:r>
              <w:rPr>
                <w:rFonts w:ascii="Segoe UI" w:hAnsi="Segoe UI"/>
                <w:b w:val="0"/>
                <w:i w:val="0"/>
                <w:sz w:val="18"/>
              </w:rPr>
              <w:t>S6</w:t>
            </w:r>
          </w:p>
        </w:tc>
        <w:tc>
          <w:tcPr>
            <w:tcW w:type="dxa" w:w="2160"/>
          </w:tcPr>
          <w:p>
            <w:r/>
            <w:r>
              <w:rPr>
                <w:rFonts w:ascii="Segoe UI" w:hAnsi="Segoe UI"/>
                <w:b w:val="0"/>
                <w:i w:val="0"/>
                <w:sz w:val="18"/>
              </w:rPr>
              <w:t>Pakistan Economic Survey 2023-24, Ch.2 Agriculture, Table 2.5</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national wheat yield 3,264 kg/ha</w:t>
            </w:r>
          </w:p>
        </w:tc>
      </w:tr>
      <w:tr>
        <w:tc>
          <w:tcPr>
            <w:tcW w:type="dxa" w:w="2160"/>
          </w:tcPr>
          <w:p>
            <w:r/>
            <w:r>
              <w:rPr>
                <w:rFonts w:ascii="Segoe UI" w:hAnsi="Segoe UI"/>
                <w:b w:val="0"/>
                <w:i w:val="0"/>
                <w:sz w:val="18"/>
              </w:rPr>
              <w:t>S7</w:t>
            </w:r>
          </w:p>
        </w:tc>
        <w:tc>
          <w:tcPr>
            <w:tcW w:type="dxa" w:w="2160"/>
          </w:tcPr>
          <w:p>
            <w:r/>
            <w:r>
              <w:rPr>
                <w:rFonts w:ascii="Segoe UI" w:hAnsi="Segoe UI"/>
                <w:b w:val="0"/>
                <w:i w:val="0"/>
                <w:sz w:val="18"/>
              </w:rPr>
              <w:t xml:space="preserve">Dawn, "Fatima Fertilizer hosts Sarsabz Kissan Convention…", </w:t>
            </w:r>
            <w:r>
              <w:rPr>
                <w:rFonts w:ascii="Segoe UI" w:hAnsi="Segoe UI"/>
                <w:b/>
                <w:i w:val="0"/>
                <w:sz w:val="18"/>
              </w:rPr>
              <w:t>advertorial</w:t>
            </w:r>
            <w:r>
              <w:rPr>
                <w:rFonts w:ascii="Segoe UI" w:hAnsi="Segoe UI"/>
                <w:b w:val="0"/>
                <w:i w:val="0"/>
                <w:sz w:val="18"/>
              </w:rPr>
              <w:t>, 11 Nov 2025</w:t>
            </w:r>
          </w:p>
        </w:tc>
        <w:tc>
          <w:tcPr>
            <w:tcW w:type="dxa" w:w="2160"/>
          </w:tcPr>
          <w:p>
            <w:r/>
            <w:r>
              <w:rPr>
                <w:rFonts w:ascii="Segoe UI" w:hAnsi="Segoe UI"/>
                <w:b w:val="0"/>
                <w:i w:val="0"/>
                <w:sz w:val="18"/>
              </w:rPr>
              <w:t>retrieved; paid content</w:t>
            </w:r>
          </w:p>
        </w:tc>
        <w:tc>
          <w:tcPr>
            <w:tcW w:type="dxa" w:w="2160"/>
          </w:tcPr>
          <w:p>
            <w:r/>
            <w:r>
              <w:rPr>
                <w:rFonts w:ascii="Segoe UI" w:hAnsi="Segoe UI"/>
                <w:b w:val="0"/>
                <w:i w:val="0"/>
                <w:sz w:val="18"/>
              </w:rPr>
              <w:t>"97 district positions", "all achieved through"</w:t>
            </w:r>
          </w:p>
        </w:tc>
      </w:tr>
      <w:tr>
        <w:tc>
          <w:tcPr>
            <w:tcW w:type="dxa" w:w="2160"/>
          </w:tcPr>
          <w:p>
            <w:r/>
            <w:r>
              <w:rPr>
                <w:rFonts w:ascii="Segoe UI" w:hAnsi="Segoe UI"/>
                <w:b w:val="0"/>
                <w:i w:val="0"/>
                <w:sz w:val="18"/>
              </w:rPr>
              <w:t>S8</w:t>
            </w:r>
          </w:p>
        </w:tc>
        <w:tc>
          <w:tcPr>
            <w:tcW w:type="dxa" w:w="2160"/>
          </w:tcPr>
          <w:p>
            <w:r/>
            <w:r>
              <w:rPr>
                <w:rFonts w:ascii="Segoe UI" w:hAnsi="Segoe UI"/>
                <w:b w:val="0"/>
                <w:i w:val="0"/>
                <w:sz w:val="18"/>
              </w:rPr>
              <w:t>Dawn, "Daughter guides farmer to clinch first prize in wheat yield competition", 3 Aug 2025</w:t>
            </w:r>
          </w:p>
        </w:tc>
        <w:tc>
          <w:tcPr>
            <w:tcW w:type="dxa" w:w="2160"/>
          </w:tcPr>
          <w:p>
            <w:r/>
            <w:r>
              <w:rPr>
                <w:rFonts w:ascii="Segoe UI" w:hAnsi="Segoe UI"/>
                <w:b w:val="0"/>
                <w:i w:val="0"/>
                <w:sz w:val="18"/>
              </w:rPr>
              <w:t>retrieved; independent</w:t>
            </w:r>
          </w:p>
        </w:tc>
        <w:tc>
          <w:tcPr>
            <w:tcW w:type="dxa" w:w="2160"/>
          </w:tcPr>
          <w:p>
            <w:r/>
            <w:r>
              <w:rPr>
                <w:rFonts w:ascii="Segoe UI" w:hAnsi="Segoe UI"/>
                <w:b w:val="0"/>
                <w:i w:val="0"/>
                <w:sz w:val="18"/>
              </w:rPr>
              <w:t>Chakwal winner used urea + DAP</w:t>
            </w:r>
          </w:p>
        </w:tc>
      </w:tr>
      <w:tr>
        <w:tc>
          <w:tcPr>
            <w:tcW w:type="dxa" w:w="2160"/>
          </w:tcPr>
          <w:p>
            <w:r/>
            <w:r>
              <w:rPr>
                <w:rFonts w:ascii="Segoe UI" w:hAnsi="Segoe UI"/>
                <w:b w:val="0"/>
                <w:i w:val="0"/>
                <w:sz w:val="18"/>
              </w:rPr>
              <w:t>S9</w:t>
            </w:r>
          </w:p>
        </w:tc>
        <w:tc>
          <w:tcPr>
            <w:tcW w:type="dxa" w:w="2160"/>
          </w:tcPr>
          <w:p>
            <w:r/>
            <w:r>
              <w:rPr>
                <w:rFonts w:ascii="Segoe UI" w:hAnsi="Segoe UI"/>
                <w:b w:val="0"/>
                <w:i w:val="0"/>
                <w:sz w:val="18"/>
              </w:rPr>
              <w:t>youtube.com/@Sarsabz: 360 videos + 41 Shorts; metadata and descriptions read 14-15 Sep 2026</w:t>
            </w:r>
          </w:p>
        </w:tc>
        <w:tc>
          <w:tcPr>
            <w:tcW w:type="dxa" w:w="2160"/>
          </w:tcPr>
          <w:p>
            <w:r/>
            <w:r>
              <w:rPr>
                <w:rFonts w:ascii="Segoe UI" w:hAnsi="Segoe UI"/>
                <w:b w:val="0"/>
                <w:i w:val="0"/>
                <w:sz w:val="18"/>
              </w:rPr>
              <w:t>retrieved</w:t>
            </w:r>
          </w:p>
        </w:tc>
        <w:tc>
          <w:tcPr>
            <w:tcW w:type="dxa" w:w="2160"/>
          </w:tcPr>
          <w:p>
            <w:r/>
            <w:r>
              <w:rPr>
                <w:rFonts w:ascii="Segoe UI" w:hAnsi="Segoe UI"/>
                <w:b w:val="0"/>
                <w:i w:val="0"/>
                <w:sz w:val="18"/>
              </w:rPr>
              <w:t>owned-content coding, views, Ki Jeet claims</w:t>
            </w:r>
          </w:p>
        </w:tc>
      </w:tr>
    </w:tbl>
    <w:p>
      <w:pPr>
        <w:spacing w:after="40"/>
      </w:pPr>
    </w:p>
    <w:p>
      <w:pPr>
        <w:spacing w:after="120"/>
      </w:pPr>
      <w:r>
        <w:rPr>
          <w:rFonts w:ascii="Segoe UI" w:hAnsi="Segoe UI"/>
          <w:b w:val="0"/>
          <w:i w:val="0"/>
          <w:sz w:val="21"/>
        </w:rPr>
        <w:t xml:space="preserve">Working files: </w:t>
      </w:r>
      <w:r>
        <w:rPr>
          <w:rFonts w:ascii="Segoe UI" w:hAnsi="Segoe UI"/>
          <w:b w:val="0"/>
          <w:i w:val="0"/>
          <w:sz w:val="21"/>
        </w:rPr>
        <w:t>sources/</w:t>
      </w:r>
      <w:r>
        <w:rPr>
          <w:rFonts w:ascii="Segoe UI" w:hAnsi="Segoe UI"/>
          <w:b w:val="0"/>
          <w:i w:val="0"/>
          <w:sz w:val="21"/>
        </w:rPr>
        <w:t xml:space="preserve"> (downloaded documents and extracted text), </w:t>
      </w:r>
      <w:r>
        <w:rPr>
          <w:rFonts w:ascii="Segoe UI" w:hAnsi="Segoe UI"/>
          <w:b w:val="0"/>
          <w:i w:val="0"/>
          <w:sz w:val="21"/>
        </w:rPr>
        <w:t>owned/</w:t>
      </w:r>
      <w:r>
        <w:rPr>
          <w:rFonts w:ascii="Segoe UI" w:hAnsi="Segoe UI"/>
          <w:b w:val="0"/>
          <w:i w:val="0"/>
          <w:sz w:val="21"/>
        </w:rPr>
        <w:t xml:space="preserve"> (channel inventory, contact sheets, codes, analysis 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